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E13E0F" w:rsidRPr="002A434E" w14:paraId="75413DF3" w14:textId="77777777">
        <w:tc>
          <w:tcPr>
            <w:tcW w:w="9287" w:type="dxa"/>
          </w:tcPr>
          <w:p w14:paraId="5325D031" w14:textId="375D0BC6" w:rsidR="00E13E0F" w:rsidRDefault="00E13E0F">
            <w:pPr>
              <w:widowControl w:val="0"/>
              <w:spacing w:after="0" w:line="240" w:lineRule="auto"/>
              <w:rPr>
                <w:rFonts w:ascii="Times New Roman" w:hAnsi="Times New Roman" w:cs="Times New Roman"/>
                <w:lang w:val="da-DK"/>
              </w:rPr>
            </w:pPr>
            <w:r>
              <w:rPr>
                <w:rFonts w:ascii="Times New Roman" w:hAnsi="Times New Roman" w:cs="Times New Roman"/>
                <w:lang w:val="da-DK"/>
              </w:rPr>
              <w:t xml:space="preserve">Bei diesem Dokument handelt es sich um die genehmigte Produktinformation für Mvasi, wobei die Änderungen seit dem vorherigen Verfahren, die sich auf die Produktinformation (EMEA/H/C/PSUSA/00000403/202202) auswirken, </w:t>
            </w:r>
            <w:r>
              <w:rPr>
                <w:rFonts w:ascii="Times New Roman" w:hAnsi="Times New Roman" w:cs="Times New Roman"/>
                <w:lang w:val="de-DE"/>
              </w:rPr>
              <w:t>unterstrichen</w:t>
            </w:r>
            <w:r>
              <w:rPr>
                <w:rFonts w:ascii="Times New Roman" w:hAnsi="Times New Roman" w:cs="Times New Roman"/>
                <w:lang w:val="da-DK"/>
              </w:rPr>
              <w:t xml:space="preserve"> sind.</w:t>
            </w:r>
          </w:p>
          <w:p w14:paraId="6CB0D69E" w14:textId="77777777" w:rsidR="00E13E0F" w:rsidRDefault="00E13E0F">
            <w:pPr>
              <w:widowControl w:val="0"/>
              <w:spacing w:after="0" w:line="240" w:lineRule="auto"/>
              <w:rPr>
                <w:rFonts w:ascii="Times New Roman" w:hAnsi="Times New Roman" w:cs="Times New Roman"/>
                <w:lang w:val="da-DK"/>
              </w:rPr>
            </w:pPr>
          </w:p>
          <w:p w14:paraId="26F08C40" w14:textId="677B5F29" w:rsidR="00E13E0F" w:rsidRDefault="00E13E0F">
            <w:pPr>
              <w:suppressAutoHyphens/>
              <w:spacing w:after="0" w:line="240" w:lineRule="auto"/>
              <w:rPr>
                <w:rFonts w:ascii="Times New Roman" w:hAnsi="Times New Roman" w:cs="Times New Roman"/>
                <w:b/>
                <w:lang w:val="da-DK"/>
              </w:rPr>
            </w:pPr>
            <w:r>
              <w:rPr>
                <w:rFonts w:ascii="Times New Roman" w:hAnsi="Times New Roman" w:cs="Times New Roman"/>
                <w:lang w:val="da-DK"/>
              </w:rPr>
              <w:t xml:space="preserve">Weitere Informationen finden Sie auf der Website der Europäischen Arzneimittel-Agentur: </w:t>
            </w:r>
            <w:hyperlink r:id="rId9" w:history="1">
              <w:r>
                <w:rPr>
                  <w:rStyle w:val="Hyperlink"/>
                  <w:rFonts w:ascii="Times New Roman" w:hAnsi="Times New Roman" w:cs="Times New Roman"/>
                  <w:color w:val="3333FF"/>
                  <w:lang w:val="da-DK"/>
                </w:rPr>
                <w:t>https://www.ema.europa.eu/en/medicines/human/EPAR/mvasi</w:t>
              </w:r>
            </w:hyperlink>
          </w:p>
        </w:tc>
      </w:tr>
    </w:tbl>
    <w:p w14:paraId="19818944"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197BC1E8"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3BCAB0B5"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69E9D7E8"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4B0CDC69"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47708F05"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442B9BB7"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5801A0B5"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517F28CD"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164D33A4"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2AC2D506"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0F7314BC"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4CEF23B2"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0D3954BC"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6B746771"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6BB14E43"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0C14560E"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0CF31AB9" w14:textId="77777777" w:rsidR="00FE7102" w:rsidRPr="009737B5" w:rsidRDefault="00FE7102" w:rsidP="005228C5">
      <w:pPr>
        <w:suppressAutoHyphens/>
        <w:spacing w:after="0" w:line="240" w:lineRule="auto"/>
        <w:jc w:val="center"/>
        <w:rPr>
          <w:rFonts w:ascii="Times New Roman" w:hAnsi="Times New Roman" w:cs="Times New Roman"/>
          <w:b/>
          <w:lang w:val="de-DE"/>
        </w:rPr>
      </w:pPr>
      <w:r w:rsidRPr="009737B5">
        <w:rPr>
          <w:rFonts w:ascii="Times New Roman" w:hAnsi="Times New Roman" w:cs="Times New Roman"/>
          <w:b/>
          <w:lang w:val="de-DE"/>
        </w:rPr>
        <w:t>ANHANG I</w:t>
      </w:r>
    </w:p>
    <w:p w14:paraId="6554DF21" w14:textId="77777777" w:rsidR="00FE7102" w:rsidRPr="009737B5" w:rsidRDefault="00FE7102" w:rsidP="005228C5">
      <w:pPr>
        <w:suppressAutoHyphens/>
        <w:spacing w:after="0" w:line="240" w:lineRule="auto"/>
        <w:jc w:val="center"/>
        <w:rPr>
          <w:rFonts w:ascii="Times New Roman" w:hAnsi="Times New Roman" w:cs="Times New Roman"/>
          <w:b/>
          <w:lang w:val="de-DE"/>
        </w:rPr>
      </w:pPr>
    </w:p>
    <w:p w14:paraId="0400F079" w14:textId="77777777" w:rsidR="00935274" w:rsidRPr="009737B5" w:rsidRDefault="00FE7102" w:rsidP="005228C5">
      <w:pPr>
        <w:pStyle w:val="TitleA"/>
        <w:rPr>
          <w:rFonts w:cs="Times New Roman"/>
          <w:lang w:val="de-DE"/>
        </w:rPr>
      </w:pPr>
      <w:r w:rsidRPr="009737B5">
        <w:rPr>
          <w:rFonts w:cs="Times New Roman"/>
          <w:lang w:val="de-DE"/>
        </w:rPr>
        <w:t>ZUSAMMENFASSUNG DER MERKMALE DES ARZNEIMITTELS</w:t>
      </w:r>
    </w:p>
    <w:p w14:paraId="3316129F" w14:textId="77777777" w:rsidR="00AE23A2" w:rsidRPr="009737B5" w:rsidRDefault="00AE23A2" w:rsidP="00AE23A2">
      <w:pPr>
        <w:jc w:val="center"/>
        <w:rPr>
          <w:rFonts w:ascii="Times New Roman" w:hAnsi="Times New Roman" w:cs="Times New Roman"/>
          <w:b/>
          <w:lang w:val="de-DE"/>
        </w:rPr>
      </w:pPr>
      <w:r w:rsidRPr="009737B5">
        <w:rPr>
          <w:rFonts w:ascii="Times New Roman" w:hAnsi="Times New Roman" w:cs="Times New Roman"/>
          <w:b/>
          <w:lang w:val="de-DE"/>
        </w:rPr>
        <w:br w:type="page"/>
      </w:r>
    </w:p>
    <w:p w14:paraId="0D755823" w14:textId="77777777" w:rsidR="00AF337C" w:rsidRPr="009737B5" w:rsidRDefault="00526ECE" w:rsidP="0040444C">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1.</w:t>
      </w:r>
      <w:r w:rsidRPr="009737B5">
        <w:rPr>
          <w:rFonts w:ascii="Times New Roman" w:hAnsi="Times New Roman" w:cs="Times New Roman"/>
          <w:b/>
          <w:lang w:val="de-DE"/>
        </w:rPr>
        <w:tab/>
      </w:r>
      <w:r w:rsidR="00AF337C" w:rsidRPr="009737B5">
        <w:rPr>
          <w:rFonts w:ascii="Times New Roman" w:hAnsi="Times New Roman" w:cs="Times New Roman"/>
          <w:b/>
          <w:lang w:val="de-DE"/>
        </w:rPr>
        <w:t>BEZEICHNUNG DES ARZNEIMITTELS</w:t>
      </w:r>
    </w:p>
    <w:p w14:paraId="69C2EA30"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759F2B78" w14:textId="77777777" w:rsidR="00AF337C"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005528" w:rsidRPr="009737B5">
        <w:rPr>
          <w:rFonts w:ascii="Times New Roman" w:hAnsi="Times New Roman" w:cs="Times New Roman"/>
          <w:lang w:val="de-DE"/>
        </w:rPr>
        <w:t xml:space="preserve"> </w:t>
      </w:r>
      <w:r w:rsidR="00AF337C" w:rsidRPr="009737B5">
        <w:rPr>
          <w:rFonts w:ascii="Times New Roman" w:hAnsi="Times New Roman" w:cs="Times New Roman"/>
          <w:lang w:val="de-DE"/>
        </w:rPr>
        <w:t>25</w:t>
      </w:r>
      <w:r w:rsidR="00AB26B9" w:rsidRPr="009737B5">
        <w:rPr>
          <w:rFonts w:ascii="Times New Roman" w:hAnsi="Times New Roman" w:cs="Times New Roman"/>
          <w:lang w:val="de-DE"/>
        </w:rPr>
        <w:t> mg</w:t>
      </w:r>
      <w:r w:rsidR="00C6251D" w:rsidRPr="009737B5">
        <w:rPr>
          <w:rFonts w:ascii="Times New Roman" w:hAnsi="Times New Roman" w:cs="Times New Roman"/>
          <w:lang w:val="de-DE"/>
        </w:rPr>
        <w:t>/ml</w:t>
      </w:r>
      <w:r w:rsidR="00AF337C" w:rsidRPr="009737B5">
        <w:rPr>
          <w:rFonts w:ascii="Times New Roman" w:hAnsi="Times New Roman" w:cs="Times New Roman"/>
          <w:lang w:val="de-DE"/>
        </w:rPr>
        <w:t xml:space="preserve"> Konzentrat zur Herstellung einer Infusionslösung.</w:t>
      </w:r>
    </w:p>
    <w:p w14:paraId="76539A58" w14:textId="77777777" w:rsidR="00AF337C" w:rsidRPr="009737B5" w:rsidRDefault="00AF337C" w:rsidP="005F4D08">
      <w:pPr>
        <w:suppressAutoHyphens/>
        <w:spacing w:after="0" w:line="240" w:lineRule="auto"/>
        <w:rPr>
          <w:rFonts w:ascii="Times New Roman" w:hAnsi="Times New Roman" w:cs="Times New Roman"/>
          <w:lang w:val="de-DE"/>
        </w:rPr>
      </w:pPr>
    </w:p>
    <w:p w14:paraId="005516A3" w14:textId="77777777" w:rsidR="00AF337C" w:rsidRPr="009737B5" w:rsidRDefault="00AF337C" w:rsidP="005F4D08">
      <w:pPr>
        <w:suppressAutoHyphens/>
        <w:spacing w:after="0" w:line="240" w:lineRule="auto"/>
        <w:rPr>
          <w:rFonts w:ascii="Times New Roman" w:hAnsi="Times New Roman" w:cs="Times New Roman"/>
          <w:lang w:val="de-DE"/>
        </w:rPr>
      </w:pPr>
    </w:p>
    <w:p w14:paraId="5B5217A5" w14:textId="77777777" w:rsidR="00AF337C" w:rsidRPr="009737B5" w:rsidRDefault="00AF337C" w:rsidP="0040444C">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2.</w:t>
      </w:r>
      <w:r w:rsidRPr="009737B5">
        <w:rPr>
          <w:rFonts w:ascii="Times New Roman" w:hAnsi="Times New Roman" w:cs="Times New Roman"/>
          <w:b/>
          <w:lang w:val="de-DE"/>
        </w:rPr>
        <w:tab/>
        <w:t>QUALITATIVE UND QUANTITATIVE ZUSAMMENSETZUNG</w:t>
      </w:r>
    </w:p>
    <w:p w14:paraId="77620A21"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072B7F84"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Jeder Milliliter Konzentrat enthält 25</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 Bevacizumab*.</w:t>
      </w:r>
    </w:p>
    <w:p w14:paraId="2AC7913E" w14:textId="77777777" w:rsidR="00AB26B9" w:rsidRPr="009737B5" w:rsidRDefault="00AB26B9" w:rsidP="005F4D08">
      <w:pPr>
        <w:suppressAutoHyphens/>
        <w:spacing w:after="0" w:line="240" w:lineRule="auto"/>
        <w:rPr>
          <w:rFonts w:ascii="Times New Roman" w:hAnsi="Times New Roman" w:cs="Times New Roman"/>
          <w:lang w:val="de-DE"/>
        </w:rPr>
      </w:pPr>
    </w:p>
    <w:p w14:paraId="451BCA65"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Jede Durchstechflasche </w:t>
      </w:r>
      <w:r w:rsidR="00005528" w:rsidRPr="009737B5">
        <w:rPr>
          <w:rFonts w:ascii="Times New Roman" w:hAnsi="Times New Roman" w:cs="Times New Roman"/>
          <w:lang w:val="de-DE"/>
        </w:rPr>
        <w:t xml:space="preserve">mit </w:t>
      </w:r>
      <w:r w:rsidRPr="009737B5">
        <w:rPr>
          <w:rFonts w:ascii="Times New Roman" w:hAnsi="Times New Roman" w:cs="Times New Roman"/>
          <w:lang w:val="de-DE"/>
        </w:rPr>
        <w:t>4</w:t>
      </w:r>
      <w:r w:rsidR="00AB26B9" w:rsidRPr="009737B5">
        <w:rPr>
          <w:rFonts w:ascii="Times New Roman" w:hAnsi="Times New Roman" w:cs="Times New Roman"/>
          <w:lang w:val="de-DE"/>
        </w:rPr>
        <w:t> ml</w:t>
      </w:r>
      <w:r w:rsidRPr="009737B5">
        <w:rPr>
          <w:rFonts w:ascii="Times New Roman" w:hAnsi="Times New Roman" w:cs="Times New Roman"/>
          <w:lang w:val="de-DE"/>
        </w:rPr>
        <w:t xml:space="preserve"> </w:t>
      </w:r>
      <w:r w:rsidR="00005528" w:rsidRPr="009737B5">
        <w:rPr>
          <w:rFonts w:ascii="Times New Roman" w:hAnsi="Times New Roman" w:cs="Times New Roman"/>
          <w:lang w:val="de-DE"/>
        </w:rPr>
        <w:t xml:space="preserve">Konzentrat </w:t>
      </w:r>
      <w:r w:rsidRPr="009737B5">
        <w:rPr>
          <w:rFonts w:ascii="Times New Roman" w:hAnsi="Times New Roman" w:cs="Times New Roman"/>
          <w:lang w:val="de-DE"/>
        </w:rPr>
        <w:t>enthält 100</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 Bevacizumab.</w:t>
      </w:r>
    </w:p>
    <w:p w14:paraId="56305A7C"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Jede Durchstechflasche </w:t>
      </w:r>
      <w:r w:rsidR="00005528" w:rsidRPr="009737B5">
        <w:rPr>
          <w:rFonts w:ascii="Times New Roman" w:hAnsi="Times New Roman" w:cs="Times New Roman"/>
          <w:lang w:val="de-DE"/>
        </w:rPr>
        <w:t xml:space="preserve">mit </w:t>
      </w:r>
      <w:r w:rsidRPr="009737B5">
        <w:rPr>
          <w:rFonts w:ascii="Times New Roman" w:hAnsi="Times New Roman" w:cs="Times New Roman"/>
          <w:lang w:val="de-DE"/>
        </w:rPr>
        <w:t>16</w:t>
      </w:r>
      <w:r w:rsidR="00AB26B9" w:rsidRPr="009737B5">
        <w:rPr>
          <w:rFonts w:ascii="Times New Roman" w:hAnsi="Times New Roman" w:cs="Times New Roman"/>
          <w:lang w:val="de-DE"/>
        </w:rPr>
        <w:t> ml</w:t>
      </w:r>
      <w:r w:rsidRPr="009737B5">
        <w:rPr>
          <w:rFonts w:ascii="Times New Roman" w:hAnsi="Times New Roman" w:cs="Times New Roman"/>
          <w:lang w:val="de-DE"/>
        </w:rPr>
        <w:t xml:space="preserve"> </w:t>
      </w:r>
      <w:r w:rsidR="00005528" w:rsidRPr="009737B5">
        <w:rPr>
          <w:rFonts w:ascii="Times New Roman" w:hAnsi="Times New Roman" w:cs="Times New Roman"/>
          <w:lang w:val="de-DE"/>
        </w:rPr>
        <w:t xml:space="preserve">Konzentrat </w:t>
      </w:r>
      <w:r w:rsidRPr="009737B5">
        <w:rPr>
          <w:rFonts w:ascii="Times New Roman" w:hAnsi="Times New Roman" w:cs="Times New Roman"/>
          <w:lang w:val="de-DE"/>
        </w:rPr>
        <w:t>enthält 400</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 Bevacizumab.</w:t>
      </w:r>
    </w:p>
    <w:p w14:paraId="180C2010" w14:textId="77777777" w:rsidR="00AB26B9" w:rsidRPr="009737B5" w:rsidRDefault="00AB26B9" w:rsidP="005F4D08">
      <w:pPr>
        <w:suppressAutoHyphens/>
        <w:spacing w:after="0" w:line="240" w:lineRule="auto"/>
        <w:rPr>
          <w:rFonts w:ascii="Times New Roman" w:hAnsi="Times New Roman" w:cs="Times New Roman"/>
          <w:lang w:val="de-DE"/>
        </w:rPr>
      </w:pPr>
    </w:p>
    <w:p w14:paraId="2436D790" w14:textId="1652FD3E"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Zur Verdünnung und sonstige Hinweise zur Handhabung, siehe Abschnitt</w:t>
      </w:r>
      <w:r w:rsidR="00D83EB7">
        <w:rPr>
          <w:rFonts w:ascii="Times New Roman" w:hAnsi="Times New Roman" w:cs="Times New Roman"/>
          <w:lang w:val="de-DE"/>
        </w:rPr>
        <w:t> </w:t>
      </w:r>
      <w:r w:rsidRPr="009737B5">
        <w:rPr>
          <w:rFonts w:ascii="Times New Roman" w:hAnsi="Times New Roman" w:cs="Times New Roman"/>
          <w:lang w:val="de-DE"/>
        </w:rPr>
        <w:t>6.6.</w:t>
      </w:r>
    </w:p>
    <w:p w14:paraId="66F8694E" w14:textId="77777777" w:rsidR="00AF337C" w:rsidRPr="009737B5" w:rsidRDefault="00AF337C" w:rsidP="005F4D08">
      <w:pPr>
        <w:suppressAutoHyphens/>
        <w:spacing w:after="0" w:line="240" w:lineRule="auto"/>
        <w:rPr>
          <w:rFonts w:ascii="Times New Roman" w:hAnsi="Times New Roman" w:cs="Times New Roman"/>
          <w:lang w:val="de-DE"/>
        </w:rPr>
      </w:pPr>
    </w:p>
    <w:p w14:paraId="62ECC5CD"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*Bevacizumab ist ein rekombinanter humanisierter monoklonaler Antikörper, der mittels DNA</w:t>
      </w:r>
      <w:r w:rsidR="009C038C" w:rsidRPr="009737B5">
        <w:rPr>
          <w:rFonts w:ascii="Times New Roman" w:hAnsi="Times New Roman" w:cs="Times New Roman"/>
          <w:lang w:val="de-DE"/>
        </w:rPr>
        <w:t>-</w:t>
      </w:r>
      <w:r w:rsidR="00DE3BD0" w:rsidRPr="009737B5">
        <w:rPr>
          <w:rFonts w:ascii="Times New Roman" w:hAnsi="Times New Roman" w:cs="Times New Roman"/>
          <w:lang w:val="de-DE"/>
        </w:rPr>
        <w:t xml:space="preserve"> </w:t>
      </w:r>
      <w:r w:rsidRPr="009737B5">
        <w:rPr>
          <w:rFonts w:ascii="Times New Roman" w:hAnsi="Times New Roman" w:cs="Times New Roman"/>
          <w:lang w:val="de-DE"/>
        </w:rPr>
        <w:t>Technologie aus Ovarialzellen des chinesischen Hamsters (CHO-Zellen) gewonnen wird.</w:t>
      </w:r>
    </w:p>
    <w:p w14:paraId="308100BC" w14:textId="77777777" w:rsidR="001B2020" w:rsidRDefault="001B2020" w:rsidP="001B2020">
      <w:pPr>
        <w:suppressAutoHyphens/>
        <w:spacing w:after="0" w:line="240" w:lineRule="auto"/>
        <w:rPr>
          <w:rFonts w:ascii="Times New Roman" w:hAnsi="Times New Roman" w:cs="Times New Roman"/>
          <w:lang w:val="de-DE"/>
        </w:rPr>
      </w:pPr>
    </w:p>
    <w:p w14:paraId="6005F6EC" w14:textId="77777777" w:rsidR="001B2020" w:rsidRDefault="001B2020" w:rsidP="001B2020">
      <w:pPr>
        <w:suppressAutoHyphens/>
        <w:spacing w:after="0" w:line="240" w:lineRule="auto"/>
        <w:rPr>
          <w:rFonts w:ascii="Times New Roman" w:hAnsi="Times New Roman" w:cs="Times New Roman"/>
          <w:u w:val="single"/>
          <w:lang w:val="de-DE"/>
        </w:rPr>
      </w:pPr>
      <w:r>
        <w:rPr>
          <w:rFonts w:ascii="Times New Roman" w:hAnsi="Times New Roman" w:cs="Times New Roman"/>
          <w:u w:val="single"/>
          <w:lang w:val="de-DE"/>
        </w:rPr>
        <w:t>Sonstige Bestandteile mit bekannter Wirkung</w:t>
      </w:r>
    </w:p>
    <w:p w14:paraId="5FDEB8A3" w14:textId="77777777" w:rsidR="001B2020" w:rsidRDefault="001B2020" w:rsidP="001B2020">
      <w:pPr>
        <w:suppressAutoHyphens/>
        <w:spacing w:after="0" w:line="240" w:lineRule="auto"/>
        <w:rPr>
          <w:rFonts w:ascii="Times New Roman" w:hAnsi="Times New Roman" w:cs="Times New Roman"/>
          <w:lang w:val="de-DE"/>
        </w:rPr>
      </w:pPr>
    </w:p>
    <w:p w14:paraId="006C1920" w14:textId="25E315E3" w:rsidR="001B2020" w:rsidRDefault="001B2020" w:rsidP="001B2020">
      <w:pPr>
        <w:suppressAutoHyphens/>
        <w:spacing w:after="0" w:line="240" w:lineRule="auto"/>
        <w:rPr>
          <w:rFonts w:ascii="Times New Roman" w:hAnsi="Times New Roman" w:cs="Times New Roman"/>
          <w:lang w:val="de-DE"/>
        </w:rPr>
      </w:pPr>
      <w:r>
        <w:rPr>
          <w:rFonts w:ascii="Times New Roman" w:hAnsi="Times New Roman" w:cs="Times New Roman"/>
          <w:lang w:val="de-DE"/>
        </w:rPr>
        <w:t>Jede Durchstechflasche</w:t>
      </w:r>
      <w:r w:rsidR="000C7E4E">
        <w:rPr>
          <w:rFonts w:ascii="Times New Roman" w:hAnsi="Times New Roman" w:cs="Times New Roman"/>
          <w:lang w:val="de-DE"/>
        </w:rPr>
        <w:t xml:space="preserve"> </w:t>
      </w:r>
      <w:r w:rsidR="00DD78B6">
        <w:rPr>
          <w:rFonts w:ascii="Times New Roman" w:hAnsi="Times New Roman" w:cs="Times New Roman"/>
          <w:lang w:val="de-DE"/>
        </w:rPr>
        <w:t>zu</w:t>
      </w:r>
      <w:r w:rsidR="000C7E4E">
        <w:rPr>
          <w:rFonts w:ascii="Times New Roman" w:hAnsi="Times New Roman" w:cs="Times New Roman"/>
          <w:lang w:val="de-DE"/>
        </w:rPr>
        <w:t xml:space="preserve"> 4 ml</w:t>
      </w:r>
      <w:r>
        <w:rPr>
          <w:rFonts w:ascii="Times New Roman" w:hAnsi="Times New Roman" w:cs="Times New Roman"/>
          <w:lang w:val="de-DE"/>
        </w:rPr>
        <w:t xml:space="preserve"> enthält </w:t>
      </w:r>
      <w:r w:rsidR="00781DEB">
        <w:rPr>
          <w:rFonts w:ascii="Times New Roman" w:hAnsi="Times New Roman" w:cs="Times New Roman"/>
          <w:lang w:val="de-DE"/>
        </w:rPr>
        <w:t>5,4</w:t>
      </w:r>
      <w:r>
        <w:rPr>
          <w:rFonts w:ascii="Times New Roman" w:hAnsi="Times New Roman" w:cs="Times New Roman"/>
          <w:lang w:val="de-DE"/>
        </w:rPr>
        <w:t> mg Natrium.</w:t>
      </w:r>
    </w:p>
    <w:p w14:paraId="5A6727AA" w14:textId="0D108103" w:rsidR="001B2020" w:rsidRDefault="001B2020" w:rsidP="001B2020">
      <w:pPr>
        <w:suppressAutoHyphens/>
        <w:spacing w:after="0" w:line="240" w:lineRule="auto"/>
        <w:rPr>
          <w:rFonts w:ascii="Times New Roman" w:hAnsi="Times New Roman" w:cs="Times New Roman"/>
          <w:lang w:val="de-DE"/>
        </w:rPr>
      </w:pPr>
      <w:r>
        <w:rPr>
          <w:rFonts w:ascii="Times New Roman" w:hAnsi="Times New Roman" w:cs="Times New Roman"/>
          <w:lang w:val="de-DE"/>
        </w:rPr>
        <w:t>Jede Durchstechflasche</w:t>
      </w:r>
      <w:r w:rsidR="007479B6">
        <w:rPr>
          <w:rFonts w:ascii="Times New Roman" w:hAnsi="Times New Roman" w:cs="Times New Roman"/>
          <w:lang w:val="de-DE"/>
        </w:rPr>
        <w:t xml:space="preserve"> </w:t>
      </w:r>
      <w:r w:rsidR="00DD78B6">
        <w:rPr>
          <w:rFonts w:ascii="Times New Roman" w:hAnsi="Times New Roman" w:cs="Times New Roman"/>
          <w:lang w:val="de-DE"/>
        </w:rPr>
        <w:t>zu</w:t>
      </w:r>
      <w:r w:rsidR="007479B6">
        <w:rPr>
          <w:rFonts w:ascii="Times New Roman" w:hAnsi="Times New Roman" w:cs="Times New Roman"/>
          <w:lang w:val="de-DE"/>
        </w:rPr>
        <w:t xml:space="preserve"> 16 ml</w:t>
      </w:r>
      <w:r>
        <w:rPr>
          <w:rFonts w:ascii="Times New Roman" w:hAnsi="Times New Roman" w:cs="Times New Roman"/>
          <w:lang w:val="de-DE"/>
        </w:rPr>
        <w:t xml:space="preserve"> enthält </w:t>
      </w:r>
      <w:r w:rsidR="00781DEB">
        <w:rPr>
          <w:rFonts w:ascii="Times New Roman" w:hAnsi="Times New Roman" w:cs="Times New Roman"/>
          <w:lang w:val="de-DE"/>
        </w:rPr>
        <w:t>21,7</w:t>
      </w:r>
      <w:r>
        <w:rPr>
          <w:rFonts w:ascii="Times New Roman" w:hAnsi="Times New Roman" w:cs="Times New Roman"/>
          <w:lang w:val="de-DE"/>
        </w:rPr>
        <w:t> mg Natrium.</w:t>
      </w:r>
    </w:p>
    <w:p w14:paraId="306D3BF7" w14:textId="77777777" w:rsidR="00AF337C" w:rsidRPr="009737B5" w:rsidRDefault="00AF337C" w:rsidP="005F4D08">
      <w:pPr>
        <w:suppressAutoHyphens/>
        <w:spacing w:after="0" w:line="240" w:lineRule="auto"/>
        <w:rPr>
          <w:rFonts w:ascii="Times New Roman" w:hAnsi="Times New Roman" w:cs="Times New Roman"/>
          <w:lang w:val="de-DE"/>
        </w:rPr>
      </w:pPr>
    </w:p>
    <w:p w14:paraId="69A23B2F" w14:textId="08C9EAD3"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Vollständige Auflistung der sonstigen Bestandteile, siehe Abschnitt</w:t>
      </w:r>
      <w:r w:rsidR="00D83EB7">
        <w:rPr>
          <w:rFonts w:ascii="Times New Roman" w:hAnsi="Times New Roman" w:cs="Times New Roman"/>
          <w:lang w:val="de-DE"/>
        </w:rPr>
        <w:t> </w:t>
      </w:r>
      <w:r w:rsidRPr="009737B5">
        <w:rPr>
          <w:rFonts w:ascii="Times New Roman" w:hAnsi="Times New Roman" w:cs="Times New Roman"/>
          <w:lang w:val="de-DE"/>
        </w:rPr>
        <w:t>6.1.</w:t>
      </w:r>
    </w:p>
    <w:p w14:paraId="0FC56CB8" w14:textId="77777777" w:rsidR="00AF337C" w:rsidRPr="009737B5" w:rsidRDefault="00AF337C" w:rsidP="005F4D08">
      <w:pPr>
        <w:suppressAutoHyphens/>
        <w:spacing w:after="0" w:line="240" w:lineRule="auto"/>
        <w:rPr>
          <w:rFonts w:ascii="Times New Roman" w:hAnsi="Times New Roman" w:cs="Times New Roman"/>
          <w:lang w:val="de-DE"/>
        </w:rPr>
      </w:pPr>
    </w:p>
    <w:p w14:paraId="23E87EE0" w14:textId="77777777" w:rsidR="00AF337C" w:rsidRPr="009737B5" w:rsidRDefault="00AF337C" w:rsidP="005F4D08">
      <w:pPr>
        <w:suppressAutoHyphens/>
        <w:spacing w:after="0" w:line="240" w:lineRule="auto"/>
        <w:rPr>
          <w:rFonts w:ascii="Times New Roman" w:hAnsi="Times New Roman" w:cs="Times New Roman"/>
          <w:lang w:val="de-DE"/>
        </w:rPr>
      </w:pPr>
    </w:p>
    <w:p w14:paraId="29581B69" w14:textId="77777777" w:rsidR="00AF337C" w:rsidRPr="009737B5" w:rsidRDefault="00AF337C" w:rsidP="0040444C">
      <w:pPr>
        <w:keepNext/>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b/>
          <w:lang w:val="de-DE"/>
        </w:rPr>
        <w:t>3.</w:t>
      </w:r>
      <w:r w:rsidRPr="009737B5">
        <w:rPr>
          <w:rFonts w:ascii="Times New Roman" w:hAnsi="Times New Roman" w:cs="Times New Roman"/>
          <w:b/>
          <w:lang w:val="de-DE"/>
        </w:rPr>
        <w:tab/>
        <w:t>DARREICHUNGSFORM</w:t>
      </w:r>
    </w:p>
    <w:p w14:paraId="3420624A"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59676DE0" w14:textId="0D56DA03"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Konzentrat zur Herstellung einer Infusionslösung</w:t>
      </w:r>
      <w:r w:rsidR="007479B6">
        <w:rPr>
          <w:rFonts w:ascii="Times New Roman" w:hAnsi="Times New Roman" w:cs="Times New Roman"/>
          <w:lang w:val="de-DE"/>
        </w:rPr>
        <w:t xml:space="preserve"> (steriles Konzentrat)</w:t>
      </w:r>
      <w:r w:rsidRPr="009737B5">
        <w:rPr>
          <w:rFonts w:ascii="Times New Roman" w:hAnsi="Times New Roman" w:cs="Times New Roman"/>
          <w:lang w:val="de-DE"/>
        </w:rPr>
        <w:t>.</w:t>
      </w:r>
    </w:p>
    <w:p w14:paraId="6FEEFEAB" w14:textId="77777777" w:rsidR="00AF337C" w:rsidRPr="009737B5" w:rsidRDefault="00AF337C" w:rsidP="005F4D08">
      <w:pPr>
        <w:suppressAutoHyphens/>
        <w:spacing w:after="0" w:line="240" w:lineRule="auto"/>
        <w:rPr>
          <w:rFonts w:ascii="Times New Roman" w:hAnsi="Times New Roman" w:cs="Times New Roman"/>
          <w:lang w:val="de-DE"/>
        </w:rPr>
      </w:pPr>
    </w:p>
    <w:p w14:paraId="3EACCD39"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Klare bis leicht opalisierende, farblose bis </w:t>
      </w:r>
      <w:r w:rsidR="00005528" w:rsidRPr="009737B5">
        <w:rPr>
          <w:rFonts w:ascii="Times New Roman" w:hAnsi="Times New Roman" w:cs="Times New Roman"/>
          <w:lang w:val="de-DE"/>
        </w:rPr>
        <w:t>leicht gelbe</w:t>
      </w:r>
      <w:r w:rsidRPr="009737B5">
        <w:rPr>
          <w:rFonts w:ascii="Times New Roman" w:hAnsi="Times New Roman" w:cs="Times New Roman"/>
          <w:lang w:val="de-DE"/>
        </w:rPr>
        <w:t xml:space="preserve"> Flüssigkeit.</w:t>
      </w:r>
    </w:p>
    <w:p w14:paraId="0649DB27" w14:textId="77777777" w:rsidR="00AF337C" w:rsidRPr="009737B5" w:rsidRDefault="00AF337C" w:rsidP="005F4D08">
      <w:pPr>
        <w:suppressAutoHyphens/>
        <w:spacing w:after="0" w:line="240" w:lineRule="auto"/>
        <w:rPr>
          <w:rFonts w:ascii="Times New Roman" w:hAnsi="Times New Roman" w:cs="Times New Roman"/>
          <w:lang w:val="de-DE"/>
        </w:rPr>
      </w:pPr>
    </w:p>
    <w:p w14:paraId="5A6919AB" w14:textId="77777777" w:rsidR="00AF337C" w:rsidRPr="009737B5" w:rsidRDefault="00AF337C" w:rsidP="005F4D08">
      <w:pPr>
        <w:suppressAutoHyphens/>
        <w:spacing w:after="0" w:line="240" w:lineRule="auto"/>
        <w:rPr>
          <w:rFonts w:ascii="Times New Roman" w:hAnsi="Times New Roman" w:cs="Times New Roman"/>
          <w:lang w:val="de-DE"/>
        </w:rPr>
      </w:pPr>
    </w:p>
    <w:p w14:paraId="0D0A9F4C" w14:textId="77777777" w:rsidR="00AF337C" w:rsidRPr="009737B5" w:rsidRDefault="00AF337C" w:rsidP="0040444C">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4.</w:t>
      </w:r>
      <w:r w:rsidRPr="009737B5">
        <w:rPr>
          <w:rFonts w:ascii="Times New Roman" w:hAnsi="Times New Roman" w:cs="Times New Roman"/>
          <w:b/>
          <w:lang w:val="de-DE"/>
        </w:rPr>
        <w:tab/>
        <w:t>KLINISCHE ANGABEN</w:t>
      </w:r>
    </w:p>
    <w:p w14:paraId="6B8DE8D8"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3E2A9630" w14:textId="77777777" w:rsidR="00AF337C" w:rsidRPr="009737B5" w:rsidRDefault="00AF337C" w:rsidP="0040444C">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4.1</w:t>
      </w:r>
      <w:r w:rsidRPr="009737B5">
        <w:rPr>
          <w:rFonts w:ascii="Times New Roman" w:hAnsi="Times New Roman" w:cs="Times New Roman"/>
          <w:b/>
          <w:lang w:val="de-DE"/>
        </w:rPr>
        <w:tab/>
        <w:t>Anwendungsgebiete</w:t>
      </w:r>
    </w:p>
    <w:p w14:paraId="02D082B0"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143245D9" w14:textId="77777777" w:rsidR="00AF337C"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005528" w:rsidRPr="009737B5">
        <w:rPr>
          <w:rFonts w:ascii="Times New Roman" w:hAnsi="Times New Roman" w:cs="Times New Roman"/>
          <w:lang w:val="de-DE"/>
        </w:rPr>
        <w:t xml:space="preserve"> </w:t>
      </w:r>
      <w:r w:rsidR="00AF337C" w:rsidRPr="009737B5">
        <w:rPr>
          <w:rFonts w:ascii="Times New Roman" w:hAnsi="Times New Roman" w:cs="Times New Roman"/>
          <w:lang w:val="de-DE"/>
        </w:rPr>
        <w:t>wird in Kombination mit einer Chemotherapie auf Fluoropyrimidin-Basis zur Behandlung von erwachsenen Patienten mit metastasiertem Kolon- oder Rektumkarzinom angewendet.</w:t>
      </w:r>
    </w:p>
    <w:p w14:paraId="67AE5A3E" w14:textId="77777777" w:rsidR="00AF337C" w:rsidRPr="009737B5" w:rsidRDefault="00AF337C" w:rsidP="005F4D08">
      <w:pPr>
        <w:suppressAutoHyphens/>
        <w:spacing w:after="0" w:line="240" w:lineRule="auto"/>
        <w:rPr>
          <w:rFonts w:ascii="Times New Roman" w:hAnsi="Times New Roman" w:cs="Times New Roman"/>
          <w:lang w:val="de-DE"/>
        </w:rPr>
      </w:pPr>
    </w:p>
    <w:p w14:paraId="7BA3E63A" w14:textId="4BCAB8F1" w:rsidR="0093601E"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AF337C" w:rsidRPr="009737B5">
        <w:rPr>
          <w:rFonts w:ascii="Times New Roman" w:hAnsi="Times New Roman" w:cs="Times New Roman"/>
          <w:lang w:val="de-DE"/>
        </w:rPr>
        <w:t xml:space="preserve"> wird in Kombination mit Paclitaxel zur First-Line-Behandlung von erwachsenen Patienten mit metastasiertem Mammakarzinom angewendet. Zu weiteren Informationen wie auch zum humanen epidermalen Wachstumsfaktor-Rezeptor</w:t>
      </w:r>
      <w:r w:rsidR="002B25DE">
        <w:rPr>
          <w:rFonts w:ascii="Times New Roman" w:hAnsi="Times New Roman" w:cs="Times New Roman"/>
          <w:lang w:val="de-DE"/>
        </w:rPr>
        <w:t>-</w:t>
      </w:r>
      <w:r w:rsidR="00AF337C" w:rsidRPr="009737B5">
        <w:rPr>
          <w:rFonts w:ascii="Times New Roman" w:hAnsi="Times New Roman" w:cs="Times New Roman"/>
          <w:lang w:val="de-DE"/>
        </w:rPr>
        <w:t>2(HER2)-Status siehe Abschnitt</w:t>
      </w:r>
      <w:r w:rsidR="00D83EB7">
        <w:rPr>
          <w:rFonts w:ascii="Times New Roman" w:hAnsi="Times New Roman" w:cs="Times New Roman"/>
          <w:lang w:val="de-DE"/>
        </w:rPr>
        <w:t> </w:t>
      </w:r>
      <w:r w:rsidR="00AF337C" w:rsidRPr="009737B5">
        <w:rPr>
          <w:rFonts w:ascii="Times New Roman" w:hAnsi="Times New Roman" w:cs="Times New Roman"/>
          <w:lang w:val="de-DE"/>
        </w:rPr>
        <w:t>5.1.</w:t>
      </w:r>
    </w:p>
    <w:p w14:paraId="43D896CA" w14:textId="7707F263" w:rsidR="0093601E" w:rsidRDefault="0093601E" w:rsidP="005F4D08">
      <w:pPr>
        <w:suppressAutoHyphens/>
        <w:spacing w:after="0" w:line="240" w:lineRule="auto"/>
        <w:rPr>
          <w:rFonts w:ascii="Times New Roman" w:hAnsi="Times New Roman" w:cs="Times New Roman"/>
          <w:lang w:val="de-DE"/>
        </w:rPr>
      </w:pPr>
    </w:p>
    <w:p w14:paraId="56DA1773" w14:textId="2CAC37DF" w:rsidR="0093601E" w:rsidRPr="005E1410" w:rsidRDefault="001775DE" w:rsidP="0093601E">
      <w:pPr>
        <w:suppressAutoHyphens/>
        <w:spacing w:after="0" w:line="240" w:lineRule="auto"/>
        <w:rPr>
          <w:rFonts w:ascii="Times New Roman" w:hAnsi="Times New Roman" w:cs="Times New Roman"/>
          <w:lang w:val="de-DE"/>
        </w:rPr>
      </w:pPr>
      <w:r>
        <w:rPr>
          <w:rFonts w:ascii="Times New Roman" w:hAnsi="Times New Roman" w:cs="Times New Roman"/>
          <w:lang w:val="de-DE"/>
        </w:rPr>
        <w:t>MVASI</w:t>
      </w:r>
      <w:r w:rsidR="0093601E" w:rsidRPr="005E1410">
        <w:rPr>
          <w:rFonts w:ascii="Times New Roman" w:hAnsi="Times New Roman" w:cs="Times New Roman"/>
          <w:lang w:val="de-DE"/>
        </w:rPr>
        <w:t xml:space="preserve"> </w:t>
      </w:r>
      <w:r w:rsidR="00E43FE2" w:rsidRPr="005E1410">
        <w:rPr>
          <w:rFonts w:ascii="Times New Roman" w:hAnsi="Times New Roman" w:cs="Times New Roman"/>
          <w:lang w:val="de-DE"/>
        </w:rPr>
        <w:t xml:space="preserve">wird </w:t>
      </w:r>
      <w:r w:rsidR="0093601E" w:rsidRPr="005E1410">
        <w:rPr>
          <w:rFonts w:ascii="Times New Roman" w:hAnsi="Times New Roman" w:cs="Times New Roman"/>
          <w:lang w:val="de-DE"/>
        </w:rPr>
        <w:t xml:space="preserve">in Kombination mit Capecitabin </w:t>
      </w:r>
      <w:r w:rsidR="000F4637" w:rsidRPr="005E1410">
        <w:rPr>
          <w:rFonts w:ascii="Times New Roman" w:hAnsi="Times New Roman" w:cs="Times New Roman"/>
          <w:lang w:val="de-DE"/>
        </w:rPr>
        <w:t>zur</w:t>
      </w:r>
      <w:r w:rsidR="0093601E" w:rsidRPr="005E1410">
        <w:rPr>
          <w:rFonts w:ascii="Times New Roman" w:hAnsi="Times New Roman" w:cs="Times New Roman"/>
          <w:lang w:val="de-DE"/>
        </w:rPr>
        <w:t xml:space="preserve"> First-Line-Behandlung von erwachsenen Patienten mit </w:t>
      </w:r>
      <w:r w:rsidR="00F61C0F" w:rsidRPr="005E1410">
        <w:rPr>
          <w:rFonts w:ascii="Times New Roman" w:hAnsi="Times New Roman" w:cs="Times New Roman"/>
          <w:lang w:val="de-DE"/>
        </w:rPr>
        <w:t xml:space="preserve">metastasiertem Mammakarzinom </w:t>
      </w:r>
      <w:r w:rsidR="000F4637" w:rsidRPr="005E1410">
        <w:rPr>
          <w:rFonts w:ascii="Times New Roman" w:hAnsi="Times New Roman" w:cs="Times New Roman"/>
          <w:lang w:val="de-DE"/>
        </w:rPr>
        <w:t>angewendet</w:t>
      </w:r>
      <w:r w:rsidR="00F61C0F" w:rsidRPr="005E1410">
        <w:rPr>
          <w:rFonts w:ascii="Times New Roman" w:hAnsi="Times New Roman" w:cs="Times New Roman"/>
          <w:lang w:val="de-DE"/>
        </w:rPr>
        <w:t xml:space="preserve">, bei denen </w:t>
      </w:r>
      <w:r w:rsidR="00E43FE2" w:rsidRPr="005E1410">
        <w:rPr>
          <w:rFonts w:ascii="Times New Roman" w:hAnsi="Times New Roman" w:cs="Times New Roman"/>
          <w:lang w:val="de-DE"/>
        </w:rPr>
        <w:t>eine</w:t>
      </w:r>
      <w:r w:rsidR="00F61C0F" w:rsidRPr="005E1410">
        <w:rPr>
          <w:rFonts w:ascii="Times New Roman" w:hAnsi="Times New Roman" w:cs="Times New Roman"/>
          <w:lang w:val="de-DE"/>
        </w:rPr>
        <w:t xml:space="preserve"> Behandlung mit anderen</w:t>
      </w:r>
      <w:r w:rsidR="0093601E" w:rsidRPr="005E1410">
        <w:rPr>
          <w:rFonts w:ascii="Times New Roman" w:hAnsi="Times New Roman" w:cs="Times New Roman"/>
          <w:lang w:val="de-DE"/>
        </w:rPr>
        <w:t xml:space="preserve"> </w:t>
      </w:r>
      <w:r w:rsidR="00F61C0F" w:rsidRPr="005E1410">
        <w:rPr>
          <w:rFonts w:ascii="Times New Roman" w:hAnsi="Times New Roman" w:cs="Times New Roman"/>
          <w:lang w:val="de-DE"/>
        </w:rPr>
        <w:t>Chemotherapie-Optionen, einschlie</w:t>
      </w:r>
      <w:r w:rsidR="00E43FE2" w:rsidRPr="005E1410">
        <w:rPr>
          <w:rFonts w:ascii="Times New Roman" w:hAnsi="Times New Roman" w:cs="Times New Roman"/>
          <w:lang w:val="de-DE"/>
        </w:rPr>
        <w:t>ß</w:t>
      </w:r>
      <w:r w:rsidR="00F61C0F" w:rsidRPr="005E1410">
        <w:rPr>
          <w:rFonts w:ascii="Times New Roman" w:hAnsi="Times New Roman" w:cs="Times New Roman"/>
          <w:lang w:val="de-DE"/>
        </w:rPr>
        <w:t>lich</w:t>
      </w:r>
      <w:r w:rsidR="0093601E" w:rsidRPr="005E1410">
        <w:rPr>
          <w:rFonts w:ascii="Times New Roman" w:hAnsi="Times New Roman" w:cs="Times New Roman"/>
          <w:lang w:val="de-DE"/>
        </w:rPr>
        <w:t xml:space="preserve"> </w:t>
      </w:r>
      <w:r w:rsidR="00F61C0F" w:rsidRPr="005E1410">
        <w:rPr>
          <w:rFonts w:ascii="Times New Roman" w:hAnsi="Times New Roman" w:cs="Times New Roman"/>
          <w:lang w:val="de-DE"/>
        </w:rPr>
        <w:t xml:space="preserve">Taxanen </w:t>
      </w:r>
      <w:r w:rsidR="00894BBC">
        <w:rPr>
          <w:rFonts w:ascii="Times New Roman" w:hAnsi="Times New Roman" w:cs="Times New Roman"/>
          <w:lang w:val="de-DE"/>
        </w:rPr>
        <w:t>oder</w:t>
      </w:r>
      <w:r w:rsidR="0093601E" w:rsidRPr="005E1410">
        <w:rPr>
          <w:rFonts w:ascii="Times New Roman" w:hAnsi="Times New Roman" w:cs="Times New Roman"/>
          <w:lang w:val="de-DE"/>
        </w:rPr>
        <w:t xml:space="preserve"> </w:t>
      </w:r>
      <w:r w:rsidR="00CB50C6" w:rsidRPr="005E1410">
        <w:rPr>
          <w:rFonts w:ascii="Times New Roman" w:hAnsi="Times New Roman" w:cs="Times New Roman"/>
          <w:lang w:val="de-DE"/>
        </w:rPr>
        <w:t>Anthra</w:t>
      </w:r>
      <w:r w:rsidR="007B3355" w:rsidRPr="005E1410">
        <w:rPr>
          <w:rFonts w:ascii="Times New Roman" w:hAnsi="Times New Roman" w:cs="Times New Roman"/>
          <w:lang w:val="de-DE"/>
        </w:rPr>
        <w:t>c</w:t>
      </w:r>
      <w:r w:rsidR="00CB50C6" w:rsidRPr="005E1410">
        <w:rPr>
          <w:rFonts w:ascii="Times New Roman" w:hAnsi="Times New Roman" w:cs="Times New Roman"/>
          <w:lang w:val="de-DE"/>
        </w:rPr>
        <w:t>y</w:t>
      </w:r>
      <w:r w:rsidR="00E43FE2" w:rsidRPr="005E1410">
        <w:rPr>
          <w:rFonts w:ascii="Times New Roman" w:hAnsi="Times New Roman" w:cs="Times New Roman"/>
          <w:lang w:val="de-DE"/>
        </w:rPr>
        <w:t>c</w:t>
      </w:r>
      <w:r w:rsidR="00CB50C6" w:rsidRPr="005E1410">
        <w:rPr>
          <w:rFonts w:ascii="Times New Roman" w:hAnsi="Times New Roman" w:cs="Times New Roman"/>
          <w:lang w:val="de-DE"/>
        </w:rPr>
        <w:t>linen,</w:t>
      </w:r>
      <w:r w:rsidR="0093601E" w:rsidRPr="005E1410">
        <w:rPr>
          <w:rFonts w:ascii="Times New Roman" w:hAnsi="Times New Roman" w:cs="Times New Roman"/>
          <w:lang w:val="de-DE"/>
        </w:rPr>
        <w:t xml:space="preserve"> </w:t>
      </w:r>
      <w:r w:rsidR="00CB50C6" w:rsidRPr="005E1410">
        <w:rPr>
          <w:rFonts w:ascii="Times New Roman" w:hAnsi="Times New Roman" w:cs="Times New Roman"/>
          <w:lang w:val="de-DE"/>
        </w:rPr>
        <w:t>als nicht geeignet angesehen wird</w:t>
      </w:r>
      <w:r w:rsidR="0093601E" w:rsidRPr="005E1410">
        <w:rPr>
          <w:rFonts w:ascii="Times New Roman" w:hAnsi="Times New Roman" w:cs="Times New Roman"/>
          <w:lang w:val="de-DE"/>
        </w:rPr>
        <w:t xml:space="preserve">. </w:t>
      </w:r>
      <w:r w:rsidR="00CB50C6" w:rsidRPr="005E1410">
        <w:rPr>
          <w:rFonts w:ascii="Times New Roman" w:hAnsi="Times New Roman" w:cs="Times New Roman"/>
          <w:lang w:val="de-DE"/>
        </w:rPr>
        <w:t xml:space="preserve">Patienten, die innerhalb der letzten 12 Monate </w:t>
      </w:r>
      <w:r w:rsidR="00611C87" w:rsidRPr="005E1410">
        <w:rPr>
          <w:rFonts w:ascii="Times New Roman" w:hAnsi="Times New Roman" w:cs="Times New Roman"/>
          <w:lang w:val="de-DE"/>
        </w:rPr>
        <w:t>Taxan- und Anthracyclin-haltige Therapieregime im Rahmen der adjuvanten Behandlung</w:t>
      </w:r>
      <w:r w:rsidR="007B3355" w:rsidRPr="005E1410">
        <w:rPr>
          <w:rFonts w:ascii="Times New Roman" w:hAnsi="Times New Roman" w:cs="Times New Roman"/>
          <w:lang w:val="de-DE"/>
        </w:rPr>
        <w:t xml:space="preserve"> erhalten haben</w:t>
      </w:r>
      <w:r w:rsidR="00611C87" w:rsidRPr="005E1410">
        <w:rPr>
          <w:rFonts w:ascii="Times New Roman" w:hAnsi="Times New Roman" w:cs="Times New Roman"/>
          <w:lang w:val="de-DE"/>
        </w:rPr>
        <w:t xml:space="preserve">, sollten </w:t>
      </w:r>
      <w:r w:rsidR="00E43FE2" w:rsidRPr="005E1410">
        <w:rPr>
          <w:rFonts w:ascii="Times New Roman" w:hAnsi="Times New Roman" w:cs="Times New Roman"/>
          <w:lang w:val="de-DE"/>
        </w:rPr>
        <w:t>nicht mit</w:t>
      </w:r>
      <w:r w:rsidR="0093601E" w:rsidRPr="005E1410">
        <w:rPr>
          <w:rFonts w:ascii="Times New Roman" w:hAnsi="Times New Roman" w:cs="Times New Roman"/>
          <w:lang w:val="de-DE"/>
        </w:rPr>
        <w:t xml:space="preserve"> MVASI </w:t>
      </w:r>
      <w:r w:rsidR="00611C87" w:rsidRPr="005E1410">
        <w:rPr>
          <w:rFonts w:ascii="Times New Roman" w:hAnsi="Times New Roman" w:cs="Times New Roman"/>
          <w:lang w:val="de-DE"/>
        </w:rPr>
        <w:t>in Kombination mit</w:t>
      </w:r>
      <w:r w:rsidR="0093601E" w:rsidRPr="005E1410">
        <w:rPr>
          <w:rFonts w:ascii="Times New Roman" w:hAnsi="Times New Roman" w:cs="Times New Roman"/>
          <w:lang w:val="de-DE"/>
        </w:rPr>
        <w:t xml:space="preserve"> </w:t>
      </w:r>
      <w:r w:rsidR="00611C87" w:rsidRPr="005E1410">
        <w:rPr>
          <w:rFonts w:ascii="Times New Roman" w:hAnsi="Times New Roman" w:cs="Times New Roman"/>
          <w:lang w:val="de-DE"/>
        </w:rPr>
        <w:t>C</w:t>
      </w:r>
      <w:r w:rsidR="0093601E" w:rsidRPr="005E1410">
        <w:rPr>
          <w:rFonts w:ascii="Times New Roman" w:hAnsi="Times New Roman" w:cs="Times New Roman"/>
          <w:lang w:val="de-DE"/>
        </w:rPr>
        <w:t>apecitabin</w:t>
      </w:r>
      <w:r w:rsidR="00611C87" w:rsidRPr="005E1410">
        <w:rPr>
          <w:rFonts w:ascii="Times New Roman" w:hAnsi="Times New Roman" w:cs="Times New Roman"/>
          <w:lang w:val="de-DE"/>
        </w:rPr>
        <w:t xml:space="preserve"> </w:t>
      </w:r>
      <w:r w:rsidR="00E43FE2" w:rsidRPr="005E1410">
        <w:rPr>
          <w:rFonts w:ascii="Times New Roman" w:hAnsi="Times New Roman" w:cs="Times New Roman"/>
          <w:lang w:val="de-DE"/>
        </w:rPr>
        <w:t>therapiert werden</w:t>
      </w:r>
      <w:r w:rsidR="0093601E" w:rsidRPr="005E1410">
        <w:rPr>
          <w:rFonts w:ascii="Times New Roman" w:hAnsi="Times New Roman" w:cs="Times New Roman"/>
          <w:lang w:val="de-DE"/>
        </w:rPr>
        <w:t xml:space="preserve">. </w:t>
      </w:r>
      <w:r w:rsidR="007B3355" w:rsidRPr="005E1410">
        <w:rPr>
          <w:rFonts w:ascii="Times New Roman" w:hAnsi="Times New Roman" w:cs="Times New Roman"/>
          <w:lang w:val="de-DE"/>
        </w:rPr>
        <w:t>Zu weiteren Informationen wie auch zum HER2-Status siehe Abschnitt</w:t>
      </w:r>
      <w:r w:rsidR="0093601E" w:rsidRPr="005E1410">
        <w:rPr>
          <w:rFonts w:ascii="Times New Roman" w:hAnsi="Times New Roman" w:cs="Times New Roman"/>
          <w:lang w:val="de-DE"/>
        </w:rPr>
        <w:t> 5.1.</w:t>
      </w:r>
    </w:p>
    <w:p w14:paraId="0458627E" w14:textId="77777777" w:rsidR="00AF337C" w:rsidRPr="009737B5" w:rsidRDefault="00AF337C" w:rsidP="005F4D08">
      <w:pPr>
        <w:suppressAutoHyphens/>
        <w:spacing w:after="0" w:line="240" w:lineRule="auto"/>
        <w:rPr>
          <w:rFonts w:ascii="Times New Roman" w:hAnsi="Times New Roman" w:cs="Times New Roman"/>
          <w:lang w:val="de-DE"/>
        </w:rPr>
      </w:pPr>
    </w:p>
    <w:p w14:paraId="4DC72C67" w14:textId="77777777" w:rsidR="00AF337C"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AF337C" w:rsidRPr="009737B5">
        <w:rPr>
          <w:rFonts w:ascii="Times New Roman" w:hAnsi="Times New Roman" w:cs="Times New Roman"/>
          <w:lang w:val="de-DE"/>
        </w:rPr>
        <w:t xml:space="preserve"> wird zusätzlich zu einer platinhaltigen Chemotherapie zur First-Line-Behandlung von erwachsenen Patienten mit inoperablem fortgeschrittenem, metastasie</w:t>
      </w:r>
      <w:r w:rsidR="00232527" w:rsidRPr="009737B5">
        <w:rPr>
          <w:rFonts w:ascii="Times New Roman" w:hAnsi="Times New Roman" w:cs="Times New Roman"/>
          <w:lang w:val="de-DE"/>
        </w:rPr>
        <w:t>rtem oder rezidivierendem nicht</w:t>
      </w:r>
      <w:r w:rsidR="00AD5D8D" w:rsidRPr="009737B5">
        <w:rPr>
          <w:rFonts w:ascii="Times New Roman" w:hAnsi="Times New Roman" w:cs="Times New Roman"/>
          <w:lang w:val="de-DE"/>
        </w:rPr>
        <w:t>-</w:t>
      </w:r>
      <w:r w:rsidR="00AF337C" w:rsidRPr="009737B5">
        <w:rPr>
          <w:rFonts w:ascii="Times New Roman" w:hAnsi="Times New Roman" w:cs="Times New Roman"/>
          <w:lang w:val="de-DE"/>
        </w:rPr>
        <w:t>kleinzelligem Bronchialkarzinom, außer bei vorwiegender Plattenepithel-Histologie, angewendet.</w:t>
      </w:r>
    </w:p>
    <w:p w14:paraId="6CFF40D5" w14:textId="4F2AD89C" w:rsidR="00AF337C" w:rsidRDefault="00AF337C" w:rsidP="005F4D08">
      <w:pPr>
        <w:suppressAutoHyphens/>
        <w:spacing w:after="0" w:line="240" w:lineRule="auto"/>
        <w:rPr>
          <w:rFonts w:ascii="Times New Roman" w:hAnsi="Times New Roman" w:cs="Times New Roman"/>
          <w:lang w:val="de-DE"/>
        </w:rPr>
      </w:pPr>
    </w:p>
    <w:p w14:paraId="4E1F5E70" w14:textId="65E82134" w:rsidR="0093601E" w:rsidRPr="00102759" w:rsidRDefault="0093601E" w:rsidP="0093601E">
      <w:pPr>
        <w:suppressAutoHyphens/>
        <w:spacing w:after="0" w:line="240" w:lineRule="auto"/>
        <w:rPr>
          <w:rFonts w:ascii="Times New Roman" w:hAnsi="Times New Roman" w:cs="Times New Roman"/>
          <w:lang w:val="de-DE"/>
        </w:rPr>
      </w:pPr>
      <w:r w:rsidRPr="00102759">
        <w:rPr>
          <w:rFonts w:ascii="Times New Roman" w:hAnsi="Times New Roman" w:cs="Times New Roman"/>
          <w:lang w:val="de-DE"/>
        </w:rPr>
        <w:lastRenderedPageBreak/>
        <w:t>MVASI</w:t>
      </w:r>
      <w:r w:rsidR="002F6792" w:rsidRPr="00102759">
        <w:rPr>
          <w:rFonts w:ascii="Times New Roman" w:hAnsi="Times New Roman" w:cs="Times New Roman"/>
          <w:lang w:val="de-DE"/>
        </w:rPr>
        <w:t xml:space="preserve"> </w:t>
      </w:r>
      <w:r w:rsidR="00E43FE2" w:rsidRPr="00102759">
        <w:rPr>
          <w:rFonts w:ascii="Times New Roman" w:hAnsi="Times New Roman" w:cs="Times New Roman"/>
          <w:lang w:val="de-DE"/>
        </w:rPr>
        <w:t xml:space="preserve">wird </w:t>
      </w:r>
      <w:r w:rsidR="002F6792" w:rsidRPr="00102759">
        <w:rPr>
          <w:rFonts w:ascii="Times New Roman" w:hAnsi="Times New Roman" w:cs="Times New Roman"/>
          <w:lang w:val="de-DE"/>
        </w:rPr>
        <w:t>in Kombination mit E</w:t>
      </w:r>
      <w:r w:rsidRPr="00102759">
        <w:rPr>
          <w:rFonts w:ascii="Times New Roman" w:hAnsi="Times New Roman" w:cs="Times New Roman"/>
          <w:lang w:val="de-DE"/>
        </w:rPr>
        <w:t>rlotinib</w:t>
      </w:r>
      <w:r w:rsidR="002F6792" w:rsidRPr="00102759">
        <w:rPr>
          <w:rFonts w:ascii="Times New Roman" w:hAnsi="Times New Roman" w:cs="Times New Roman"/>
          <w:lang w:val="de-DE"/>
        </w:rPr>
        <w:t xml:space="preserve"> zur First-Line-Behandlung von erwachsenen Patienten </w:t>
      </w:r>
      <w:r w:rsidR="002F6792" w:rsidRPr="009737B5">
        <w:rPr>
          <w:rFonts w:ascii="Times New Roman" w:hAnsi="Times New Roman" w:cs="Times New Roman"/>
          <w:lang w:val="de-DE"/>
        </w:rPr>
        <w:t xml:space="preserve">mit inoperablem fortgeschrittenem, metastasiertem oder rezidivierendem nicht-kleinzelligem </w:t>
      </w:r>
      <w:r w:rsidR="000F4637">
        <w:rPr>
          <w:rFonts w:ascii="Times New Roman" w:hAnsi="Times New Roman" w:cs="Times New Roman"/>
          <w:lang w:val="de-DE"/>
        </w:rPr>
        <w:t>Nicht-Plattenepit</w:t>
      </w:r>
      <w:r w:rsidR="00CE7E6E">
        <w:rPr>
          <w:rFonts w:ascii="Times New Roman" w:hAnsi="Times New Roman" w:cs="Times New Roman"/>
          <w:lang w:val="de-DE"/>
        </w:rPr>
        <w:t>h</w:t>
      </w:r>
      <w:r w:rsidR="000F4637">
        <w:rPr>
          <w:rFonts w:ascii="Times New Roman" w:hAnsi="Times New Roman" w:cs="Times New Roman"/>
          <w:lang w:val="de-DE"/>
        </w:rPr>
        <w:t>el</w:t>
      </w:r>
      <w:r w:rsidR="00E43FE2">
        <w:rPr>
          <w:rFonts w:ascii="Times New Roman" w:hAnsi="Times New Roman" w:cs="Times New Roman"/>
          <w:lang w:val="de-DE"/>
        </w:rPr>
        <w:t>-</w:t>
      </w:r>
      <w:r w:rsidR="002F6792" w:rsidRPr="009737B5">
        <w:rPr>
          <w:rFonts w:ascii="Times New Roman" w:hAnsi="Times New Roman" w:cs="Times New Roman"/>
          <w:lang w:val="de-DE"/>
        </w:rPr>
        <w:t>Bronchialkarzinom</w:t>
      </w:r>
      <w:r w:rsidR="002F6792" w:rsidRPr="00102759">
        <w:rPr>
          <w:rFonts w:ascii="Times New Roman" w:hAnsi="Times New Roman" w:cs="Times New Roman"/>
          <w:lang w:val="de-DE"/>
        </w:rPr>
        <w:t xml:space="preserve"> </w:t>
      </w:r>
      <w:r w:rsidR="002F6792" w:rsidRPr="009737B5">
        <w:rPr>
          <w:rFonts w:ascii="Times New Roman" w:hAnsi="Times New Roman" w:cs="Times New Roman"/>
          <w:lang w:val="de-DE"/>
        </w:rPr>
        <w:t xml:space="preserve">mit </w:t>
      </w:r>
      <w:r w:rsidR="000F4637">
        <w:rPr>
          <w:rFonts w:ascii="Times New Roman" w:hAnsi="Times New Roman" w:cs="Times New Roman"/>
          <w:lang w:val="de-DE"/>
        </w:rPr>
        <w:t xml:space="preserve">Mutationen, die den </w:t>
      </w:r>
      <w:r w:rsidR="000F4637" w:rsidRPr="00102759">
        <w:rPr>
          <w:rFonts w:ascii="Times New Roman" w:hAnsi="Times New Roman" w:cs="Times New Roman"/>
          <w:lang w:val="de-DE"/>
        </w:rPr>
        <w:t>epidermalen Wachstumsfaktorrezeptor (EGFR) aktivieren, angewendet</w:t>
      </w:r>
      <w:r w:rsidRPr="00102759">
        <w:rPr>
          <w:rFonts w:ascii="Times New Roman" w:hAnsi="Times New Roman" w:cs="Times New Roman"/>
          <w:lang w:val="de-DE"/>
        </w:rPr>
        <w:t xml:space="preserve"> (s</w:t>
      </w:r>
      <w:r w:rsidR="002F6792" w:rsidRPr="00102759">
        <w:rPr>
          <w:rFonts w:ascii="Times New Roman" w:hAnsi="Times New Roman" w:cs="Times New Roman"/>
          <w:lang w:val="de-DE"/>
        </w:rPr>
        <w:t>iehe</w:t>
      </w:r>
      <w:r w:rsidRPr="00102759">
        <w:rPr>
          <w:rFonts w:ascii="Times New Roman" w:hAnsi="Times New Roman" w:cs="Times New Roman"/>
          <w:lang w:val="de-DE"/>
        </w:rPr>
        <w:t xml:space="preserve"> </w:t>
      </w:r>
      <w:r w:rsidR="002F6792" w:rsidRPr="00102759">
        <w:rPr>
          <w:rFonts w:ascii="Times New Roman" w:hAnsi="Times New Roman" w:cs="Times New Roman"/>
          <w:lang w:val="de-DE"/>
        </w:rPr>
        <w:t>Abschnitt</w:t>
      </w:r>
      <w:r w:rsidRPr="00102759">
        <w:rPr>
          <w:rFonts w:ascii="Times New Roman" w:hAnsi="Times New Roman" w:cs="Times New Roman"/>
          <w:lang w:val="de-DE"/>
        </w:rPr>
        <w:t> 5.1).</w:t>
      </w:r>
    </w:p>
    <w:p w14:paraId="39C4BF40" w14:textId="77777777" w:rsidR="0093601E" w:rsidRPr="009737B5" w:rsidRDefault="0093601E" w:rsidP="005F4D08">
      <w:pPr>
        <w:suppressAutoHyphens/>
        <w:spacing w:after="0" w:line="240" w:lineRule="auto"/>
        <w:rPr>
          <w:rFonts w:ascii="Times New Roman" w:hAnsi="Times New Roman" w:cs="Times New Roman"/>
          <w:lang w:val="de-DE"/>
        </w:rPr>
      </w:pPr>
    </w:p>
    <w:p w14:paraId="501789CC" w14:textId="77777777" w:rsidR="006108A9"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AF337C" w:rsidRPr="009737B5">
        <w:rPr>
          <w:rFonts w:ascii="Times New Roman" w:hAnsi="Times New Roman" w:cs="Times New Roman"/>
          <w:lang w:val="de-DE"/>
        </w:rPr>
        <w:t xml:space="preserve"> wird in Kombination mit Interferon alfa-2a zur First-Line-Behandlung von erwachsenen Patienten mit fortgeschrittenem und/oder metastasiertem Nierenzellkarzinom angewendet.</w:t>
      </w:r>
    </w:p>
    <w:p w14:paraId="320E2EDA" w14:textId="77777777" w:rsidR="006108A9" w:rsidRPr="009737B5" w:rsidRDefault="006108A9" w:rsidP="005F4D08">
      <w:pPr>
        <w:suppressAutoHyphens/>
        <w:spacing w:after="0" w:line="240" w:lineRule="auto"/>
        <w:rPr>
          <w:rFonts w:ascii="Times New Roman" w:hAnsi="Times New Roman" w:cs="Times New Roman"/>
          <w:lang w:val="de-DE"/>
        </w:rPr>
      </w:pPr>
    </w:p>
    <w:p w14:paraId="65282F92" w14:textId="54E8937C" w:rsidR="00AF337C"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AF337C" w:rsidRPr="009737B5">
        <w:rPr>
          <w:rFonts w:ascii="Times New Roman" w:hAnsi="Times New Roman" w:cs="Times New Roman"/>
          <w:lang w:val="de-DE"/>
        </w:rPr>
        <w:t xml:space="preserve"> wird in Kombination mit Carboplatin und Paclitaxel zur Primärbehandlung von erwachsenen Patienten mit fortgeschrittenem epithelialem Ovarialkarzinom, Eileiterkarzinom oder primärem Peritonealkarzinom in den </w:t>
      </w:r>
      <w:r w:rsidR="00AF337C" w:rsidRPr="009737B5">
        <w:rPr>
          <w:rFonts w:ascii="Times New Roman" w:hAnsi="Times New Roman" w:cs="Times New Roman"/>
          <w:i/>
          <w:lang w:val="de-DE"/>
        </w:rPr>
        <w:t xml:space="preserve">International Federation of Gynecology and Obstetrics </w:t>
      </w:r>
      <w:r w:rsidR="00AF337C" w:rsidRPr="009737B5">
        <w:rPr>
          <w:rFonts w:ascii="Times New Roman" w:hAnsi="Times New Roman" w:cs="Times New Roman"/>
          <w:lang w:val="de-DE"/>
        </w:rPr>
        <w:t>(FIGO)</w:t>
      </w:r>
      <w:r w:rsidR="009C038C" w:rsidRPr="009737B5">
        <w:rPr>
          <w:rFonts w:ascii="Times New Roman" w:hAnsi="Times New Roman" w:cs="Times New Roman"/>
          <w:lang w:val="de-DE"/>
        </w:rPr>
        <w:t>-</w:t>
      </w:r>
      <w:r w:rsidR="00AF337C" w:rsidRPr="009737B5">
        <w:rPr>
          <w:rFonts w:ascii="Times New Roman" w:hAnsi="Times New Roman" w:cs="Times New Roman"/>
          <w:lang w:val="de-DE"/>
        </w:rPr>
        <w:t>Stadien IIIB, IIIC und IV angewendet (</w:t>
      </w:r>
      <w:r w:rsidR="002B25DE">
        <w:rPr>
          <w:rFonts w:ascii="Times New Roman" w:hAnsi="Times New Roman" w:cs="Times New Roman"/>
          <w:lang w:val="de-DE"/>
        </w:rPr>
        <w:t>s</w:t>
      </w:r>
      <w:r w:rsidR="00AF337C" w:rsidRPr="009737B5">
        <w:rPr>
          <w:rFonts w:ascii="Times New Roman" w:hAnsi="Times New Roman" w:cs="Times New Roman"/>
          <w:lang w:val="de-DE"/>
        </w:rPr>
        <w:t>iehe Abschnitt</w:t>
      </w:r>
      <w:r w:rsidR="00D83EB7">
        <w:rPr>
          <w:rFonts w:ascii="Times New Roman" w:hAnsi="Times New Roman" w:cs="Times New Roman"/>
          <w:lang w:val="de-DE"/>
        </w:rPr>
        <w:t> </w:t>
      </w:r>
      <w:r w:rsidR="00AF337C" w:rsidRPr="009737B5">
        <w:rPr>
          <w:rFonts w:ascii="Times New Roman" w:hAnsi="Times New Roman" w:cs="Times New Roman"/>
          <w:lang w:val="de-DE"/>
        </w:rPr>
        <w:t>5.1)</w:t>
      </w:r>
      <w:r w:rsidR="002B25DE">
        <w:rPr>
          <w:rFonts w:ascii="Times New Roman" w:hAnsi="Times New Roman" w:cs="Times New Roman"/>
          <w:lang w:val="de-DE"/>
        </w:rPr>
        <w:t>.</w:t>
      </w:r>
    </w:p>
    <w:p w14:paraId="51B5CDBA" w14:textId="77777777" w:rsidR="00AF337C" w:rsidRPr="009737B5" w:rsidRDefault="00AF337C" w:rsidP="005F4D08">
      <w:pPr>
        <w:suppressAutoHyphens/>
        <w:spacing w:after="0" w:line="240" w:lineRule="auto"/>
        <w:rPr>
          <w:rFonts w:ascii="Times New Roman" w:hAnsi="Times New Roman" w:cs="Times New Roman"/>
          <w:lang w:val="de-DE"/>
        </w:rPr>
      </w:pPr>
    </w:p>
    <w:p w14:paraId="46A242AB" w14:textId="77777777" w:rsidR="00AF337C"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AF337C" w:rsidRPr="009737B5">
        <w:rPr>
          <w:rFonts w:ascii="Times New Roman" w:hAnsi="Times New Roman" w:cs="Times New Roman"/>
          <w:lang w:val="de-DE"/>
        </w:rPr>
        <w:t xml:space="preserve"> wird in Kombination mit Carboplatin und Gemcitabin oder in Kombination mit Carboplatin und Paclitaxel zur Behandlung von erwachsenen Patienten mit einem ersten platinsensitiven Rezidiv eines epithelialen Ovarialkarzinoms, Eileiterkarzinoms oder primären Peritonealkarzinoms angewendet, die zuvor noch nicht mit Bevacizumab oder mit anderen VEGF</w:t>
      </w:r>
      <w:r w:rsidR="0081605F" w:rsidRPr="009737B5">
        <w:rPr>
          <w:rFonts w:ascii="Times New Roman" w:hAnsi="Times New Roman" w:cs="Times New Roman"/>
          <w:lang w:val="de-DE"/>
        </w:rPr>
        <w:t>-</w:t>
      </w:r>
      <w:r w:rsidR="00AF337C" w:rsidRPr="009737B5">
        <w:rPr>
          <w:rFonts w:ascii="Times New Roman" w:hAnsi="Times New Roman" w:cs="Times New Roman"/>
          <w:lang w:val="de-DE"/>
        </w:rPr>
        <w:t>Inhibitoren bzw. auf den VEGF-Rezeptor zielenden Substanzen behandelt wurden.</w:t>
      </w:r>
    </w:p>
    <w:p w14:paraId="59E47BC0" w14:textId="77777777" w:rsidR="00AF337C" w:rsidRPr="009737B5" w:rsidRDefault="00AF337C" w:rsidP="005F4D08">
      <w:pPr>
        <w:suppressAutoHyphens/>
        <w:spacing w:after="0" w:line="240" w:lineRule="auto"/>
        <w:rPr>
          <w:rFonts w:ascii="Times New Roman" w:hAnsi="Times New Roman" w:cs="Times New Roman"/>
          <w:lang w:val="de-DE"/>
        </w:rPr>
      </w:pPr>
    </w:p>
    <w:p w14:paraId="2D6C6897" w14:textId="796ED31C" w:rsidR="00AF337C"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AF337C" w:rsidRPr="009737B5">
        <w:rPr>
          <w:rFonts w:ascii="Times New Roman" w:hAnsi="Times New Roman" w:cs="Times New Roman"/>
          <w:lang w:val="de-DE"/>
        </w:rPr>
        <w:t xml:space="preserve"> wird in Kombination mit </w:t>
      </w:r>
      <w:r w:rsidR="006E306F" w:rsidRPr="009737B5">
        <w:rPr>
          <w:rFonts w:ascii="Times New Roman" w:hAnsi="Times New Roman" w:cs="Times New Roman"/>
          <w:lang w:val="de-DE"/>
        </w:rPr>
        <w:t>Paclitaxel</w:t>
      </w:r>
      <w:r w:rsidR="006E306F">
        <w:rPr>
          <w:rFonts w:ascii="Times New Roman" w:hAnsi="Times New Roman" w:cs="Times New Roman"/>
          <w:lang w:val="de-DE"/>
        </w:rPr>
        <w:t>,</w:t>
      </w:r>
      <w:r w:rsidR="006E306F" w:rsidRPr="009737B5">
        <w:rPr>
          <w:rFonts w:ascii="Times New Roman" w:hAnsi="Times New Roman" w:cs="Times New Roman"/>
          <w:lang w:val="de-DE"/>
        </w:rPr>
        <w:t xml:space="preserve"> </w:t>
      </w:r>
      <w:r w:rsidR="00AF337C" w:rsidRPr="009737B5">
        <w:rPr>
          <w:rFonts w:ascii="Times New Roman" w:hAnsi="Times New Roman" w:cs="Times New Roman"/>
          <w:lang w:val="de-DE"/>
        </w:rPr>
        <w:t>Topotecan oder pegyliertem liposomalen Doxorubicin zur Behandlung von erwachsenen Patienten mit platinresistentem Rezidiv eines epithelialen Ovarialkarzinoms, Eileiterkarzinoms oder primären Peritonealkarzinoms angewendet, die zuvor mit höchstens zwei Chemotherapien behandelt wurden und die zuvor keine Therapie mit Bevacizumab oder einem anderen VEGF-Inhibitor bzw. auf den VEGF-Rezeptor zielenden Substanzen erhalten haben (siehe Abschnitt</w:t>
      </w:r>
      <w:r w:rsidR="00D83EB7">
        <w:rPr>
          <w:rFonts w:ascii="Times New Roman" w:hAnsi="Times New Roman" w:cs="Times New Roman"/>
          <w:lang w:val="de-DE"/>
        </w:rPr>
        <w:t> </w:t>
      </w:r>
      <w:r w:rsidR="00AF337C" w:rsidRPr="009737B5">
        <w:rPr>
          <w:rFonts w:ascii="Times New Roman" w:hAnsi="Times New Roman" w:cs="Times New Roman"/>
          <w:lang w:val="de-DE"/>
        </w:rPr>
        <w:t>5.1).</w:t>
      </w:r>
    </w:p>
    <w:p w14:paraId="32F53BA7" w14:textId="77777777" w:rsidR="00AF337C" w:rsidRPr="009737B5" w:rsidRDefault="00AF337C" w:rsidP="005F4D08">
      <w:pPr>
        <w:suppressAutoHyphens/>
        <w:spacing w:after="0" w:line="240" w:lineRule="auto"/>
        <w:rPr>
          <w:rFonts w:ascii="Times New Roman" w:hAnsi="Times New Roman" w:cs="Times New Roman"/>
          <w:lang w:val="de-DE"/>
        </w:rPr>
      </w:pPr>
    </w:p>
    <w:p w14:paraId="04FE447F" w14:textId="2BA5DBEC" w:rsidR="00AF337C"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AF337C" w:rsidRPr="009737B5">
        <w:rPr>
          <w:rFonts w:ascii="Times New Roman" w:hAnsi="Times New Roman" w:cs="Times New Roman"/>
          <w:lang w:val="de-DE"/>
        </w:rPr>
        <w:t xml:space="preserve"> wird in Kombination mit Paclitaxel </w:t>
      </w:r>
      <w:r w:rsidR="00D7227D" w:rsidRPr="009737B5">
        <w:rPr>
          <w:rFonts w:ascii="Times New Roman" w:hAnsi="Times New Roman" w:cs="Times New Roman"/>
          <w:lang w:val="de-DE"/>
        </w:rPr>
        <w:t xml:space="preserve">und Cisplatin </w:t>
      </w:r>
      <w:r w:rsidR="009C038C" w:rsidRPr="009737B5">
        <w:rPr>
          <w:rFonts w:ascii="Times New Roman" w:hAnsi="Times New Roman" w:cs="Times New Roman"/>
          <w:lang w:val="de-DE"/>
        </w:rPr>
        <w:t xml:space="preserve">– </w:t>
      </w:r>
      <w:r w:rsidR="00AF337C" w:rsidRPr="009737B5">
        <w:rPr>
          <w:rFonts w:ascii="Times New Roman" w:hAnsi="Times New Roman" w:cs="Times New Roman"/>
          <w:lang w:val="de-DE"/>
        </w:rPr>
        <w:t xml:space="preserve">oder alternativ mit Paclitaxel und Topotecan bei Patienten, die keine platinhaltige Therapie erhalten können </w:t>
      </w:r>
      <w:r w:rsidR="009C038C" w:rsidRPr="009737B5">
        <w:rPr>
          <w:rFonts w:ascii="Times New Roman" w:hAnsi="Times New Roman" w:cs="Times New Roman"/>
          <w:lang w:val="de-DE"/>
        </w:rPr>
        <w:t xml:space="preserve">– </w:t>
      </w:r>
      <w:r w:rsidR="00AF337C" w:rsidRPr="009737B5">
        <w:rPr>
          <w:rFonts w:ascii="Times New Roman" w:hAnsi="Times New Roman" w:cs="Times New Roman"/>
          <w:lang w:val="de-DE"/>
        </w:rPr>
        <w:t>zur Behandlung von erwachsenen Patienten mit persistierendem, rezidivierendem oder metastasiertem Zervixkarzinom angewendet (siehe Abschnitt</w:t>
      </w:r>
      <w:r w:rsidR="00D83EB7">
        <w:rPr>
          <w:rFonts w:ascii="Times New Roman" w:hAnsi="Times New Roman" w:cs="Times New Roman"/>
          <w:lang w:val="de-DE"/>
        </w:rPr>
        <w:t> </w:t>
      </w:r>
      <w:r w:rsidR="00AF337C" w:rsidRPr="009737B5">
        <w:rPr>
          <w:rFonts w:ascii="Times New Roman" w:hAnsi="Times New Roman" w:cs="Times New Roman"/>
          <w:lang w:val="de-DE"/>
        </w:rPr>
        <w:t>5.1).</w:t>
      </w:r>
    </w:p>
    <w:p w14:paraId="299672E9" w14:textId="77777777" w:rsidR="00AF337C" w:rsidRPr="009737B5" w:rsidRDefault="00AF337C" w:rsidP="005F4D08">
      <w:pPr>
        <w:suppressAutoHyphens/>
        <w:spacing w:after="0" w:line="240" w:lineRule="auto"/>
        <w:rPr>
          <w:rFonts w:ascii="Times New Roman" w:hAnsi="Times New Roman" w:cs="Times New Roman"/>
          <w:lang w:val="de-DE"/>
        </w:rPr>
      </w:pPr>
    </w:p>
    <w:p w14:paraId="0BC32605" w14:textId="77777777" w:rsidR="00AF337C" w:rsidRPr="009737B5" w:rsidRDefault="00AF337C" w:rsidP="0040444C">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4.2</w:t>
      </w:r>
      <w:r w:rsidRPr="009737B5">
        <w:rPr>
          <w:rFonts w:ascii="Times New Roman" w:hAnsi="Times New Roman" w:cs="Times New Roman"/>
          <w:b/>
          <w:lang w:val="de-DE"/>
        </w:rPr>
        <w:tab/>
        <w:t>Dosierung und Art der Anwendung</w:t>
      </w:r>
    </w:p>
    <w:p w14:paraId="58964B55"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18D4DA97" w14:textId="7F31FD9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Applikation von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muss stets unter Aufsicht eines in der Anwendung von antineoplastischen Arzneimitteln erfahrenen Arztes erfolgen.</w:t>
      </w:r>
    </w:p>
    <w:p w14:paraId="38D29D1C" w14:textId="77777777" w:rsidR="00AF337C" w:rsidRPr="009737B5" w:rsidRDefault="00AF337C" w:rsidP="005F4D08">
      <w:pPr>
        <w:suppressAutoHyphens/>
        <w:spacing w:after="0" w:line="240" w:lineRule="auto"/>
        <w:rPr>
          <w:rFonts w:ascii="Times New Roman" w:hAnsi="Times New Roman" w:cs="Times New Roman"/>
          <w:lang w:val="de-DE"/>
        </w:rPr>
      </w:pPr>
    </w:p>
    <w:p w14:paraId="02E2153D" w14:textId="77777777" w:rsidR="00AF337C" w:rsidRPr="009737B5" w:rsidRDefault="00AF337C" w:rsidP="0040444C">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Dosierung</w:t>
      </w:r>
    </w:p>
    <w:p w14:paraId="36558560"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09EA80E8" w14:textId="77777777" w:rsidR="00AF337C" w:rsidRPr="009737B5" w:rsidRDefault="00AF337C" w:rsidP="0040444C">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Metastasiertes Kolorektalkarzinom</w:t>
      </w:r>
    </w:p>
    <w:p w14:paraId="04600446"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7290A98C" w14:textId="4085096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empfohlene, als intravenöse Infusion applizierte </w:t>
      </w:r>
      <w:r w:rsidR="00885FD1" w:rsidRPr="009737B5">
        <w:rPr>
          <w:rFonts w:ascii="Times New Roman" w:hAnsi="Times New Roman" w:cs="Times New Roman"/>
          <w:lang w:val="de-DE"/>
        </w:rPr>
        <w:t>MVASI</w:t>
      </w:r>
      <w:r w:rsidR="00005528" w:rsidRPr="009737B5">
        <w:rPr>
          <w:rFonts w:ascii="Times New Roman" w:hAnsi="Times New Roman" w:cs="Times New Roman"/>
          <w:lang w:val="de-DE"/>
        </w:rPr>
        <w:t>-</w:t>
      </w:r>
      <w:r w:rsidRPr="009737B5">
        <w:rPr>
          <w:rFonts w:ascii="Times New Roman" w:hAnsi="Times New Roman" w:cs="Times New Roman"/>
          <w:lang w:val="de-DE"/>
        </w:rPr>
        <w:t>Dosis beträgt entweder 5</w:t>
      </w:r>
      <w:r w:rsidR="00AB26B9" w:rsidRPr="009737B5">
        <w:rPr>
          <w:rFonts w:ascii="Times New Roman" w:hAnsi="Times New Roman" w:cs="Times New Roman"/>
          <w:lang w:val="de-DE"/>
        </w:rPr>
        <w:t> mg</w:t>
      </w:r>
      <w:r w:rsidRPr="009737B5">
        <w:rPr>
          <w:rFonts w:ascii="Times New Roman" w:hAnsi="Times New Roman" w:cs="Times New Roman"/>
          <w:lang w:val="de-DE"/>
        </w:rPr>
        <w:t>/kg oder 10</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/kg Körpergewicht einmal </w:t>
      </w:r>
      <w:r w:rsidRPr="009737B5">
        <w:rPr>
          <w:rFonts w:ascii="Times New Roman" w:hAnsi="Times New Roman" w:cs="Times New Roman"/>
          <w:u w:val="single"/>
          <w:lang w:val="de-DE"/>
        </w:rPr>
        <w:t>alle 2</w:t>
      </w:r>
      <w:r w:rsidR="00D83EB7">
        <w:rPr>
          <w:rFonts w:ascii="Times New Roman" w:hAnsi="Times New Roman" w:cs="Times New Roman"/>
          <w:u w:val="single"/>
          <w:lang w:val="de-DE"/>
        </w:rPr>
        <w:t> </w:t>
      </w:r>
      <w:r w:rsidRPr="009737B5">
        <w:rPr>
          <w:rFonts w:ascii="Times New Roman" w:hAnsi="Times New Roman" w:cs="Times New Roman"/>
          <w:u w:val="single"/>
          <w:lang w:val="de-DE"/>
        </w:rPr>
        <w:t>Wochen</w:t>
      </w:r>
      <w:r w:rsidRPr="009737B5">
        <w:rPr>
          <w:rFonts w:ascii="Times New Roman" w:hAnsi="Times New Roman" w:cs="Times New Roman"/>
          <w:lang w:val="de-DE"/>
        </w:rPr>
        <w:t xml:space="preserve"> oder 7,5</w:t>
      </w:r>
      <w:r w:rsidR="00AB26B9" w:rsidRPr="009737B5">
        <w:rPr>
          <w:rFonts w:ascii="Times New Roman" w:hAnsi="Times New Roman" w:cs="Times New Roman"/>
          <w:lang w:val="de-DE"/>
        </w:rPr>
        <w:t> mg</w:t>
      </w:r>
      <w:r w:rsidRPr="009737B5">
        <w:rPr>
          <w:rFonts w:ascii="Times New Roman" w:hAnsi="Times New Roman" w:cs="Times New Roman"/>
          <w:lang w:val="de-DE"/>
        </w:rPr>
        <w:t>/kg oder 15</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/kg Körpergewicht einmal </w:t>
      </w:r>
      <w:r w:rsidRPr="009737B5">
        <w:rPr>
          <w:rFonts w:ascii="Times New Roman" w:hAnsi="Times New Roman" w:cs="Times New Roman"/>
          <w:u w:val="single"/>
          <w:lang w:val="de-DE"/>
        </w:rPr>
        <w:t>alle 3</w:t>
      </w:r>
      <w:r w:rsidR="00D83EB7">
        <w:rPr>
          <w:rFonts w:ascii="Times New Roman" w:hAnsi="Times New Roman" w:cs="Times New Roman"/>
          <w:u w:val="single"/>
          <w:lang w:val="de-DE"/>
        </w:rPr>
        <w:t> </w:t>
      </w:r>
      <w:r w:rsidRPr="009737B5">
        <w:rPr>
          <w:rFonts w:ascii="Times New Roman" w:hAnsi="Times New Roman" w:cs="Times New Roman"/>
          <w:u w:val="single"/>
          <w:lang w:val="de-DE"/>
        </w:rPr>
        <w:t>Wochen</w:t>
      </w:r>
      <w:r w:rsidRPr="009737B5">
        <w:rPr>
          <w:rFonts w:ascii="Times New Roman" w:hAnsi="Times New Roman" w:cs="Times New Roman"/>
          <w:lang w:val="de-DE"/>
        </w:rPr>
        <w:t>.</w:t>
      </w:r>
    </w:p>
    <w:p w14:paraId="32C561F0" w14:textId="77777777" w:rsidR="00486BF2" w:rsidRPr="009737B5" w:rsidRDefault="00486BF2" w:rsidP="005F4D08">
      <w:pPr>
        <w:suppressAutoHyphens/>
        <w:spacing w:after="0" w:line="240" w:lineRule="auto"/>
        <w:rPr>
          <w:rFonts w:ascii="Times New Roman" w:hAnsi="Times New Roman" w:cs="Times New Roman"/>
          <w:lang w:val="de-DE"/>
        </w:rPr>
      </w:pPr>
    </w:p>
    <w:p w14:paraId="594AF440"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wird empfohlen, die Behandlung bis zum Fortschreiten der Grunderkrankung oder bis zum Auftreten nicht mehr tolerierbarer Nebenwirkungen fortzuführen.</w:t>
      </w:r>
    </w:p>
    <w:p w14:paraId="2B8920B4" w14:textId="77777777" w:rsidR="00AF337C" w:rsidRPr="009737B5" w:rsidRDefault="00AF337C" w:rsidP="005F4D08">
      <w:pPr>
        <w:suppressAutoHyphens/>
        <w:spacing w:after="0" w:line="240" w:lineRule="auto"/>
        <w:rPr>
          <w:rFonts w:ascii="Times New Roman" w:hAnsi="Times New Roman" w:cs="Times New Roman"/>
          <w:lang w:val="de-DE"/>
        </w:rPr>
      </w:pPr>
    </w:p>
    <w:p w14:paraId="46B870FB" w14:textId="77777777" w:rsidR="00AF337C" w:rsidRPr="009737B5" w:rsidRDefault="00AF337C" w:rsidP="0040444C">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Metastasiertes Mammakarzinom</w:t>
      </w:r>
    </w:p>
    <w:p w14:paraId="2CD333FD"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3D7E2C7B" w14:textId="3DD950D2"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empfohlene </w:t>
      </w:r>
      <w:r w:rsidR="00885FD1" w:rsidRPr="009737B5">
        <w:rPr>
          <w:rFonts w:ascii="Times New Roman" w:hAnsi="Times New Roman" w:cs="Times New Roman"/>
          <w:lang w:val="de-DE"/>
        </w:rPr>
        <w:t>MVASI</w:t>
      </w:r>
      <w:r w:rsidR="00005528" w:rsidRPr="009737B5">
        <w:rPr>
          <w:rFonts w:ascii="Times New Roman" w:hAnsi="Times New Roman" w:cs="Times New Roman"/>
          <w:lang w:val="de-DE"/>
        </w:rPr>
        <w:t>-</w:t>
      </w:r>
      <w:r w:rsidRPr="009737B5">
        <w:rPr>
          <w:rFonts w:ascii="Times New Roman" w:hAnsi="Times New Roman" w:cs="Times New Roman"/>
          <w:lang w:val="de-DE"/>
        </w:rPr>
        <w:t>Dosis beträgt 10</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einmal alle 2</w:t>
      </w:r>
      <w:r w:rsidR="00D83EB7">
        <w:rPr>
          <w:rFonts w:ascii="Times New Roman" w:hAnsi="Times New Roman" w:cs="Times New Roman"/>
          <w:lang w:val="de-DE"/>
        </w:rPr>
        <w:t> </w:t>
      </w:r>
      <w:r w:rsidRPr="009737B5">
        <w:rPr>
          <w:rFonts w:ascii="Times New Roman" w:hAnsi="Times New Roman" w:cs="Times New Roman"/>
          <w:lang w:val="de-DE"/>
        </w:rPr>
        <w:t>Wochen oder 15</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einmal alle 3</w:t>
      </w:r>
      <w:r w:rsidR="00D83EB7">
        <w:rPr>
          <w:rFonts w:ascii="Times New Roman" w:hAnsi="Times New Roman" w:cs="Times New Roman"/>
          <w:lang w:val="de-DE"/>
        </w:rPr>
        <w:t> </w:t>
      </w:r>
      <w:r w:rsidRPr="009737B5">
        <w:rPr>
          <w:rFonts w:ascii="Times New Roman" w:hAnsi="Times New Roman" w:cs="Times New Roman"/>
          <w:lang w:val="de-DE"/>
        </w:rPr>
        <w:t>Wochen als intravenöse Infusion.</w:t>
      </w:r>
    </w:p>
    <w:p w14:paraId="2C7D2DAC" w14:textId="77777777" w:rsidR="00AB26B9" w:rsidRPr="009737B5" w:rsidRDefault="00AB26B9" w:rsidP="005F4D08">
      <w:pPr>
        <w:suppressAutoHyphens/>
        <w:spacing w:after="0" w:line="240" w:lineRule="auto"/>
        <w:rPr>
          <w:rFonts w:ascii="Times New Roman" w:hAnsi="Times New Roman" w:cs="Times New Roman"/>
          <w:lang w:val="de-DE"/>
        </w:rPr>
      </w:pPr>
    </w:p>
    <w:p w14:paraId="594DE1CB"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wird empfohlen, die Behandlung bis zum Fortschreiten der Grunderkrankung oder bis zum Auftreten nicht mehr tolerierbarer Nebenwirkungen fortzuführen.</w:t>
      </w:r>
    </w:p>
    <w:p w14:paraId="1BDC1F6F" w14:textId="77777777" w:rsidR="00AF337C" w:rsidRPr="009737B5" w:rsidRDefault="00AF337C" w:rsidP="005F4D08">
      <w:pPr>
        <w:suppressAutoHyphens/>
        <w:spacing w:after="0" w:line="240" w:lineRule="auto"/>
        <w:rPr>
          <w:rFonts w:ascii="Times New Roman" w:hAnsi="Times New Roman" w:cs="Times New Roman"/>
          <w:lang w:val="de-DE"/>
        </w:rPr>
      </w:pPr>
    </w:p>
    <w:p w14:paraId="66AEB45F" w14:textId="77777777" w:rsidR="00AF337C" w:rsidRPr="009737B5" w:rsidRDefault="00AF337C" w:rsidP="0040444C">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lastRenderedPageBreak/>
        <w:t>Nicht-kleinzelliges Bronchialkarzinom</w:t>
      </w:r>
    </w:p>
    <w:p w14:paraId="574A928D"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62E51698" w14:textId="77777777" w:rsidR="00AF337C" w:rsidRPr="009737B5" w:rsidRDefault="00AF337C" w:rsidP="0040444C">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First-Line-Behandlung des nicht-kleinzelligen Nicht-Plattenepithel-Bronchialkarzinoms in Kombination mit einer platinhaltigen Chemotherapie</w:t>
      </w:r>
    </w:p>
    <w:p w14:paraId="09A0AA3A"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73AF20D9" w14:textId="54FE6D11" w:rsidR="00057B8B"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AF337C" w:rsidRPr="009737B5">
        <w:rPr>
          <w:rFonts w:ascii="Times New Roman" w:hAnsi="Times New Roman" w:cs="Times New Roman"/>
          <w:lang w:val="de-DE"/>
        </w:rPr>
        <w:t xml:space="preserve"> wird über bis zu 6</w:t>
      </w:r>
      <w:r w:rsidR="00D83EB7">
        <w:rPr>
          <w:rFonts w:ascii="Times New Roman" w:hAnsi="Times New Roman" w:cs="Times New Roman"/>
          <w:lang w:val="de-DE"/>
        </w:rPr>
        <w:t> </w:t>
      </w:r>
      <w:r w:rsidR="00AF337C" w:rsidRPr="009737B5">
        <w:rPr>
          <w:rFonts w:ascii="Times New Roman" w:hAnsi="Times New Roman" w:cs="Times New Roman"/>
          <w:lang w:val="de-DE"/>
        </w:rPr>
        <w:t>Behandlungszyklen zusätzlich zu einer platinhaltigen Chemotherapie und in der Folge bis zum Fortschreiten der Erkrankung als Monotherapie angewendet.</w:t>
      </w:r>
    </w:p>
    <w:p w14:paraId="208C245D" w14:textId="77777777" w:rsidR="00057B8B" w:rsidRPr="009737B5" w:rsidRDefault="00057B8B" w:rsidP="005F4D08">
      <w:pPr>
        <w:suppressAutoHyphens/>
        <w:spacing w:after="0" w:line="240" w:lineRule="auto"/>
        <w:rPr>
          <w:rFonts w:ascii="Times New Roman" w:hAnsi="Times New Roman" w:cs="Times New Roman"/>
          <w:lang w:val="de-DE"/>
        </w:rPr>
      </w:pPr>
    </w:p>
    <w:p w14:paraId="3B5BBD41" w14:textId="3FAB0AC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empfohlene </w:t>
      </w:r>
      <w:r w:rsidR="00885FD1" w:rsidRPr="009737B5">
        <w:rPr>
          <w:rFonts w:ascii="Times New Roman" w:hAnsi="Times New Roman" w:cs="Times New Roman"/>
          <w:lang w:val="de-DE"/>
        </w:rPr>
        <w:t>MVASI</w:t>
      </w:r>
      <w:r w:rsidR="00005528" w:rsidRPr="009737B5">
        <w:rPr>
          <w:rFonts w:ascii="Times New Roman" w:hAnsi="Times New Roman" w:cs="Times New Roman"/>
          <w:lang w:val="de-DE"/>
        </w:rPr>
        <w:t>-</w:t>
      </w:r>
      <w:r w:rsidRPr="009737B5">
        <w:rPr>
          <w:rFonts w:ascii="Times New Roman" w:hAnsi="Times New Roman" w:cs="Times New Roman"/>
          <w:lang w:val="de-DE"/>
        </w:rPr>
        <w:t>Dosis beträgt 7,5</w:t>
      </w:r>
      <w:r w:rsidR="00AB26B9" w:rsidRPr="009737B5">
        <w:rPr>
          <w:rFonts w:ascii="Times New Roman" w:hAnsi="Times New Roman" w:cs="Times New Roman"/>
          <w:lang w:val="de-DE"/>
        </w:rPr>
        <w:t> mg</w:t>
      </w:r>
      <w:r w:rsidRPr="009737B5">
        <w:rPr>
          <w:rFonts w:ascii="Times New Roman" w:hAnsi="Times New Roman" w:cs="Times New Roman"/>
          <w:lang w:val="de-DE"/>
        </w:rPr>
        <w:t>/kg oder 15</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einmal alle 3</w:t>
      </w:r>
      <w:r w:rsidR="00D83EB7">
        <w:rPr>
          <w:rFonts w:ascii="Times New Roman" w:hAnsi="Times New Roman" w:cs="Times New Roman"/>
          <w:lang w:val="de-DE"/>
        </w:rPr>
        <w:t> </w:t>
      </w:r>
      <w:r w:rsidRPr="009737B5">
        <w:rPr>
          <w:rFonts w:ascii="Times New Roman" w:hAnsi="Times New Roman" w:cs="Times New Roman"/>
          <w:lang w:val="de-DE"/>
        </w:rPr>
        <w:t>Wochen als intravenöse Infusion.</w:t>
      </w:r>
    </w:p>
    <w:p w14:paraId="49784CAA" w14:textId="77777777" w:rsidR="00D81BEF" w:rsidRPr="009737B5" w:rsidRDefault="00D81BEF" w:rsidP="005F4D08">
      <w:pPr>
        <w:suppressAutoHyphens/>
        <w:spacing w:after="0" w:line="240" w:lineRule="auto"/>
        <w:rPr>
          <w:rFonts w:ascii="Times New Roman" w:hAnsi="Times New Roman" w:cs="Times New Roman"/>
          <w:lang w:val="de-DE"/>
        </w:rPr>
      </w:pPr>
    </w:p>
    <w:p w14:paraId="2721FEBC" w14:textId="1FC959D3"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Der klinische Nutzen bei Patienten mit nicht-kleinzelligem Bronchialkarzinom wurde sowohl mit der 7,5</w:t>
      </w:r>
      <w:r w:rsidR="00E51B9D">
        <w:rPr>
          <w:rFonts w:ascii="Times New Roman" w:hAnsi="Times New Roman" w:cs="Times New Roman"/>
          <w:lang w:val="de-DE"/>
        </w:rPr>
        <w:t> </w:t>
      </w:r>
      <w:r w:rsidRPr="009737B5">
        <w:rPr>
          <w:rFonts w:ascii="Times New Roman" w:hAnsi="Times New Roman" w:cs="Times New Roman"/>
          <w:lang w:val="de-DE"/>
        </w:rPr>
        <w:t>mg/kg- als auch mit der 15</w:t>
      </w:r>
      <w:r w:rsidR="00E51B9D">
        <w:rPr>
          <w:rFonts w:ascii="Times New Roman" w:hAnsi="Times New Roman" w:cs="Times New Roman"/>
          <w:lang w:val="de-DE"/>
        </w:rPr>
        <w:t> </w:t>
      </w:r>
      <w:r w:rsidRPr="009737B5">
        <w:rPr>
          <w:rFonts w:ascii="Times New Roman" w:hAnsi="Times New Roman" w:cs="Times New Roman"/>
          <w:lang w:val="de-DE"/>
        </w:rPr>
        <w:t>mg/kg-Dosierung gezeigt (siehe Abschnitt</w:t>
      </w:r>
      <w:r w:rsidR="00D83EB7">
        <w:rPr>
          <w:rFonts w:ascii="Times New Roman" w:hAnsi="Times New Roman" w:cs="Times New Roman"/>
          <w:lang w:val="de-DE"/>
        </w:rPr>
        <w:t> </w:t>
      </w:r>
      <w:r w:rsidRPr="009737B5">
        <w:rPr>
          <w:rFonts w:ascii="Times New Roman" w:hAnsi="Times New Roman" w:cs="Times New Roman"/>
          <w:lang w:val="de-DE"/>
        </w:rPr>
        <w:t>5.1).</w:t>
      </w:r>
    </w:p>
    <w:p w14:paraId="5E363821" w14:textId="77777777" w:rsidR="00D81BEF" w:rsidRPr="009737B5" w:rsidRDefault="00D81BEF" w:rsidP="005F4D08">
      <w:pPr>
        <w:suppressAutoHyphens/>
        <w:spacing w:after="0" w:line="240" w:lineRule="auto"/>
        <w:rPr>
          <w:rFonts w:ascii="Times New Roman" w:hAnsi="Times New Roman" w:cs="Times New Roman"/>
          <w:lang w:val="de-DE"/>
        </w:rPr>
      </w:pPr>
    </w:p>
    <w:p w14:paraId="61142EEA" w14:textId="6DD4B631" w:rsidR="00AF337C"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wird empfohlen, die Behandlung bis zum Fortschreiten der Grunderkrankung oder bis zum Auftreten nicht mehr tolerierbarer Nebenwirkungen fortzuführen.</w:t>
      </w:r>
    </w:p>
    <w:p w14:paraId="145E60CD" w14:textId="77777777" w:rsidR="000F4637" w:rsidRPr="009737B5" w:rsidRDefault="000F4637" w:rsidP="005F4D08">
      <w:pPr>
        <w:suppressAutoHyphens/>
        <w:spacing w:after="0" w:line="240" w:lineRule="auto"/>
        <w:rPr>
          <w:rFonts w:ascii="Times New Roman" w:hAnsi="Times New Roman" w:cs="Times New Roman"/>
          <w:lang w:val="de-DE"/>
        </w:rPr>
      </w:pPr>
    </w:p>
    <w:p w14:paraId="43765344" w14:textId="477BEE72" w:rsidR="000F4637" w:rsidRPr="00102759" w:rsidRDefault="000F4637" w:rsidP="000F4637">
      <w:pPr>
        <w:suppressAutoHyphens/>
        <w:spacing w:after="0" w:line="240" w:lineRule="auto"/>
        <w:rPr>
          <w:rFonts w:ascii="Times New Roman" w:hAnsi="Times New Roman" w:cs="Times New Roman"/>
          <w:i/>
          <w:iCs/>
          <w:lang w:val="de-DE"/>
        </w:rPr>
      </w:pPr>
      <w:r w:rsidRPr="00102759">
        <w:rPr>
          <w:rFonts w:ascii="Times New Roman" w:hAnsi="Times New Roman" w:cs="Times New Roman"/>
          <w:i/>
          <w:iCs/>
          <w:lang w:val="de-DE"/>
        </w:rPr>
        <w:t>First-Line-Behandlung des nicht-kleinzelligen Nicht-Plattenepithel-Bronchialkarzinoms mit EGFR-aktivierenden Mutationen in Kombination mit Erlotinib</w:t>
      </w:r>
    </w:p>
    <w:p w14:paraId="2D6535F7" w14:textId="77777777" w:rsidR="000F4637" w:rsidRPr="00102759" w:rsidRDefault="000F4637" w:rsidP="000F4637">
      <w:pPr>
        <w:suppressAutoHyphens/>
        <w:spacing w:after="0" w:line="240" w:lineRule="auto"/>
        <w:rPr>
          <w:rFonts w:ascii="Times New Roman" w:hAnsi="Times New Roman" w:cs="Times New Roman"/>
          <w:lang w:val="de-DE"/>
        </w:rPr>
      </w:pPr>
    </w:p>
    <w:p w14:paraId="1ED40B8A" w14:textId="2DE6371D" w:rsidR="000F4637" w:rsidRPr="00102759" w:rsidRDefault="000F4637" w:rsidP="000F4637">
      <w:pPr>
        <w:suppressAutoHyphens/>
        <w:spacing w:after="0" w:line="240" w:lineRule="auto"/>
        <w:rPr>
          <w:rFonts w:ascii="Times New Roman" w:hAnsi="Times New Roman" w:cs="Times New Roman"/>
          <w:lang w:val="de-DE"/>
        </w:rPr>
      </w:pPr>
      <w:r w:rsidRPr="00102759">
        <w:rPr>
          <w:rFonts w:ascii="Times New Roman" w:hAnsi="Times New Roman" w:cs="Times New Roman"/>
          <w:lang w:val="de-DE"/>
        </w:rPr>
        <w:t xml:space="preserve">Vor Beginn einer Behandlung mit der Kombination von </w:t>
      </w:r>
      <w:r w:rsidR="00E43FE2" w:rsidRPr="00102759">
        <w:rPr>
          <w:rFonts w:ascii="Times New Roman" w:hAnsi="Times New Roman" w:cs="Times New Roman"/>
          <w:lang w:val="de-DE"/>
        </w:rPr>
        <w:t>MVASI</w:t>
      </w:r>
      <w:r w:rsidRPr="00102759">
        <w:rPr>
          <w:rFonts w:ascii="Times New Roman" w:hAnsi="Times New Roman" w:cs="Times New Roman"/>
          <w:lang w:val="de-DE"/>
        </w:rPr>
        <w:t xml:space="preserve"> und Erlotinib sollte ein Test auf EGFR-Mutationen durchgeführt werden. Es ist wichtig, eine gut validierte und robuste Methode zu wählen, um falsch negative oder falsch positive Bestimmungen zu vermeiden.</w:t>
      </w:r>
    </w:p>
    <w:p w14:paraId="47CB798F" w14:textId="77777777" w:rsidR="000F4637" w:rsidRPr="00102759" w:rsidRDefault="000F4637" w:rsidP="000F4637">
      <w:pPr>
        <w:suppressAutoHyphens/>
        <w:spacing w:after="0" w:line="240" w:lineRule="auto"/>
        <w:rPr>
          <w:rFonts w:ascii="Times New Roman" w:hAnsi="Times New Roman" w:cs="Times New Roman"/>
          <w:lang w:val="de-DE"/>
        </w:rPr>
      </w:pPr>
    </w:p>
    <w:p w14:paraId="64034747" w14:textId="6984717C" w:rsidR="000F4637" w:rsidRPr="00102759" w:rsidRDefault="00F70482" w:rsidP="000F4637">
      <w:pPr>
        <w:suppressAutoHyphens/>
        <w:spacing w:after="0" w:line="240" w:lineRule="auto"/>
        <w:rPr>
          <w:rFonts w:ascii="Times New Roman" w:hAnsi="Times New Roman" w:cs="Times New Roman"/>
          <w:lang w:val="de-DE"/>
        </w:rPr>
      </w:pPr>
      <w:r w:rsidRPr="00102759">
        <w:rPr>
          <w:rFonts w:ascii="Times New Roman" w:hAnsi="Times New Roman" w:cs="Times New Roman"/>
          <w:lang w:val="de-DE"/>
        </w:rPr>
        <w:t xml:space="preserve">Wird </w:t>
      </w:r>
      <w:r w:rsidR="00E43FE2" w:rsidRPr="00102759">
        <w:rPr>
          <w:rFonts w:ascii="Times New Roman" w:hAnsi="Times New Roman" w:cs="Times New Roman"/>
          <w:lang w:val="de-DE"/>
        </w:rPr>
        <w:t>MVASI</w:t>
      </w:r>
      <w:r w:rsidRPr="00102759">
        <w:rPr>
          <w:rFonts w:ascii="Times New Roman" w:hAnsi="Times New Roman" w:cs="Times New Roman"/>
          <w:lang w:val="de-DE"/>
        </w:rPr>
        <w:t xml:space="preserve"> zusätzlich zu Erlotinib gegeben, beträgt die empfohlene </w:t>
      </w:r>
      <w:r w:rsidR="00E43FE2" w:rsidRPr="00102759">
        <w:rPr>
          <w:rFonts w:ascii="Times New Roman" w:hAnsi="Times New Roman" w:cs="Times New Roman"/>
          <w:lang w:val="de-DE"/>
        </w:rPr>
        <w:t>MVASI-</w:t>
      </w:r>
      <w:r w:rsidRPr="00102759">
        <w:rPr>
          <w:rFonts w:ascii="Times New Roman" w:hAnsi="Times New Roman" w:cs="Times New Roman"/>
          <w:lang w:val="de-DE"/>
        </w:rPr>
        <w:t>Dosis 15</w:t>
      </w:r>
      <w:r w:rsidR="00425D1B">
        <w:rPr>
          <w:rFonts w:ascii="Times New Roman" w:hAnsi="Times New Roman" w:cs="Times New Roman"/>
          <w:lang w:val="de-DE"/>
        </w:rPr>
        <w:t> </w:t>
      </w:r>
      <w:r w:rsidRPr="00102759">
        <w:rPr>
          <w:rFonts w:ascii="Times New Roman" w:hAnsi="Times New Roman" w:cs="Times New Roman"/>
          <w:lang w:val="de-DE"/>
        </w:rPr>
        <w:t>mg/kg Körpergewicht einmal alle 3 Wochen als intravenöse Infusion</w:t>
      </w:r>
      <w:r w:rsidR="000F4637" w:rsidRPr="00102759">
        <w:rPr>
          <w:rFonts w:ascii="Times New Roman" w:hAnsi="Times New Roman" w:cs="Times New Roman"/>
          <w:lang w:val="de-DE"/>
        </w:rPr>
        <w:t>.</w:t>
      </w:r>
    </w:p>
    <w:p w14:paraId="6CD250F2" w14:textId="77777777" w:rsidR="000F4637" w:rsidRPr="00102759" w:rsidRDefault="000F4637" w:rsidP="000F4637">
      <w:pPr>
        <w:suppressAutoHyphens/>
        <w:spacing w:after="0" w:line="240" w:lineRule="auto"/>
        <w:rPr>
          <w:rFonts w:ascii="Times New Roman" w:hAnsi="Times New Roman" w:cs="Times New Roman"/>
          <w:lang w:val="de-DE"/>
        </w:rPr>
      </w:pPr>
    </w:p>
    <w:p w14:paraId="5B78522B" w14:textId="5F60BD8C" w:rsidR="000F4637" w:rsidRPr="00102759" w:rsidRDefault="008A3A64" w:rsidP="000F4637">
      <w:pPr>
        <w:suppressAutoHyphens/>
        <w:spacing w:after="0" w:line="240" w:lineRule="auto"/>
        <w:rPr>
          <w:rFonts w:ascii="Times New Roman" w:hAnsi="Times New Roman" w:cs="Times New Roman"/>
          <w:lang w:val="de-DE"/>
        </w:rPr>
      </w:pPr>
      <w:r w:rsidRPr="00102759">
        <w:rPr>
          <w:rFonts w:ascii="Times New Roman" w:hAnsi="Times New Roman" w:cs="Times New Roman"/>
          <w:lang w:val="de-DE"/>
        </w:rPr>
        <w:t xml:space="preserve">Es wird empfohlen, die Behandlung mit </w:t>
      </w:r>
      <w:r w:rsidR="00E43FE2" w:rsidRPr="00102759">
        <w:rPr>
          <w:rFonts w:ascii="Times New Roman" w:hAnsi="Times New Roman" w:cs="Times New Roman"/>
          <w:lang w:val="de-DE"/>
        </w:rPr>
        <w:t>MVASI</w:t>
      </w:r>
      <w:r w:rsidRPr="00102759">
        <w:rPr>
          <w:rFonts w:ascii="Times New Roman" w:hAnsi="Times New Roman" w:cs="Times New Roman"/>
          <w:lang w:val="de-DE"/>
        </w:rPr>
        <w:t xml:space="preserve"> zusätzlich zu Erlotinib bis zum Fortschreiten der Erkrankung fortzuführen</w:t>
      </w:r>
      <w:r w:rsidR="000F4637" w:rsidRPr="00102759">
        <w:rPr>
          <w:rFonts w:ascii="Times New Roman" w:hAnsi="Times New Roman" w:cs="Times New Roman"/>
          <w:lang w:val="de-DE"/>
        </w:rPr>
        <w:t>.</w:t>
      </w:r>
    </w:p>
    <w:p w14:paraId="31F51802" w14:textId="77777777" w:rsidR="000F4637" w:rsidRPr="00102759" w:rsidRDefault="000F4637" w:rsidP="000F4637">
      <w:pPr>
        <w:suppressAutoHyphens/>
        <w:spacing w:after="0" w:line="240" w:lineRule="auto"/>
        <w:rPr>
          <w:rFonts w:ascii="Times New Roman" w:hAnsi="Times New Roman" w:cs="Times New Roman"/>
          <w:lang w:val="de-DE"/>
        </w:rPr>
      </w:pPr>
    </w:p>
    <w:p w14:paraId="22A6DD25" w14:textId="09E457F2" w:rsidR="000F4637" w:rsidRPr="00102759" w:rsidRDefault="008A3A64" w:rsidP="000F4637">
      <w:pPr>
        <w:suppressAutoHyphens/>
        <w:spacing w:after="0" w:line="240" w:lineRule="auto"/>
        <w:rPr>
          <w:rFonts w:ascii="Times New Roman" w:hAnsi="Times New Roman" w:cs="Times New Roman"/>
          <w:lang w:val="de-DE"/>
        </w:rPr>
      </w:pPr>
      <w:r w:rsidRPr="00102759">
        <w:rPr>
          <w:rFonts w:ascii="Times New Roman" w:hAnsi="Times New Roman" w:cs="Times New Roman"/>
          <w:lang w:val="de-DE"/>
        </w:rPr>
        <w:t>Zur Dosierung und Art der Anwendung von Erlotinib beachten Sie bitte die Fachinformation von Erlotinib</w:t>
      </w:r>
      <w:r w:rsidR="000F4637" w:rsidRPr="00102759">
        <w:rPr>
          <w:rFonts w:ascii="Times New Roman" w:hAnsi="Times New Roman" w:cs="Times New Roman"/>
          <w:lang w:val="de-DE"/>
        </w:rPr>
        <w:t>.</w:t>
      </w:r>
    </w:p>
    <w:p w14:paraId="5E58BA8C" w14:textId="77777777" w:rsidR="00AF337C" w:rsidRPr="009737B5" w:rsidRDefault="00AF337C" w:rsidP="005F4D08">
      <w:pPr>
        <w:suppressAutoHyphens/>
        <w:spacing w:after="0" w:line="240" w:lineRule="auto"/>
        <w:rPr>
          <w:rFonts w:ascii="Times New Roman" w:hAnsi="Times New Roman" w:cs="Times New Roman"/>
          <w:lang w:val="de-DE"/>
        </w:rPr>
      </w:pPr>
    </w:p>
    <w:p w14:paraId="65EC5189" w14:textId="77777777" w:rsidR="00AF337C" w:rsidRPr="009737B5" w:rsidRDefault="00AF337C" w:rsidP="0040444C">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Fortgeschrittenes und/oder metastasiertes Nierenzellkarzinom</w:t>
      </w:r>
    </w:p>
    <w:p w14:paraId="3600E0D1"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5ABD88EB" w14:textId="0A87ABDA"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empfohlene </w:t>
      </w:r>
      <w:r w:rsidR="00885FD1" w:rsidRPr="009737B5">
        <w:rPr>
          <w:rFonts w:ascii="Times New Roman" w:hAnsi="Times New Roman" w:cs="Times New Roman"/>
          <w:lang w:val="de-DE"/>
        </w:rPr>
        <w:t>MVASI</w:t>
      </w:r>
      <w:r w:rsidR="00A611B6" w:rsidRPr="009737B5">
        <w:rPr>
          <w:rFonts w:ascii="Times New Roman" w:hAnsi="Times New Roman" w:cs="Times New Roman"/>
          <w:lang w:val="de-DE"/>
        </w:rPr>
        <w:t>-</w:t>
      </w:r>
      <w:r w:rsidRPr="009737B5">
        <w:rPr>
          <w:rFonts w:ascii="Times New Roman" w:hAnsi="Times New Roman" w:cs="Times New Roman"/>
          <w:lang w:val="de-DE"/>
        </w:rPr>
        <w:t>Dosis beträgt 10</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einmal alle 2</w:t>
      </w:r>
      <w:r w:rsidR="00D83EB7">
        <w:rPr>
          <w:rFonts w:ascii="Times New Roman" w:hAnsi="Times New Roman" w:cs="Times New Roman"/>
          <w:lang w:val="de-DE"/>
        </w:rPr>
        <w:t> </w:t>
      </w:r>
      <w:r w:rsidRPr="009737B5">
        <w:rPr>
          <w:rFonts w:ascii="Times New Roman" w:hAnsi="Times New Roman" w:cs="Times New Roman"/>
          <w:lang w:val="de-DE"/>
        </w:rPr>
        <w:t>Wochen als intravenöse Infusion.</w:t>
      </w:r>
    </w:p>
    <w:p w14:paraId="343A74CA" w14:textId="77777777" w:rsidR="004D3B8A" w:rsidRPr="009737B5" w:rsidRDefault="004D3B8A" w:rsidP="005F4D08">
      <w:pPr>
        <w:suppressAutoHyphens/>
        <w:spacing w:after="0" w:line="240" w:lineRule="auto"/>
        <w:rPr>
          <w:rFonts w:ascii="Times New Roman" w:hAnsi="Times New Roman" w:cs="Times New Roman"/>
          <w:lang w:val="de-DE"/>
        </w:rPr>
      </w:pPr>
    </w:p>
    <w:p w14:paraId="419F45EB"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wird empfohlen, die Behandlung bis zum Fortschreiten der Grunderkrankung oder bis zum Auftreten nicht mehr tolerierbarer Nebenwirkungen fortzuführen.</w:t>
      </w:r>
    </w:p>
    <w:p w14:paraId="164A2EBA" w14:textId="77777777" w:rsidR="00AF337C" w:rsidRPr="009737B5" w:rsidRDefault="00AF337C" w:rsidP="005F4D08">
      <w:pPr>
        <w:suppressAutoHyphens/>
        <w:spacing w:after="0" w:line="240" w:lineRule="auto"/>
        <w:rPr>
          <w:rFonts w:ascii="Times New Roman" w:hAnsi="Times New Roman" w:cs="Times New Roman"/>
          <w:lang w:val="de-DE"/>
        </w:rPr>
      </w:pPr>
    </w:p>
    <w:p w14:paraId="36EF4DB1" w14:textId="77777777" w:rsidR="00AF337C" w:rsidRPr="009737B5" w:rsidRDefault="00AF337C" w:rsidP="0040444C">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Epitheliales Ovarialkarzinom, Eileiterkarzinom und primäres Peritonealkarzinom</w:t>
      </w:r>
    </w:p>
    <w:p w14:paraId="15845B04"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11A46885" w14:textId="3AAD31E5" w:rsidR="0040444C" w:rsidRPr="009737B5" w:rsidRDefault="00AF337C" w:rsidP="002D60F3">
      <w:pPr>
        <w:keepNext/>
        <w:suppressAutoHyphens/>
        <w:spacing w:after="0" w:line="240" w:lineRule="auto"/>
        <w:rPr>
          <w:rFonts w:ascii="Times New Roman" w:hAnsi="Times New Roman" w:cs="Times New Roman"/>
          <w:lang w:val="de-DE"/>
        </w:rPr>
      </w:pPr>
      <w:r w:rsidRPr="009737B5">
        <w:rPr>
          <w:rFonts w:ascii="Times New Roman" w:hAnsi="Times New Roman" w:cs="Times New Roman"/>
          <w:i/>
          <w:lang w:val="de-DE"/>
        </w:rPr>
        <w:t>Primärbehandlung:</w:t>
      </w:r>
      <w:r w:rsidRPr="009737B5">
        <w:rPr>
          <w:rFonts w:ascii="Times New Roman" w:hAnsi="Times New Roman" w:cs="Times New Roman"/>
          <w:lang w:val="de-DE"/>
        </w:rPr>
        <w:t xml:space="preserve">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wird über bis zu 6</w:t>
      </w:r>
      <w:r w:rsidR="00D83EB7">
        <w:rPr>
          <w:rFonts w:ascii="Times New Roman" w:hAnsi="Times New Roman" w:cs="Times New Roman"/>
          <w:lang w:val="de-DE"/>
        </w:rPr>
        <w:t> </w:t>
      </w:r>
      <w:r w:rsidRPr="009737B5">
        <w:rPr>
          <w:rFonts w:ascii="Times New Roman" w:hAnsi="Times New Roman" w:cs="Times New Roman"/>
          <w:lang w:val="de-DE"/>
        </w:rPr>
        <w:t>Behandlungszyklen zusätzlich zu Carboplatin und Paclitaxel und in der Folge als Monotherapie bis zum Fortschreiten der Erkrankung oder bis zu einem</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maximalen Zeitraum von 15</w:t>
      </w:r>
      <w:r w:rsidR="00D83EB7">
        <w:rPr>
          <w:rFonts w:ascii="Times New Roman" w:hAnsi="Times New Roman" w:cs="Times New Roman"/>
          <w:lang w:val="de-DE"/>
        </w:rPr>
        <w:t> </w:t>
      </w:r>
      <w:r w:rsidRPr="009737B5">
        <w:rPr>
          <w:rFonts w:ascii="Times New Roman" w:hAnsi="Times New Roman" w:cs="Times New Roman"/>
          <w:lang w:val="de-DE"/>
        </w:rPr>
        <w:t>Monaten oder bis zum Auftreten nicht mehr tolerierbarer Nebenwirkungen, je nachdem was früher eintritt, angewendet.</w:t>
      </w:r>
    </w:p>
    <w:p w14:paraId="6B4A7567" w14:textId="77777777" w:rsidR="0040444C" w:rsidRPr="009737B5" w:rsidRDefault="0040444C" w:rsidP="005F4D08">
      <w:pPr>
        <w:suppressAutoHyphens/>
        <w:spacing w:after="0" w:line="240" w:lineRule="auto"/>
        <w:rPr>
          <w:rFonts w:ascii="Times New Roman" w:hAnsi="Times New Roman" w:cs="Times New Roman"/>
          <w:lang w:val="de-DE"/>
        </w:rPr>
      </w:pPr>
    </w:p>
    <w:p w14:paraId="2286EE60" w14:textId="21600405"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empfohlene </w:t>
      </w:r>
      <w:r w:rsidR="00885FD1" w:rsidRPr="009737B5">
        <w:rPr>
          <w:rFonts w:ascii="Times New Roman" w:hAnsi="Times New Roman" w:cs="Times New Roman"/>
          <w:lang w:val="de-DE"/>
        </w:rPr>
        <w:t>MVASI</w:t>
      </w:r>
      <w:r w:rsidR="00A611B6" w:rsidRPr="009737B5">
        <w:rPr>
          <w:rFonts w:ascii="Times New Roman" w:hAnsi="Times New Roman" w:cs="Times New Roman"/>
          <w:lang w:val="de-DE"/>
        </w:rPr>
        <w:t>-</w:t>
      </w:r>
      <w:r w:rsidRPr="009737B5">
        <w:rPr>
          <w:rFonts w:ascii="Times New Roman" w:hAnsi="Times New Roman" w:cs="Times New Roman"/>
          <w:lang w:val="de-DE"/>
        </w:rPr>
        <w:t>Dosis beträgt 15</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einmal alle 3</w:t>
      </w:r>
      <w:r w:rsidR="00D83EB7">
        <w:rPr>
          <w:rFonts w:ascii="Times New Roman" w:hAnsi="Times New Roman" w:cs="Times New Roman"/>
          <w:lang w:val="de-DE"/>
        </w:rPr>
        <w:t> </w:t>
      </w:r>
      <w:r w:rsidRPr="009737B5">
        <w:rPr>
          <w:rFonts w:ascii="Times New Roman" w:hAnsi="Times New Roman" w:cs="Times New Roman"/>
          <w:lang w:val="de-DE"/>
        </w:rPr>
        <w:t>Wochen als intravenöse Infusion.</w:t>
      </w:r>
    </w:p>
    <w:p w14:paraId="2D739964" w14:textId="77777777" w:rsidR="00AF337C" w:rsidRPr="009737B5" w:rsidRDefault="00AF337C" w:rsidP="005F4D08">
      <w:pPr>
        <w:suppressAutoHyphens/>
        <w:spacing w:after="0" w:line="240" w:lineRule="auto"/>
        <w:rPr>
          <w:rFonts w:ascii="Times New Roman" w:hAnsi="Times New Roman" w:cs="Times New Roman"/>
          <w:lang w:val="de-DE"/>
        </w:rPr>
      </w:pPr>
    </w:p>
    <w:p w14:paraId="46D053DD" w14:textId="551D7446" w:rsidR="00AF337C" w:rsidRPr="009737B5" w:rsidRDefault="00AF337C" w:rsidP="002D60F3">
      <w:pPr>
        <w:keepNext/>
        <w:suppressAutoHyphens/>
        <w:spacing w:after="0" w:line="240" w:lineRule="auto"/>
        <w:rPr>
          <w:rFonts w:ascii="Times New Roman" w:hAnsi="Times New Roman" w:cs="Times New Roman"/>
          <w:lang w:val="de-DE"/>
        </w:rPr>
      </w:pPr>
      <w:r w:rsidRPr="009737B5">
        <w:rPr>
          <w:rFonts w:ascii="Times New Roman" w:hAnsi="Times New Roman" w:cs="Times New Roman"/>
          <w:i/>
          <w:lang w:val="de-DE"/>
        </w:rPr>
        <w:t>Behandlung des platinsensitiven Rezidivs:</w:t>
      </w:r>
      <w:r w:rsidRPr="009737B5">
        <w:rPr>
          <w:rFonts w:ascii="Times New Roman" w:hAnsi="Times New Roman" w:cs="Times New Roman"/>
          <w:lang w:val="de-DE"/>
        </w:rPr>
        <w:t xml:space="preserve">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wird entweder in Kombination mit Carboplatin und</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Gemcitabin über 6 und bis zu 10</w:t>
      </w:r>
      <w:r w:rsidR="00D83EB7">
        <w:rPr>
          <w:rFonts w:ascii="Times New Roman" w:hAnsi="Times New Roman" w:cs="Times New Roman"/>
          <w:lang w:val="de-DE"/>
        </w:rPr>
        <w:t> </w:t>
      </w:r>
      <w:r w:rsidRPr="009737B5">
        <w:rPr>
          <w:rFonts w:ascii="Times New Roman" w:hAnsi="Times New Roman" w:cs="Times New Roman"/>
          <w:lang w:val="de-DE"/>
        </w:rPr>
        <w:t>Behandlungszyklen oder in Kombination mit Carboplatin und</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Paclitaxel über 6 und bis zu 8</w:t>
      </w:r>
      <w:r w:rsidR="00D83EB7">
        <w:rPr>
          <w:rFonts w:ascii="Times New Roman" w:hAnsi="Times New Roman" w:cs="Times New Roman"/>
          <w:lang w:val="de-DE"/>
        </w:rPr>
        <w:t> </w:t>
      </w:r>
      <w:r w:rsidRPr="009737B5">
        <w:rPr>
          <w:rFonts w:ascii="Times New Roman" w:hAnsi="Times New Roman" w:cs="Times New Roman"/>
          <w:lang w:val="de-DE"/>
        </w:rPr>
        <w:t xml:space="preserve">Behandlungszyklen und in der Folge als Monotherapie bis zum Fortschreiten der Erkrankung angewendet. Die empfohlene </w:t>
      </w:r>
      <w:r w:rsidR="00885FD1" w:rsidRPr="009737B5">
        <w:rPr>
          <w:rFonts w:ascii="Times New Roman" w:hAnsi="Times New Roman" w:cs="Times New Roman"/>
          <w:lang w:val="de-DE"/>
        </w:rPr>
        <w:t>MVASI</w:t>
      </w:r>
      <w:r w:rsidR="00A611B6" w:rsidRPr="009737B5">
        <w:rPr>
          <w:rFonts w:ascii="Times New Roman" w:hAnsi="Times New Roman" w:cs="Times New Roman"/>
          <w:lang w:val="de-DE"/>
        </w:rPr>
        <w:t>-</w:t>
      </w:r>
      <w:r w:rsidRPr="009737B5">
        <w:rPr>
          <w:rFonts w:ascii="Times New Roman" w:hAnsi="Times New Roman" w:cs="Times New Roman"/>
          <w:lang w:val="de-DE"/>
        </w:rPr>
        <w:t>Dosis beträgt 15</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einmal alle 3</w:t>
      </w:r>
      <w:r w:rsidR="00D83EB7">
        <w:rPr>
          <w:rFonts w:ascii="Times New Roman" w:hAnsi="Times New Roman" w:cs="Times New Roman"/>
          <w:lang w:val="de-DE"/>
        </w:rPr>
        <w:t> </w:t>
      </w:r>
      <w:r w:rsidRPr="009737B5">
        <w:rPr>
          <w:rFonts w:ascii="Times New Roman" w:hAnsi="Times New Roman" w:cs="Times New Roman"/>
          <w:lang w:val="de-DE"/>
        </w:rPr>
        <w:t>Wochen als intravenöse Infusion.</w:t>
      </w:r>
    </w:p>
    <w:p w14:paraId="412E2A83" w14:textId="77777777" w:rsidR="00AF337C" w:rsidRPr="009737B5" w:rsidRDefault="00AF337C" w:rsidP="005F4D08">
      <w:pPr>
        <w:suppressAutoHyphens/>
        <w:spacing w:after="0" w:line="240" w:lineRule="auto"/>
        <w:rPr>
          <w:rFonts w:ascii="Times New Roman" w:hAnsi="Times New Roman" w:cs="Times New Roman"/>
          <w:lang w:val="de-DE"/>
        </w:rPr>
      </w:pPr>
    </w:p>
    <w:p w14:paraId="2321CCA4" w14:textId="6D56EC05" w:rsidR="00AF337C" w:rsidRPr="009737B5" w:rsidRDefault="00AF337C" w:rsidP="002D60F3">
      <w:pPr>
        <w:keepNext/>
        <w:suppressAutoHyphens/>
        <w:spacing w:after="0" w:line="240" w:lineRule="auto"/>
        <w:rPr>
          <w:rFonts w:ascii="Times New Roman" w:hAnsi="Times New Roman" w:cs="Times New Roman"/>
          <w:lang w:val="de-DE"/>
        </w:rPr>
      </w:pPr>
      <w:r w:rsidRPr="009737B5">
        <w:rPr>
          <w:rFonts w:ascii="Times New Roman" w:hAnsi="Times New Roman" w:cs="Times New Roman"/>
          <w:i/>
          <w:lang w:val="de-DE"/>
        </w:rPr>
        <w:lastRenderedPageBreak/>
        <w:t>Behandlung des platinresistenten Rezidivs:</w:t>
      </w:r>
      <w:r w:rsidRPr="009737B5">
        <w:rPr>
          <w:rFonts w:ascii="Times New Roman" w:hAnsi="Times New Roman" w:cs="Times New Roman"/>
          <w:lang w:val="de-DE"/>
        </w:rPr>
        <w:t xml:space="preserve">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wird in Kombination mit einer der folgenden Substanzen verabreicht </w:t>
      </w:r>
      <w:r w:rsidR="009C038C" w:rsidRPr="009737B5">
        <w:rPr>
          <w:rFonts w:ascii="Times New Roman" w:hAnsi="Times New Roman" w:cs="Times New Roman"/>
          <w:lang w:val="de-DE"/>
        </w:rPr>
        <w:t xml:space="preserve">– </w:t>
      </w:r>
      <w:r w:rsidR="006E306F" w:rsidRPr="009737B5">
        <w:rPr>
          <w:rFonts w:ascii="Times New Roman" w:hAnsi="Times New Roman" w:cs="Times New Roman"/>
          <w:lang w:val="de-DE"/>
        </w:rPr>
        <w:t>Paclitaxel</w:t>
      </w:r>
      <w:r w:rsidR="006E306F">
        <w:rPr>
          <w:rFonts w:ascii="Times New Roman" w:hAnsi="Times New Roman" w:cs="Times New Roman"/>
          <w:lang w:val="de-DE"/>
        </w:rPr>
        <w:t>,</w:t>
      </w:r>
      <w:r w:rsidR="006E306F" w:rsidRPr="009737B5">
        <w:rPr>
          <w:rFonts w:ascii="Times New Roman" w:hAnsi="Times New Roman" w:cs="Times New Roman"/>
          <w:lang w:val="de-DE"/>
        </w:rPr>
        <w:t xml:space="preserve"> </w:t>
      </w:r>
      <w:r w:rsidRPr="009737B5">
        <w:rPr>
          <w:rFonts w:ascii="Times New Roman" w:hAnsi="Times New Roman" w:cs="Times New Roman"/>
          <w:lang w:val="de-DE"/>
        </w:rPr>
        <w:t xml:space="preserve">Topotecan (wöchentlich verabreicht) oder pegyliertem liposomalen Doxorubicin. Die empfohlene </w:t>
      </w:r>
      <w:r w:rsidR="00885FD1" w:rsidRPr="009737B5">
        <w:rPr>
          <w:rFonts w:ascii="Times New Roman" w:hAnsi="Times New Roman" w:cs="Times New Roman"/>
          <w:lang w:val="de-DE"/>
        </w:rPr>
        <w:t>MVASI</w:t>
      </w:r>
      <w:r w:rsidR="00A611B6" w:rsidRPr="009737B5">
        <w:rPr>
          <w:rFonts w:ascii="Times New Roman" w:hAnsi="Times New Roman" w:cs="Times New Roman"/>
          <w:lang w:val="de-DE"/>
        </w:rPr>
        <w:t>-</w:t>
      </w:r>
      <w:r w:rsidRPr="009737B5">
        <w:rPr>
          <w:rFonts w:ascii="Times New Roman" w:hAnsi="Times New Roman" w:cs="Times New Roman"/>
          <w:lang w:val="de-DE"/>
        </w:rPr>
        <w:t>Dosis beträgt 10</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einmal alle 2</w:t>
      </w:r>
      <w:r w:rsidR="00D83EB7">
        <w:rPr>
          <w:rFonts w:ascii="Times New Roman" w:hAnsi="Times New Roman" w:cs="Times New Roman"/>
          <w:lang w:val="de-DE"/>
        </w:rPr>
        <w:t> </w:t>
      </w:r>
      <w:r w:rsidRPr="009737B5">
        <w:rPr>
          <w:rFonts w:ascii="Times New Roman" w:hAnsi="Times New Roman" w:cs="Times New Roman"/>
          <w:lang w:val="de-DE"/>
        </w:rPr>
        <w:t xml:space="preserve">Wochen als intravenöse Infusion. Wird </w:t>
      </w:r>
      <w:r w:rsidR="00885FD1" w:rsidRPr="009737B5">
        <w:rPr>
          <w:rFonts w:ascii="Times New Roman" w:hAnsi="Times New Roman" w:cs="Times New Roman"/>
          <w:lang w:val="de-DE"/>
        </w:rPr>
        <w:t>MVASI</w:t>
      </w:r>
      <w:r w:rsidR="00A611B6" w:rsidRPr="009737B5" w:rsidDel="00A611B6">
        <w:rPr>
          <w:rFonts w:ascii="Times New Roman" w:hAnsi="Times New Roman" w:cs="Times New Roman"/>
          <w:lang w:val="de-DE"/>
        </w:rPr>
        <w:t xml:space="preserve"> </w:t>
      </w:r>
      <w:r w:rsidRPr="009737B5">
        <w:rPr>
          <w:rFonts w:ascii="Times New Roman" w:hAnsi="Times New Roman" w:cs="Times New Roman"/>
          <w:lang w:val="de-DE"/>
        </w:rPr>
        <w:t>in Kombination mit Topotecan (Verabreichung an den Tagen 1</w:t>
      </w:r>
      <w:r w:rsidR="004A5433">
        <w:rPr>
          <w:rFonts w:ascii="Times New Roman" w:hAnsi="Times New Roman" w:cs="Times New Roman"/>
          <w:lang w:val="de-DE"/>
        </w:rPr>
        <w:t> </w:t>
      </w:r>
      <w:r w:rsidRPr="009737B5">
        <w:rPr>
          <w:rFonts w:ascii="Times New Roman" w:hAnsi="Times New Roman" w:cs="Times New Roman"/>
          <w:lang w:val="de-DE"/>
        </w:rPr>
        <w:t>-</w:t>
      </w:r>
      <w:r w:rsidR="004A5433">
        <w:rPr>
          <w:rFonts w:ascii="Times New Roman" w:hAnsi="Times New Roman" w:cs="Times New Roman"/>
          <w:lang w:val="de-DE"/>
        </w:rPr>
        <w:t> </w:t>
      </w:r>
      <w:r w:rsidRPr="009737B5">
        <w:rPr>
          <w:rFonts w:ascii="Times New Roman" w:hAnsi="Times New Roman" w:cs="Times New Roman"/>
          <w:lang w:val="de-DE"/>
        </w:rPr>
        <w:t>5, alle 3</w:t>
      </w:r>
      <w:r w:rsidR="00D83EB7">
        <w:rPr>
          <w:rFonts w:ascii="Times New Roman" w:hAnsi="Times New Roman" w:cs="Times New Roman"/>
          <w:lang w:val="de-DE"/>
        </w:rPr>
        <w:t> </w:t>
      </w:r>
      <w:r w:rsidRPr="009737B5">
        <w:rPr>
          <w:rFonts w:ascii="Times New Roman" w:hAnsi="Times New Roman" w:cs="Times New Roman"/>
          <w:lang w:val="de-DE"/>
        </w:rPr>
        <w:t xml:space="preserve">Wochen) verwendet, beträgt die empfohlene </w:t>
      </w:r>
      <w:r w:rsidR="00885FD1" w:rsidRPr="009737B5">
        <w:rPr>
          <w:rFonts w:ascii="Times New Roman" w:hAnsi="Times New Roman" w:cs="Times New Roman"/>
          <w:lang w:val="de-DE"/>
        </w:rPr>
        <w:t>MVASI</w:t>
      </w:r>
      <w:r w:rsidR="00A611B6" w:rsidRPr="009737B5">
        <w:rPr>
          <w:rFonts w:ascii="Times New Roman" w:hAnsi="Times New Roman" w:cs="Times New Roman"/>
          <w:lang w:val="de-DE"/>
        </w:rPr>
        <w:t>-</w:t>
      </w:r>
      <w:r w:rsidRPr="009737B5">
        <w:rPr>
          <w:rFonts w:ascii="Times New Roman" w:hAnsi="Times New Roman" w:cs="Times New Roman"/>
          <w:lang w:val="de-DE"/>
        </w:rPr>
        <w:t>Dosis 15</w:t>
      </w:r>
      <w:r w:rsidR="00AB26B9" w:rsidRPr="009737B5">
        <w:rPr>
          <w:rFonts w:ascii="Times New Roman" w:hAnsi="Times New Roman" w:cs="Times New Roman"/>
          <w:lang w:val="de-DE"/>
        </w:rPr>
        <w:t> mg</w:t>
      </w:r>
      <w:r w:rsidRPr="009737B5">
        <w:rPr>
          <w:rFonts w:ascii="Times New Roman" w:hAnsi="Times New Roman" w:cs="Times New Roman"/>
          <w:lang w:val="de-DE"/>
        </w:rPr>
        <w:t>/kg</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Körpergewicht einmal alle 3</w:t>
      </w:r>
      <w:r w:rsidR="00D83EB7">
        <w:rPr>
          <w:rFonts w:ascii="Times New Roman" w:hAnsi="Times New Roman" w:cs="Times New Roman"/>
          <w:lang w:val="de-DE"/>
        </w:rPr>
        <w:t> </w:t>
      </w:r>
      <w:r w:rsidRPr="009737B5">
        <w:rPr>
          <w:rFonts w:ascii="Times New Roman" w:hAnsi="Times New Roman" w:cs="Times New Roman"/>
          <w:lang w:val="de-DE"/>
        </w:rPr>
        <w:t>Wochen als intravenöse Infusion. Es wird empfohlen, die Behandlung bis zur Krankheitsprogression oder bis zum Auftreten nicht mehr tolerierbarer Nebenwirkungen fortzusetzen (siehe Abschnitt</w:t>
      </w:r>
      <w:r w:rsidR="00D83EB7">
        <w:rPr>
          <w:rFonts w:ascii="Times New Roman" w:hAnsi="Times New Roman" w:cs="Times New Roman"/>
          <w:lang w:val="de-DE"/>
        </w:rPr>
        <w:t> </w:t>
      </w:r>
      <w:r w:rsidRPr="009737B5">
        <w:rPr>
          <w:rFonts w:ascii="Times New Roman" w:hAnsi="Times New Roman" w:cs="Times New Roman"/>
          <w:lang w:val="de-DE"/>
        </w:rPr>
        <w:t>5.1, Studie</w:t>
      </w:r>
      <w:r w:rsidR="004A5433">
        <w:rPr>
          <w:rFonts w:ascii="Times New Roman" w:hAnsi="Times New Roman" w:cs="Times New Roman"/>
          <w:lang w:val="de-DE"/>
        </w:rPr>
        <w:t> </w:t>
      </w:r>
      <w:r w:rsidRPr="009737B5">
        <w:rPr>
          <w:rFonts w:ascii="Times New Roman" w:hAnsi="Times New Roman" w:cs="Times New Roman"/>
          <w:lang w:val="de-DE"/>
        </w:rPr>
        <w:t>MO22224).</w:t>
      </w:r>
    </w:p>
    <w:p w14:paraId="62B47C61" w14:textId="77777777" w:rsidR="00AF337C" w:rsidRPr="009737B5" w:rsidRDefault="00AF337C" w:rsidP="005F4D08">
      <w:pPr>
        <w:suppressAutoHyphens/>
        <w:spacing w:after="0" w:line="240" w:lineRule="auto"/>
        <w:rPr>
          <w:rFonts w:ascii="Times New Roman" w:hAnsi="Times New Roman" w:cs="Times New Roman"/>
          <w:lang w:val="de-DE"/>
        </w:rPr>
      </w:pPr>
    </w:p>
    <w:p w14:paraId="4114760C" w14:textId="77777777" w:rsidR="00AF337C" w:rsidRPr="009737B5" w:rsidRDefault="00AF337C" w:rsidP="0040444C">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Zervixkarzinom</w:t>
      </w:r>
    </w:p>
    <w:p w14:paraId="490177E9"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5861FF68" w14:textId="77777777" w:rsidR="00AF337C"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A611B6" w:rsidRPr="009737B5" w:rsidDel="00A611B6">
        <w:rPr>
          <w:rFonts w:ascii="Times New Roman" w:hAnsi="Times New Roman" w:cs="Times New Roman"/>
          <w:lang w:val="de-DE"/>
        </w:rPr>
        <w:t xml:space="preserve"> </w:t>
      </w:r>
      <w:r w:rsidR="00AF337C" w:rsidRPr="009737B5">
        <w:rPr>
          <w:rFonts w:ascii="Times New Roman" w:hAnsi="Times New Roman" w:cs="Times New Roman"/>
          <w:lang w:val="de-DE"/>
        </w:rPr>
        <w:t>wird in Kombination mit einem der folgenden Chemotherapie-Schemata verabreicht:</w:t>
      </w:r>
      <w:r w:rsidR="0040444C" w:rsidRPr="009737B5">
        <w:rPr>
          <w:rFonts w:ascii="Times New Roman" w:hAnsi="Times New Roman" w:cs="Times New Roman"/>
          <w:lang w:val="de-DE"/>
        </w:rPr>
        <w:t xml:space="preserve"> </w:t>
      </w:r>
      <w:r w:rsidR="00AF337C" w:rsidRPr="009737B5">
        <w:rPr>
          <w:rFonts w:ascii="Times New Roman" w:hAnsi="Times New Roman" w:cs="Times New Roman"/>
          <w:lang w:val="de-DE"/>
        </w:rPr>
        <w:t>Paclitaxel und Cisplatin oder Paclitaxel und Topotecan.</w:t>
      </w:r>
    </w:p>
    <w:p w14:paraId="429029D9" w14:textId="77777777" w:rsidR="0040444C" w:rsidRPr="009737B5" w:rsidRDefault="0040444C" w:rsidP="005F4D08">
      <w:pPr>
        <w:suppressAutoHyphens/>
        <w:spacing w:after="0" w:line="240" w:lineRule="auto"/>
        <w:rPr>
          <w:rFonts w:ascii="Times New Roman" w:hAnsi="Times New Roman" w:cs="Times New Roman"/>
          <w:lang w:val="de-DE"/>
        </w:rPr>
      </w:pPr>
    </w:p>
    <w:p w14:paraId="2FA24758" w14:textId="3AA97D12"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empfohlene Dosis von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beträgt 15</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einmal alle 3</w:t>
      </w:r>
      <w:r w:rsidR="004A5433">
        <w:rPr>
          <w:rFonts w:ascii="Times New Roman" w:hAnsi="Times New Roman" w:cs="Times New Roman"/>
          <w:lang w:val="de-DE"/>
        </w:rPr>
        <w:t> </w:t>
      </w:r>
      <w:r w:rsidRPr="009737B5">
        <w:rPr>
          <w:rFonts w:ascii="Times New Roman" w:hAnsi="Times New Roman" w:cs="Times New Roman"/>
          <w:lang w:val="de-DE"/>
        </w:rPr>
        <w:t>Wochen als intravenöse Infusion.</w:t>
      </w:r>
    </w:p>
    <w:p w14:paraId="7F97C8D1" w14:textId="77777777" w:rsidR="00D81BEF" w:rsidRPr="009737B5" w:rsidRDefault="00D81BEF" w:rsidP="005F4D08">
      <w:pPr>
        <w:suppressAutoHyphens/>
        <w:spacing w:after="0" w:line="240" w:lineRule="auto"/>
        <w:rPr>
          <w:rFonts w:ascii="Times New Roman" w:hAnsi="Times New Roman" w:cs="Times New Roman"/>
          <w:lang w:val="de-DE"/>
        </w:rPr>
      </w:pPr>
    </w:p>
    <w:p w14:paraId="7CFFEF8F" w14:textId="132FDBC1"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wird empfohlen, die Behandlung bis zum Fortschreiten der Grunderkrankung oder bis zum Auftreten nicht mehr tolerierbarer Nebenwirkungen fortzuführen (siehe Abschnitt</w:t>
      </w:r>
      <w:r w:rsidR="004A5433">
        <w:rPr>
          <w:rFonts w:ascii="Times New Roman" w:hAnsi="Times New Roman" w:cs="Times New Roman"/>
          <w:lang w:val="de-DE"/>
        </w:rPr>
        <w:t> </w:t>
      </w:r>
      <w:r w:rsidRPr="009737B5">
        <w:rPr>
          <w:rFonts w:ascii="Times New Roman" w:hAnsi="Times New Roman" w:cs="Times New Roman"/>
          <w:lang w:val="de-DE"/>
        </w:rPr>
        <w:t>5.1).</w:t>
      </w:r>
    </w:p>
    <w:p w14:paraId="0196480D" w14:textId="77777777" w:rsidR="0040444C" w:rsidRPr="009737B5" w:rsidRDefault="0040444C" w:rsidP="005F4D08">
      <w:pPr>
        <w:suppressAutoHyphens/>
        <w:spacing w:after="0" w:line="240" w:lineRule="auto"/>
        <w:rPr>
          <w:rFonts w:ascii="Times New Roman" w:hAnsi="Times New Roman" w:cs="Times New Roman"/>
          <w:lang w:val="de-DE"/>
        </w:rPr>
      </w:pPr>
    </w:p>
    <w:p w14:paraId="7D56BB03" w14:textId="77777777" w:rsidR="00AF337C" w:rsidRPr="00707280" w:rsidRDefault="00AF337C" w:rsidP="0040444C">
      <w:pPr>
        <w:keepNext/>
        <w:suppressAutoHyphens/>
        <w:spacing w:after="0" w:line="240" w:lineRule="auto"/>
        <w:rPr>
          <w:rFonts w:ascii="Times New Roman" w:hAnsi="Times New Roman" w:cs="Times New Roman"/>
          <w:iCs/>
          <w:u w:val="single"/>
          <w:lang w:val="de-DE"/>
        </w:rPr>
      </w:pPr>
      <w:r w:rsidRPr="00707280">
        <w:rPr>
          <w:rFonts w:ascii="Times New Roman" w:hAnsi="Times New Roman" w:cs="Times New Roman"/>
          <w:iCs/>
          <w:u w:val="single"/>
          <w:lang w:val="de-DE"/>
        </w:rPr>
        <w:t>Spezielle Patientengruppen</w:t>
      </w:r>
    </w:p>
    <w:p w14:paraId="03516D50"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023D2499" w14:textId="57F3A54C" w:rsidR="007C2E50" w:rsidRDefault="00AF337C" w:rsidP="002D60F3">
      <w:pPr>
        <w:keepNext/>
        <w:suppressAutoHyphens/>
        <w:spacing w:after="0" w:line="240" w:lineRule="auto"/>
        <w:rPr>
          <w:rFonts w:ascii="Times New Roman" w:hAnsi="Times New Roman" w:cs="Times New Roman"/>
          <w:lang w:val="de-DE"/>
        </w:rPr>
      </w:pPr>
      <w:r w:rsidRPr="00707280">
        <w:rPr>
          <w:rFonts w:ascii="Times New Roman" w:hAnsi="Times New Roman" w:cs="Times New Roman"/>
          <w:i/>
          <w:u w:val="single"/>
          <w:lang w:val="de-DE"/>
        </w:rPr>
        <w:t xml:space="preserve">Ältere </w:t>
      </w:r>
      <w:r w:rsidR="00DA7075" w:rsidRPr="00707280">
        <w:rPr>
          <w:rFonts w:ascii="Times New Roman" w:hAnsi="Times New Roman" w:cs="Times New Roman"/>
          <w:i/>
          <w:u w:val="single"/>
          <w:lang w:val="de-DE"/>
        </w:rPr>
        <w:t>Menschen</w:t>
      </w:r>
    </w:p>
    <w:p w14:paraId="4E087D60" w14:textId="77777777" w:rsidR="007C2E50" w:rsidRDefault="007C2E50" w:rsidP="002D60F3">
      <w:pPr>
        <w:keepNext/>
        <w:suppressAutoHyphens/>
        <w:spacing w:after="0" w:line="240" w:lineRule="auto"/>
        <w:rPr>
          <w:rFonts w:ascii="Times New Roman" w:hAnsi="Times New Roman" w:cs="Times New Roman"/>
          <w:lang w:val="de-DE"/>
        </w:rPr>
      </w:pPr>
    </w:p>
    <w:p w14:paraId="65DB4172" w14:textId="6AF82DF8" w:rsidR="00AF337C" w:rsidRPr="009737B5" w:rsidRDefault="00AF337C" w:rsidP="002D60F3">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Patienten</w:t>
      </w:r>
      <w:r w:rsidR="006E306F">
        <w:rPr>
          <w:rFonts w:ascii="Times New Roman" w:hAnsi="Times New Roman" w:cs="Times New Roman"/>
          <w:lang w:val="de-DE"/>
        </w:rPr>
        <w:t xml:space="preserve"> ab 65 Jahren</w:t>
      </w:r>
      <w:r w:rsidRPr="009737B5">
        <w:rPr>
          <w:rFonts w:ascii="Times New Roman" w:hAnsi="Times New Roman" w:cs="Times New Roman"/>
          <w:lang w:val="de-DE"/>
        </w:rPr>
        <w:t xml:space="preserve"> ist keine Dosisanpassung erforderlich.</w:t>
      </w:r>
    </w:p>
    <w:p w14:paraId="276A92C7" w14:textId="77777777" w:rsidR="00AF337C" w:rsidRPr="009737B5" w:rsidRDefault="00AF337C" w:rsidP="005F4D08">
      <w:pPr>
        <w:suppressAutoHyphens/>
        <w:spacing w:after="0" w:line="240" w:lineRule="auto"/>
        <w:rPr>
          <w:rFonts w:ascii="Times New Roman" w:hAnsi="Times New Roman" w:cs="Times New Roman"/>
          <w:lang w:val="de-DE"/>
        </w:rPr>
      </w:pPr>
    </w:p>
    <w:p w14:paraId="27575B6F" w14:textId="4D32FB17" w:rsidR="00DA7075" w:rsidRDefault="00AF337C" w:rsidP="002D60F3">
      <w:pPr>
        <w:keepNext/>
        <w:suppressAutoHyphens/>
        <w:spacing w:after="0" w:line="240" w:lineRule="auto"/>
        <w:rPr>
          <w:rFonts w:ascii="Times New Roman" w:hAnsi="Times New Roman" w:cs="Times New Roman"/>
          <w:lang w:val="de-DE"/>
        </w:rPr>
      </w:pPr>
      <w:r w:rsidRPr="00707280">
        <w:rPr>
          <w:rFonts w:ascii="Times New Roman" w:hAnsi="Times New Roman" w:cs="Times New Roman"/>
          <w:i/>
          <w:u w:val="single"/>
          <w:lang w:val="de-DE"/>
        </w:rPr>
        <w:t>Nierenfunktionsstörungen</w:t>
      </w:r>
    </w:p>
    <w:p w14:paraId="7B89B015" w14:textId="77777777" w:rsidR="00DA7075" w:rsidRDefault="00DA7075" w:rsidP="002D60F3">
      <w:pPr>
        <w:keepNext/>
        <w:suppressAutoHyphens/>
        <w:spacing w:after="0" w:line="240" w:lineRule="auto"/>
        <w:rPr>
          <w:rFonts w:ascii="Times New Roman" w:hAnsi="Times New Roman" w:cs="Times New Roman"/>
          <w:lang w:val="de-DE"/>
        </w:rPr>
      </w:pPr>
    </w:p>
    <w:p w14:paraId="3E8D970A" w14:textId="024711FC" w:rsidR="00AF337C" w:rsidRPr="009737B5" w:rsidRDefault="00AF337C" w:rsidP="002D60F3">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wurden keine Studien zur Sicherheit und Wirksamkeit bei Patienten mit Nierenfunktionsstörungen durchgeführt (siehe Abschnitt</w:t>
      </w:r>
      <w:r w:rsidR="004A5433">
        <w:rPr>
          <w:rFonts w:ascii="Times New Roman" w:hAnsi="Times New Roman" w:cs="Times New Roman"/>
          <w:lang w:val="de-DE"/>
        </w:rPr>
        <w:t> </w:t>
      </w:r>
      <w:r w:rsidRPr="009737B5">
        <w:rPr>
          <w:rFonts w:ascii="Times New Roman" w:hAnsi="Times New Roman" w:cs="Times New Roman"/>
          <w:lang w:val="de-DE"/>
        </w:rPr>
        <w:t>5.2).</w:t>
      </w:r>
    </w:p>
    <w:p w14:paraId="58E81DB1" w14:textId="77777777" w:rsidR="00AF337C" w:rsidRPr="009737B5" w:rsidRDefault="00AF337C" w:rsidP="005F4D08">
      <w:pPr>
        <w:suppressAutoHyphens/>
        <w:spacing w:after="0" w:line="240" w:lineRule="auto"/>
        <w:rPr>
          <w:rFonts w:ascii="Times New Roman" w:hAnsi="Times New Roman" w:cs="Times New Roman"/>
          <w:lang w:val="de-DE"/>
        </w:rPr>
      </w:pPr>
    </w:p>
    <w:p w14:paraId="11C9E257" w14:textId="559A29A5" w:rsidR="00DA7075" w:rsidRDefault="00AF337C" w:rsidP="002D60F3">
      <w:pPr>
        <w:keepNext/>
        <w:suppressAutoHyphens/>
        <w:spacing w:after="0" w:line="240" w:lineRule="auto"/>
        <w:rPr>
          <w:rFonts w:ascii="Times New Roman" w:hAnsi="Times New Roman" w:cs="Times New Roman"/>
          <w:lang w:val="de-DE"/>
        </w:rPr>
      </w:pPr>
      <w:r w:rsidRPr="00707280">
        <w:rPr>
          <w:rFonts w:ascii="Times New Roman" w:hAnsi="Times New Roman" w:cs="Times New Roman"/>
          <w:i/>
          <w:u w:val="single"/>
          <w:lang w:val="de-DE"/>
        </w:rPr>
        <w:t>Leberfunktionsstörungen</w:t>
      </w:r>
    </w:p>
    <w:p w14:paraId="552130B7" w14:textId="77777777" w:rsidR="00DA7075" w:rsidRDefault="00DA7075" w:rsidP="002D60F3">
      <w:pPr>
        <w:keepNext/>
        <w:suppressAutoHyphens/>
        <w:spacing w:after="0" w:line="240" w:lineRule="auto"/>
        <w:rPr>
          <w:rFonts w:ascii="Times New Roman" w:hAnsi="Times New Roman" w:cs="Times New Roman"/>
          <w:lang w:val="de-DE"/>
        </w:rPr>
      </w:pPr>
    </w:p>
    <w:p w14:paraId="5BC7FEF1" w14:textId="18321A21" w:rsidR="00AF337C" w:rsidRPr="009737B5" w:rsidRDefault="00AF337C" w:rsidP="002D60F3">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wurden keine Studien zur Sicherheit und Wirksamkeit bei Patienten mit Leberfunktionsstörungen durchgeführt (siehe Abschnitt</w:t>
      </w:r>
      <w:r w:rsidR="004A5433">
        <w:rPr>
          <w:rFonts w:ascii="Times New Roman" w:hAnsi="Times New Roman" w:cs="Times New Roman"/>
          <w:lang w:val="de-DE"/>
        </w:rPr>
        <w:t> </w:t>
      </w:r>
      <w:r w:rsidRPr="009737B5">
        <w:rPr>
          <w:rFonts w:ascii="Times New Roman" w:hAnsi="Times New Roman" w:cs="Times New Roman"/>
          <w:lang w:val="de-DE"/>
        </w:rPr>
        <w:t>5.2).</w:t>
      </w:r>
    </w:p>
    <w:p w14:paraId="228C561E" w14:textId="77777777" w:rsidR="00AF337C" w:rsidRPr="009737B5" w:rsidRDefault="00AF337C" w:rsidP="005F4D08">
      <w:pPr>
        <w:suppressAutoHyphens/>
        <w:spacing w:after="0" w:line="240" w:lineRule="auto"/>
        <w:rPr>
          <w:rFonts w:ascii="Times New Roman" w:hAnsi="Times New Roman" w:cs="Times New Roman"/>
          <w:lang w:val="de-DE"/>
        </w:rPr>
      </w:pPr>
    </w:p>
    <w:p w14:paraId="7CD08C52" w14:textId="77777777" w:rsidR="00AF337C" w:rsidRPr="009737B5" w:rsidRDefault="00AF337C" w:rsidP="0040444C">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Kinder und Jugendliche</w:t>
      </w:r>
    </w:p>
    <w:p w14:paraId="67A4144E"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1CABF18B" w14:textId="40EEFAED"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Sicherheit und Wirksamkeit von </w:t>
      </w:r>
      <w:r w:rsidR="00A611B6" w:rsidRPr="009737B5">
        <w:rPr>
          <w:rFonts w:ascii="Times New Roman" w:hAnsi="Times New Roman" w:cs="Times New Roman"/>
          <w:lang w:val="de-DE"/>
        </w:rPr>
        <w:t xml:space="preserve">Bevacizumab </w:t>
      </w:r>
      <w:r w:rsidRPr="009737B5">
        <w:rPr>
          <w:rFonts w:ascii="Times New Roman" w:hAnsi="Times New Roman" w:cs="Times New Roman"/>
          <w:lang w:val="de-DE"/>
        </w:rPr>
        <w:t>bei Kindern unter 18</w:t>
      </w:r>
      <w:r w:rsidR="004C438C" w:rsidRPr="009737B5">
        <w:rPr>
          <w:rFonts w:ascii="Times New Roman" w:hAnsi="Times New Roman" w:cs="Times New Roman"/>
          <w:lang w:val="de-DE"/>
        </w:rPr>
        <w:t> </w:t>
      </w:r>
      <w:r w:rsidRPr="009737B5">
        <w:rPr>
          <w:rFonts w:ascii="Times New Roman" w:hAnsi="Times New Roman" w:cs="Times New Roman"/>
          <w:lang w:val="de-DE"/>
        </w:rPr>
        <w:t xml:space="preserve">Jahren </w:t>
      </w:r>
      <w:r w:rsidR="0093210E" w:rsidRPr="009737B5">
        <w:rPr>
          <w:rFonts w:ascii="Times New Roman" w:hAnsi="Times New Roman" w:cs="Times New Roman"/>
          <w:lang w:val="de-DE"/>
        </w:rPr>
        <w:t xml:space="preserve">sind </w:t>
      </w:r>
      <w:r w:rsidRPr="009737B5">
        <w:rPr>
          <w:rFonts w:ascii="Times New Roman" w:hAnsi="Times New Roman" w:cs="Times New Roman"/>
          <w:lang w:val="de-DE"/>
        </w:rPr>
        <w:t>nicht erwiesen. Zurzeit</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vorliegende Daten sind in den Abschnitten 4.8, 5.1 und 5.2 beschrieben, jedoch kann keine Dosierungsempfehlung gegeben werden.</w:t>
      </w:r>
    </w:p>
    <w:p w14:paraId="0B5E28FB" w14:textId="77777777" w:rsidR="00AF337C" w:rsidRPr="009737B5" w:rsidRDefault="00AF337C" w:rsidP="005F4D08">
      <w:pPr>
        <w:suppressAutoHyphens/>
        <w:spacing w:after="0" w:line="240" w:lineRule="auto"/>
        <w:rPr>
          <w:rFonts w:ascii="Times New Roman" w:hAnsi="Times New Roman" w:cs="Times New Roman"/>
          <w:lang w:val="de-DE"/>
        </w:rPr>
      </w:pPr>
    </w:p>
    <w:p w14:paraId="3656E39A"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gibt keinen relevanten Nutzen für die Anwendung von Bevacizumab bei Kindern und Jugendlichen zur Behandlung von Kolon-, Rektum-, Brust-, Lungen-, Ovarial-, Eileiter-, Peritoneal-, Zervix- und Nierenkarzinom.</w:t>
      </w:r>
    </w:p>
    <w:p w14:paraId="3E664A2F" w14:textId="77777777" w:rsidR="00AF337C" w:rsidRPr="009737B5" w:rsidRDefault="00AF337C" w:rsidP="005F4D08">
      <w:pPr>
        <w:suppressAutoHyphens/>
        <w:spacing w:after="0" w:line="240" w:lineRule="auto"/>
        <w:rPr>
          <w:rFonts w:ascii="Times New Roman" w:hAnsi="Times New Roman" w:cs="Times New Roman"/>
          <w:lang w:val="de-DE"/>
        </w:rPr>
      </w:pPr>
    </w:p>
    <w:p w14:paraId="7538D299" w14:textId="77777777" w:rsidR="00AF337C" w:rsidRPr="009737B5" w:rsidRDefault="00AF337C" w:rsidP="0040444C">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Art der Anwendung</w:t>
      </w:r>
    </w:p>
    <w:p w14:paraId="1FF43C82"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77C203B1" w14:textId="094BB98C" w:rsidR="00AF337C" w:rsidRPr="009737B5" w:rsidRDefault="00E3701B" w:rsidP="005F4D08">
      <w:pPr>
        <w:suppressAutoHyphens/>
        <w:spacing w:after="0" w:line="240" w:lineRule="auto"/>
        <w:rPr>
          <w:rFonts w:ascii="Times New Roman" w:hAnsi="Times New Roman" w:cs="Times New Roman"/>
          <w:lang w:val="de-DE"/>
        </w:rPr>
      </w:pPr>
      <w:r>
        <w:rPr>
          <w:rFonts w:ascii="Times New Roman" w:hAnsi="Times New Roman" w:cs="Times New Roman"/>
          <w:lang w:val="de-DE"/>
        </w:rPr>
        <w:t xml:space="preserve">MVASI ist </w:t>
      </w:r>
      <w:r w:rsidR="0073471A">
        <w:rPr>
          <w:rFonts w:ascii="Times New Roman" w:hAnsi="Times New Roman" w:cs="Times New Roman"/>
          <w:lang w:val="de-DE"/>
        </w:rPr>
        <w:t>zur</w:t>
      </w:r>
      <w:r>
        <w:rPr>
          <w:rFonts w:ascii="Times New Roman" w:hAnsi="Times New Roman" w:cs="Times New Roman"/>
          <w:lang w:val="de-DE"/>
        </w:rPr>
        <w:t xml:space="preserve"> intravenöse</w:t>
      </w:r>
      <w:r w:rsidR="0073471A">
        <w:rPr>
          <w:rFonts w:ascii="Times New Roman" w:hAnsi="Times New Roman" w:cs="Times New Roman"/>
          <w:lang w:val="de-DE"/>
        </w:rPr>
        <w:t>n</w:t>
      </w:r>
      <w:r>
        <w:rPr>
          <w:rFonts w:ascii="Times New Roman" w:hAnsi="Times New Roman" w:cs="Times New Roman"/>
          <w:lang w:val="de-DE"/>
        </w:rPr>
        <w:t xml:space="preserve"> Anwendung</w:t>
      </w:r>
      <w:r w:rsidR="0073471A">
        <w:rPr>
          <w:rFonts w:ascii="Times New Roman" w:hAnsi="Times New Roman" w:cs="Times New Roman"/>
          <w:lang w:val="de-DE"/>
        </w:rPr>
        <w:t xml:space="preserve"> bestimmt</w:t>
      </w:r>
      <w:r>
        <w:rPr>
          <w:rFonts w:ascii="Times New Roman" w:hAnsi="Times New Roman" w:cs="Times New Roman"/>
          <w:lang w:val="de-DE"/>
        </w:rPr>
        <w:t xml:space="preserve">. </w:t>
      </w:r>
      <w:r w:rsidR="00AF337C" w:rsidRPr="009737B5">
        <w:rPr>
          <w:rFonts w:ascii="Times New Roman" w:hAnsi="Times New Roman" w:cs="Times New Roman"/>
          <w:lang w:val="de-DE"/>
        </w:rPr>
        <w:t>Die initiale Dosis sollte über einen Zeitraum von 90</w:t>
      </w:r>
      <w:r w:rsidR="004A5433">
        <w:rPr>
          <w:rFonts w:ascii="Times New Roman" w:hAnsi="Times New Roman" w:cs="Times New Roman"/>
          <w:lang w:val="de-DE"/>
        </w:rPr>
        <w:t> </w:t>
      </w:r>
      <w:r w:rsidR="00AF337C" w:rsidRPr="009737B5">
        <w:rPr>
          <w:rFonts w:ascii="Times New Roman" w:hAnsi="Times New Roman" w:cs="Times New Roman"/>
          <w:lang w:val="de-DE"/>
        </w:rPr>
        <w:t>Minuten als i.v. Infusion appliziert werden. Wenn die erste Infusion gut vertragen wird, kann die zweite Infusion über 60</w:t>
      </w:r>
      <w:r w:rsidR="004A5433">
        <w:rPr>
          <w:rFonts w:ascii="Times New Roman" w:hAnsi="Times New Roman" w:cs="Times New Roman"/>
          <w:lang w:val="de-DE"/>
        </w:rPr>
        <w:t> </w:t>
      </w:r>
      <w:r w:rsidR="00AF337C" w:rsidRPr="009737B5">
        <w:rPr>
          <w:rFonts w:ascii="Times New Roman" w:hAnsi="Times New Roman" w:cs="Times New Roman"/>
          <w:lang w:val="de-DE"/>
        </w:rPr>
        <w:t>Minuten erfolgen. Wenn auch die 60-Minuten-Infusion gut vertragen wird, können alle folgenden Infusionen über 30</w:t>
      </w:r>
      <w:r w:rsidR="004A5433">
        <w:rPr>
          <w:rFonts w:ascii="Times New Roman" w:hAnsi="Times New Roman" w:cs="Times New Roman"/>
          <w:lang w:val="de-DE"/>
        </w:rPr>
        <w:t> </w:t>
      </w:r>
      <w:r w:rsidR="00AF337C" w:rsidRPr="009737B5">
        <w:rPr>
          <w:rFonts w:ascii="Times New Roman" w:hAnsi="Times New Roman" w:cs="Times New Roman"/>
          <w:lang w:val="de-DE"/>
        </w:rPr>
        <w:t>Minuten erfolgen.</w:t>
      </w:r>
    </w:p>
    <w:p w14:paraId="69148D8B" w14:textId="77777777" w:rsidR="00AF337C" w:rsidRPr="009737B5" w:rsidRDefault="00AF337C" w:rsidP="005F4D08">
      <w:pPr>
        <w:suppressAutoHyphens/>
        <w:spacing w:after="0" w:line="240" w:lineRule="auto"/>
        <w:rPr>
          <w:rFonts w:ascii="Times New Roman" w:hAnsi="Times New Roman" w:cs="Times New Roman"/>
          <w:lang w:val="de-DE"/>
        </w:rPr>
      </w:pPr>
    </w:p>
    <w:p w14:paraId="5486EB3B" w14:textId="77777777" w:rsidR="00AF337C"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B34D65" w:rsidRPr="009737B5">
        <w:rPr>
          <w:rFonts w:ascii="Times New Roman" w:hAnsi="Times New Roman" w:cs="Times New Roman"/>
          <w:lang w:val="de-DE"/>
        </w:rPr>
        <w:t xml:space="preserve"> </w:t>
      </w:r>
      <w:r w:rsidR="00AF337C" w:rsidRPr="009737B5">
        <w:rPr>
          <w:rFonts w:ascii="Times New Roman" w:hAnsi="Times New Roman" w:cs="Times New Roman"/>
          <w:lang w:val="de-DE"/>
        </w:rPr>
        <w:t>sollte nicht als intravenöse Druck- oder Bolusinjektion angewendet werden.</w:t>
      </w:r>
    </w:p>
    <w:p w14:paraId="56FB1930" w14:textId="77777777" w:rsidR="00AF337C" w:rsidRPr="009737B5" w:rsidRDefault="00AF337C" w:rsidP="005F4D08">
      <w:pPr>
        <w:suppressAutoHyphens/>
        <w:spacing w:after="0" w:line="240" w:lineRule="auto"/>
        <w:rPr>
          <w:rFonts w:ascii="Times New Roman" w:hAnsi="Times New Roman" w:cs="Times New Roman"/>
          <w:lang w:val="de-DE"/>
        </w:rPr>
      </w:pPr>
    </w:p>
    <w:p w14:paraId="7A022FB5" w14:textId="3919EDAD"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lastRenderedPageBreak/>
        <w:t>Eine Dosisreduktion aufgrund von Nebenwirkungen wird nicht empfohlen. Wenn erforderlich, sollte die Behandlung entweder dauerhaft abgesetzt oder, wie in Abschnitt</w:t>
      </w:r>
      <w:r w:rsidR="004A5433">
        <w:rPr>
          <w:rFonts w:ascii="Times New Roman" w:hAnsi="Times New Roman" w:cs="Times New Roman"/>
          <w:lang w:val="de-DE"/>
        </w:rPr>
        <w:t> </w:t>
      </w:r>
      <w:r w:rsidRPr="009737B5">
        <w:rPr>
          <w:rFonts w:ascii="Times New Roman" w:hAnsi="Times New Roman" w:cs="Times New Roman"/>
          <w:lang w:val="de-DE"/>
        </w:rPr>
        <w:t>4.4 beschrieben, zeitweilig ausgesetzt werden.</w:t>
      </w:r>
    </w:p>
    <w:p w14:paraId="40ED3AD3" w14:textId="77777777" w:rsidR="00AF337C" w:rsidRPr="009737B5" w:rsidRDefault="00AF337C" w:rsidP="005F4D08">
      <w:pPr>
        <w:suppressAutoHyphens/>
        <w:spacing w:after="0" w:line="240" w:lineRule="auto"/>
        <w:rPr>
          <w:rFonts w:ascii="Times New Roman" w:hAnsi="Times New Roman" w:cs="Times New Roman"/>
          <w:lang w:val="de-DE"/>
        </w:rPr>
      </w:pPr>
    </w:p>
    <w:p w14:paraId="67F68518" w14:textId="77777777" w:rsidR="0040444C" w:rsidRPr="009737B5" w:rsidRDefault="00AF337C" w:rsidP="0040444C">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Vorsichtsmaßnahmen vor/bei der Handhabung bzw. vor/während der Anwendung des Arzneimittels</w:t>
      </w:r>
    </w:p>
    <w:p w14:paraId="775CDEC1" w14:textId="77777777" w:rsidR="0040444C" w:rsidRPr="009737B5" w:rsidRDefault="0040444C" w:rsidP="0040444C">
      <w:pPr>
        <w:keepNext/>
        <w:suppressAutoHyphens/>
        <w:spacing w:after="0" w:line="240" w:lineRule="auto"/>
        <w:rPr>
          <w:rFonts w:ascii="Times New Roman" w:hAnsi="Times New Roman" w:cs="Times New Roman"/>
          <w:lang w:val="de-DE"/>
        </w:rPr>
      </w:pPr>
    </w:p>
    <w:p w14:paraId="40DA87AD" w14:textId="051D9E50"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Hinweise zur Verdünnung des Arzneimittels vor der Anwendung, siehe Abschnitt</w:t>
      </w:r>
      <w:r w:rsidR="004A5433">
        <w:rPr>
          <w:rFonts w:ascii="Times New Roman" w:hAnsi="Times New Roman" w:cs="Times New Roman"/>
          <w:lang w:val="de-DE"/>
        </w:rPr>
        <w:t> </w:t>
      </w:r>
      <w:r w:rsidRPr="009737B5">
        <w:rPr>
          <w:rFonts w:ascii="Times New Roman" w:hAnsi="Times New Roman" w:cs="Times New Roman"/>
          <w:lang w:val="de-DE"/>
        </w:rPr>
        <w:t xml:space="preserve">6.6. </w:t>
      </w:r>
      <w:r w:rsidR="00885FD1" w:rsidRPr="009737B5">
        <w:rPr>
          <w:rFonts w:ascii="Times New Roman" w:hAnsi="Times New Roman" w:cs="Times New Roman"/>
          <w:lang w:val="de-DE"/>
        </w:rPr>
        <w:t>MVASI</w:t>
      </w:r>
      <w:r w:rsidR="00B34D65" w:rsidRPr="009737B5">
        <w:rPr>
          <w:rFonts w:ascii="Times New Roman" w:hAnsi="Times New Roman" w:cs="Times New Roman"/>
          <w:lang w:val="de-DE"/>
        </w:rPr>
        <w:t>-</w:t>
      </w:r>
      <w:r w:rsidRPr="009737B5">
        <w:rPr>
          <w:rFonts w:ascii="Times New Roman" w:hAnsi="Times New Roman" w:cs="Times New Roman"/>
          <w:lang w:val="de-DE"/>
        </w:rPr>
        <w:t>Infusionslösungen dürfen nicht mit Glucoselösungen gemischt oder zusammen appliziert werden. Das Arzneimittel darf, außer mit den unter Abschnitt</w:t>
      </w:r>
      <w:r w:rsidR="004A5433">
        <w:rPr>
          <w:rFonts w:ascii="Times New Roman" w:hAnsi="Times New Roman" w:cs="Times New Roman"/>
          <w:lang w:val="de-DE"/>
        </w:rPr>
        <w:t> </w:t>
      </w:r>
      <w:r w:rsidRPr="009737B5">
        <w:rPr>
          <w:rFonts w:ascii="Times New Roman" w:hAnsi="Times New Roman" w:cs="Times New Roman"/>
          <w:lang w:val="de-DE"/>
        </w:rPr>
        <w:t>6.6 aufgeführten, nicht mit anderen Arzneimitteln gemischt werden.</w:t>
      </w:r>
    </w:p>
    <w:p w14:paraId="1A93D18A" w14:textId="77777777" w:rsidR="00AF337C" w:rsidRPr="009737B5" w:rsidRDefault="00AF337C" w:rsidP="005F4D08">
      <w:pPr>
        <w:suppressAutoHyphens/>
        <w:spacing w:after="0" w:line="240" w:lineRule="auto"/>
        <w:rPr>
          <w:rFonts w:ascii="Times New Roman" w:hAnsi="Times New Roman" w:cs="Times New Roman"/>
          <w:lang w:val="de-DE"/>
        </w:rPr>
      </w:pPr>
    </w:p>
    <w:p w14:paraId="33DA5EDE" w14:textId="77777777" w:rsidR="00AF337C" w:rsidRPr="009737B5" w:rsidRDefault="00AF337C" w:rsidP="0040444C">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4.3</w:t>
      </w:r>
      <w:r w:rsidRPr="009737B5">
        <w:rPr>
          <w:rFonts w:ascii="Times New Roman" w:hAnsi="Times New Roman" w:cs="Times New Roman"/>
          <w:b/>
          <w:lang w:val="de-DE"/>
        </w:rPr>
        <w:tab/>
        <w:t>Gegenanzeigen</w:t>
      </w:r>
    </w:p>
    <w:p w14:paraId="5B764C47" w14:textId="77777777" w:rsidR="00AF337C" w:rsidRPr="009737B5" w:rsidRDefault="00AF337C" w:rsidP="0040444C">
      <w:pPr>
        <w:keepNext/>
        <w:suppressAutoHyphens/>
        <w:spacing w:after="0" w:line="240" w:lineRule="auto"/>
        <w:rPr>
          <w:rFonts w:ascii="Times New Roman" w:hAnsi="Times New Roman" w:cs="Times New Roman"/>
          <w:lang w:val="de-DE"/>
        </w:rPr>
      </w:pPr>
    </w:p>
    <w:p w14:paraId="645933A1" w14:textId="5C4F1843" w:rsidR="00AF337C" w:rsidRPr="009737B5" w:rsidRDefault="00AF337C" w:rsidP="0040444C">
      <w:pPr>
        <w:pStyle w:val="ListParagraph"/>
        <w:keepNext/>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Überempfindlichkeit gegen den Wirkstoff oder einen der in Abschnitt</w:t>
      </w:r>
      <w:r w:rsidR="004A5433">
        <w:rPr>
          <w:rFonts w:ascii="Times New Roman" w:hAnsi="Times New Roman" w:cs="Times New Roman"/>
          <w:lang w:val="de-DE"/>
        </w:rPr>
        <w:t> </w:t>
      </w:r>
      <w:r w:rsidRPr="009737B5">
        <w:rPr>
          <w:rFonts w:ascii="Times New Roman" w:hAnsi="Times New Roman" w:cs="Times New Roman"/>
          <w:lang w:val="de-DE"/>
        </w:rPr>
        <w:t>6.1 genannten sonstigen Bestandteile</w:t>
      </w:r>
      <w:r w:rsidR="0040444C" w:rsidRPr="009737B5">
        <w:rPr>
          <w:rFonts w:ascii="Times New Roman" w:hAnsi="Times New Roman" w:cs="Times New Roman"/>
          <w:lang w:val="de-DE"/>
        </w:rPr>
        <w:t>.</w:t>
      </w:r>
    </w:p>
    <w:p w14:paraId="4D1EA0A6" w14:textId="77777777" w:rsidR="00AF337C" w:rsidRPr="009737B5" w:rsidRDefault="00AF337C" w:rsidP="0040444C">
      <w:pPr>
        <w:pStyle w:val="ListParagraph"/>
        <w:keepNext/>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Überempfindlichkeit gegen CHO-Zellprodukte oder andere rekombinante humane oder humanisierte Antikörper</w:t>
      </w:r>
      <w:r w:rsidR="0040444C" w:rsidRPr="009737B5">
        <w:rPr>
          <w:rFonts w:ascii="Times New Roman" w:hAnsi="Times New Roman" w:cs="Times New Roman"/>
          <w:lang w:val="de-DE"/>
        </w:rPr>
        <w:t>.</w:t>
      </w:r>
    </w:p>
    <w:p w14:paraId="2B05CF21" w14:textId="61629AD4" w:rsidR="00AF337C" w:rsidRPr="009737B5" w:rsidRDefault="00AF337C" w:rsidP="005F4D08">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Schwangerschaft (siehe Abschnitt</w:t>
      </w:r>
      <w:r w:rsidR="004A5433">
        <w:rPr>
          <w:rFonts w:ascii="Times New Roman" w:hAnsi="Times New Roman" w:cs="Times New Roman"/>
          <w:lang w:val="de-DE"/>
        </w:rPr>
        <w:t> </w:t>
      </w:r>
      <w:r w:rsidRPr="009737B5">
        <w:rPr>
          <w:rFonts w:ascii="Times New Roman" w:hAnsi="Times New Roman" w:cs="Times New Roman"/>
          <w:lang w:val="de-DE"/>
        </w:rPr>
        <w:t>4.6).</w:t>
      </w:r>
    </w:p>
    <w:p w14:paraId="18E80220" w14:textId="77777777" w:rsidR="00981D6B" w:rsidRPr="009737B5" w:rsidRDefault="00981D6B" w:rsidP="005F4D08">
      <w:pPr>
        <w:suppressAutoHyphens/>
        <w:spacing w:after="0" w:line="240" w:lineRule="auto"/>
        <w:rPr>
          <w:rFonts w:ascii="Times New Roman" w:hAnsi="Times New Roman" w:cs="Times New Roman"/>
          <w:lang w:val="de-DE"/>
        </w:rPr>
      </w:pPr>
    </w:p>
    <w:p w14:paraId="17A65700" w14:textId="77777777" w:rsidR="00AF337C" w:rsidRPr="009737B5" w:rsidRDefault="00AF337C" w:rsidP="0040444C">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4.4</w:t>
      </w:r>
      <w:r w:rsidRPr="009737B5">
        <w:rPr>
          <w:rFonts w:ascii="Times New Roman" w:hAnsi="Times New Roman" w:cs="Times New Roman"/>
          <w:b/>
          <w:lang w:val="de-DE"/>
        </w:rPr>
        <w:tab/>
        <w:t>Besondere Warnhinweise und Vorsichtsmaßnahmen für die Anwendung</w:t>
      </w:r>
    </w:p>
    <w:p w14:paraId="63645884" w14:textId="73C0EC44" w:rsidR="00AF337C" w:rsidRDefault="00AF337C" w:rsidP="0040444C">
      <w:pPr>
        <w:keepNext/>
        <w:suppressAutoHyphens/>
        <w:spacing w:after="0" w:line="240" w:lineRule="auto"/>
        <w:rPr>
          <w:rFonts w:ascii="Times New Roman" w:hAnsi="Times New Roman" w:cs="Times New Roman"/>
          <w:lang w:val="de-DE"/>
        </w:rPr>
      </w:pPr>
    </w:p>
    <w:p w14:paraId="4B34E6C3" w14:textId="3CAF98CC" w:rsidR="006E306F" w:rsidRPr="0020738C" w:rsidRDefault="006E306F" w:rsidP="0040444C">
      <w:pPr>
        <w:keepNext/>
        <w:suppressAutoHyphens/>
        <w:spacing w:after="0" w:line="240" w:lineRule="auto"/>
        <w:rPr>
          <w:rFonts w:ascii="Times New Roman" w:hAnsi="Times New Roman" w:cs="Times New Roman"/>
          <w:u w:val="single"/>
          <w:lang w:val="de-DE"/>
        </w:rPr>
      </w:pPr>
      <w:r w:rsidRPr="0020738C">
        <w:rPr>
          <w:rFonts w:ascii="Times New Roman" w:hAnsi="Times New Roman" w:cs="Times New Roman"/>
          <w:u w:val="single"/>
          <w:lang w:val="de-DE"/>
        </w:rPr>
        <w:t>Rückverfolgbarkeit</w:t>
      </w:r>
    </w:p>
    <w:p w14:paraId="37859DBB" w14:textId="77777777" w:rsidR="006E306F" w:rsidRPr="009737B5" w:rsidRDefault="006E306F" w:rsidP="0040444C">
      <w:pPr>
        <w:keepNext/>
        <w:suppressAutoHyphens/>
        <w:spacing w:after="0" w:line="240" w:lineRule="auto"/>
        <w:rPr>
          <w:rFonts w:ascii="Times New Roman" w:hAnsi="Times New Roman" w:cs="Times New Roman"/>
          <w:lang w:val="de-DE"/>
        </w:rPr>
      </w:pPr>
    </w:p>
    <w:p w14:paraId="1BA49EAA" w14:textId="2E6B9F5A"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Um die Rückverfolgbarkeit biologischer Arzneimittel zu verbessern, müssen </w:t>
      </w:r>
      <w:r w:rsidR="002B25DE">
        <w:rPr>
          <w:rFonts w:ascii="Times New Roman" w:hAnsi="Times New Roman" w:cs="Times New Roman"/>
          <w:lang w:val="de-DE"/>
        </w:rPr>
        <w:t xml:space="preserve">die Bezeichnung des Arzneimittels </w:t>
      </w:r>
      <w:r w:rsidRPr="009737B5">
        <w:rPr>
          <w:rFonts w:ascii="Times New Roman" w:hAnsi="Times New Roman" w:cs="Times New Roman"/>
          <w:lang w:val="de-DE"/>
        </w:rPr>
        <w:t>und die Chargen</w:t>
      </w:r>
      <w:r w:rsidR="00714040">
        <w:rPr>
          <w:rFonts w:ascii="Times New Roman" w:hAnsi="Times New Roman" w:cs="Times New Roman"/>
          <w:lang w:val="de-DE"/>
        </w:rPr>
        <w:t>bezeichnung</w:t>
      </w:r>
      <w:r w:rsidRPr="009737B5">
        <w:rPr>
          <w:rFonts w:ascii="Times New Roman" w:hAnsi="Times New Roman" w:cs="Times New Roman"/>
          <w:lang w:val="de-DE"/>
        </w:rPr>
        <w:t xml:space="preserve"> des </w:t>
      </w:r>
      <w:r w:rsidR="002B25DE">
        <w:rPr>
          <w:rFonts w:ascii="Times New Roman" w:hAnsi="Times New Roman" w:cs="Times New Roman"/>
          <w:lang w:val="de-DE"/>
        </w:rPr>
        <w:t>angewendeten</w:t>
      </w:r>
      <w:r w:rsidR="002B25DE" w:rsidRPr="009737B5">
        <w:rPr>
          <w:rFonts w:ascii="Times New Roman" w:hAnsi="Times New Roman" w:cs="Times New Roman"/>
          <w:lang w:val="de-DE"/>
        </w:rPr>
        <w:t xml:space="preserve"> </w:t>
      </w:r>
      <w:r w:rsidRPr="009737B5">
        <w:rPr>
          <w:rFonts w:ascii="Times New Roman" w:hAnsi="Times New Roman" w:cs="Times New Roman"/>
          <w:lang w:val="de-DE"/>
        </w:rPr>
        <w:t>Arzneimittels eindeutig dokumentiert werden.</w:t>
      </w:r>
    </w:p>
    <w:p w14:paraId="1567AA04" w14:textId="77777777" w:rsidR="00AF337C" w:rsidRPr="009737B5" w:rsidRDefault="00AF337C" w:rsidP="005F4D08">
      <w:pPr>
        <w:suppressAutoHyphens/>
        <w:spacing w:after="0" w:line="240" w:lineRule="auto"/>
        <w:rPr>
          <w:rFonts w:ascii="Times New Roman" w:hAnsi="Times New Roman" w:cs="Times New Roman"/>
          <w:lang w:val="de-DE"/>
        </w:rPr>
      </w:pPr>
    </w:p>
    <w:p w14:paraId="44F20F27" w14:textId="71CD05D3" w:rsidR="00AF337C" w:rsidRPr="009737B5" w:rsidRDefault="00AF337C" w:rsidP="0040444C">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Magen-Darm(</w:t>
      </w:r>
      <w:r w:rsidR="001E64E5">
        <w:rPr>
          <w:rFonts w:ascii="Times New Roman" w:hAnsi="Times New Roman" w:cs="Times New Roman"/>
          <w:u w:val="single"/>
          <w:lang w:val="de-DE"/>
        </w:rPr>
        <w:t xml:space="preserve">gastrointestinale, </w:t>
      </w:r>
      <w:r w:rsidRPr="009737B5">
        <w:rPr>
          <w:rFonts w:ascii="Times New Roman" w:hAnsi="Times New Roman" w:cs="Times New Roman"/>
          <w:u w:val="single"/>
          <w:lang w:val="de-DE"/>
        </w:rPr>
        <w:t>GI)-Perforationen und Fisteln (siehe Abschnitt</w:t>
      </w:r>
      <w:r w:rsidR="004A5433">
        <w:rPr>
          <w:rFonts w:ascii="Times New Roman" w:hAnsi="Times New Roman" w:cs="Times New Roman"/>
          <w:u w:val="single"/>
          <w:lang w:val="de-DE"/>
        </w:rPr>
        <w:t> </w:t>
      </w:r>
      <w:r w:rsidRPr="009737B5">
        <w:rPr>
          <w:rFonts w:ascii="Times New Roman" w:hAnsi="Times New Roman" w:cs="Times New Roman"/>
          <w:u w:val="single"/>
          <w:lang w:val="de-DE"/>
        </w:rPr>
        <w:t>4.8)</w:t>
      </w:r>
    </w:p>
    <w:p w14:paraId="153C31BF" w14:textId="77777777" w:rsidR="0040444C" w:rsidRPr="009737B5" w:rsidRDefault="0040444C" w:rsidP="0040444C">
      <w:pPr>
        <w:keepNext/>
        <w:suppressAutoHyphens/>
        <w:spacing w:after="0" w:line="240" w:lineRule="auto"/>
        <w:rPr>
          <w:rFonts w:ascii="Times New Roman" w:hAnsi="Times New Roman" w:cs="Times New Roman"/>
          <w:lang w:val="de-DE"/>
        </w:rPr>
      </w:pPr>
    </w:p>
    <w:p w14:paraId="414D396A"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Bei Patienten unter </w:t>
      </w:r>
      <w:r w:rsidR="00B34D65" w:rsidRPr="009737B5">
        <w:rPr>
          <w:rFonts w:ascii="Times New Roman" w:hAnsi="Times New Roman" w:cs="Times New Roman"/>
          <w:lang w:val="de-DE"/>
        </w:rPr>
        <w:t>Bevacizumab-</w:t>
      </w:r>
      <w:r w:rsidRPr="009737B5">
        <w:rPr>
          <w:rFonts w:ascii="Times New Roman" w:hAnsi="Times New Roman" w:cs="Times New Roman"/>
          <w:lang w:val="de-DE"/>
        </w:rPr>
        <w:t xml:space="preserve">Behandlung kann das Risiko einer Magen-Darm-Perforation und einer Gallenblasenperforation erhöht sein. Ein intraabdomineller Entzündungsprozess kann bei Patienten mit metastasiertem Kolon- oder Rektumkarzinom ein Risikofaktor für Magen-Darm-Perforationen sein. Bei der Behandlung dieser Patienten ist daher Vorsicht geboten. Eine vorausgegangene Strahlentherapie ist ein Risikofaktor für GI-Perforationen bei Patienten, die gegen persistierendes, rezidivierendes oder metastasiertes Zervixkarzinom mit </w:t>
      </w:r>
      <w:r w:rsidR="00885FD1" w:rsidRPr="009737B5">
        <w:rPr>
          <w:rFonts w:ascii="Times New Roman" w:hAnsi="Times New Roman" w:cs="Times New Roman"/>
          <w:lang w:val="de-DE"/>
        </w:rPr>
        <w:t>MVASI</w:t>
      </w:r>
      <w:r w:rsidR="00B34D65" w:rsidRPr="009737B5">
        <w:rPr>
          <w:rFonts w:ascii="Times New Roman" w:hAnsi="Times New Roman" w:cs="Times New Roman"/>
          <w:lang w:val="de-DE"/>
        </w:rPr>
        <w:t xml:space="preserve"> </w:t>
      </w:r>
      <w:r w:rsidRPr="009737B5">
        <w:rPr>
          <w:rFonts w:ascii="Times New Roman" w:hAnsi="Times New Roman" w:cs="Times New Roman"/>
          <w:lang w:val="de-DE"/>
        </w:rPr>
        <w:t>behandelt werden. Alle Patienten mit GI-Perforationen erhielten zuvor eine Strahlentherapie. Bei Patienten, die eine Magen-Darm</w:t>
      </w:r>
      <w:r w:rsidR="009436DB" w:rsidRPr="009737B5">
        <w:rPr>
          <w:rFonts w:ascii="Times New Roman" w:hAnsi="Times New Roman" w:cs="Times New Roman"/>
          <w:lang w:val="de-DE"/>
        </w:rPr>
        <w:t>-</w:t>
      </w:r>
      <w:r w:rsidRPr="009737B5">
        <w:rPr>
          <w:rFonts w:ascii="Times New Roman" w:hAnsi="Times New Roman" w:cs="Times New Roman"/>
          <w:lang w:val="de-DE"/>
        </w:rPr>
        <w:t>Perforation entwickeln, ist die Behandlung dauerhaft abzusetzen.</w:t>
      </w:r>
    </w:p>
    <w:p w14:paraId="4AA066DB" w14:textId="77777777" w:rsidR="00AF337C" w:rsidRPr="009737B5" w:rsidRDefault="00AF337C" w:rsidP="005F4D08">
      <w:pPr>
        <w:suppressAutoHyphens/>
        <w:spacing w:after="0" w:line="240" w:lineRule="auto"/>
        <w:rPr>
          <w:rFonts w:ascii="Times New Roman" w:hAnsi="Times New Roman" w:cs="Times New Roman"/>
          <w:lang w:val="de-DE"/>
        </w:rPr>
      </w:pPr>
    </w:p>
    <w:p w14:paraId="0696C71D" w14:textId="77777777" w:rsidR="00AF337C" w:rsidRPr="009737B5" w:rsidRDefault="00AF337C" w:rsidP="0040444C">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GI-vaginale Fisteln in Studie GOG-0240</w:t>
      </w:r>
    </w:p>
    <w:p w14:paraId="6161580F" w14:textId="77777777" w:rsidR="0040444C" w:rsidRPr="009737B5" w:rsidRDefault="0040444C" w:rsidP="0040444C">
      <w:pPr>
        <w:keepNext/>
        <w:suppressAutoHyphens/>
        <w:spacing w:after="0" w:line="240" w:lineRule="auto"/>
        <w:rPr>
          <w:rFonts w:ascii="Times New Roman" w:hAnsi="Times New Roman" w:cs="Times New Roman"/>
          <w:lang w:val="de-DE"/>
        </w:rPr>
      </w:pPr>
    </w:p>
    <w:p w14:paraId="6E7C1DF3"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Patienten, die gegen persistierendes, rezidivierendes oder metastasiertes Zervixkarzinom mit </w:t>
      </w:r>
      <w:r w:rsidR="00B34D65" w:rsidRPr="009737B5">
        <w:rPr>
          <w:rFonts w:ascii="Times New Roman" w:hAnsi="Times New Roman" w:cs="Times New Roman"/>
          <w:lang w:val="de-DE"/>
        </w:rPr>
        <w:t xml:space="preserve">Bevacizumab </w:t>
      </w:r>
      <w:r w:rsidRPr="009737B5">
        <w:rPr>
          <w:rFonts w:ascii="Times New Roman" w:hAnsi="Times New Roman" w:cs="Times New Roman"/>
          <w:lang w:val="de-DE"/>
        </w:rPr>
        <w:t xml:space="preserve">behandelt werden, unterliegen einem erhöhten Risiko für Fisteln zwischen der Vagina und </w:t>
      </w:r>
      <w:r w:rsidR="000B7E3F" w:rsidRPr="009737B5">
        <w:rPr>
          <w:rFonts w:ascii="Times New Roman" w:hAnsi="Times New Roman" w:cs="Times New Roman"/>
          <w:lang w:val="de-DE"/>
        </w:rPr>
        <w:t xml:space="preserve">dem </w:t>
      </w:r>
      <w:r w:rsidRPr="009737B5">
        <w:rPr>
          <w:rFonts w:ascii="Times New Roman" w:hAnsi="Times New Roman" w:cs="Times New Roman"/>
          <w:lang w:val="de-DE"/>
        </w:rPr>
        <w:t>GI</w:t>
      </w:r>
      <w:r w:rsidR="0081605F" w:rsidRPr="009737B5">
        <w:rPr>
          <w:rFonts w:ascii="Times New Roman" w:hAnsi="Times New Roman" w:cs="Times New Roman"/>
          <w:lang w:val="de-DE"/>
        </w:rPr>
        <w:t>-</w:t>
      </w:r>
      <w:r w:rsidRPr="009737B5">
        <w:rPr>
          <w:rFonts w:ascii="Times New Roman" w:hAnsi="Times New Roman" w:cs="Times New Roman"/>
          <w:lang w:val="de-DE"/>
        </w:rPr>
        <w:t>Trakt (gastrointestinal-vaginale Fisteln). Eine vorausgegangene Strahlentherapie ist ein</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Hauptrisikofaktor für die Entwicklung von GI-vaginalen Fisteln. Alle Patienten mit GI-vaginalen</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Fisteln erhielten zuvor eine Strahlentherapie. Ein Krebsrezidiv im Bereich der vorausgegangenen Bestrahlung ist ein zusätzlicher wichtiger Risikofaktor für die Entwicklung von GI-vaginalen Fisteln.</w:t>
      </w:r>
    </w:p>
    <w:p w14:paraId="2A95DFB3" w14:textId="77777777" w:rsidR="00AF337C" w:rsidRPr="009737B5" w:rsidRDefault="00AF337C" w:rsidP="005F4D08">
      <w:pPr>
        <w:suppressAutoHyphens/>
        <w:spacing w:after="0" w:line="240" w:lineRule="auto"/>
        <w:rPr>
          <w:rFonts w:ascii="Times New Roman" w:hAnsi="Times New Roman" w:cs="Times New Roman"/>
          <w:lang w:val="de-DE"/>
        </w:rPr>
      </w:pPr>
    </w:p>
    <w:p w14:paraId="52B3A992" w14:textId="61657074" w:rsidR="00AF337C" w:rsidRPr="009737B5" w:rsidRDefault="00AF337C" w:rsidP="0040444C">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Nicht-GI-Fisteln (siehe Abschnitt</w:t>
      </w:r>
      <w:r w:rsidR="004A5433">
        <w:rPr>
          <w:rFonts w:ascii="Times New Roman" w:hAnsi="Times New Roman" w:cs="Times New Roman"/>
          <w:u w:val="single"/>
          <w:lang w:val="de-DE"/>
        </w:rPr>
        <w:t> </w:t>
      </w:r>
      <w:r w:rsidRPr="009737B5">
        <w:rPr>
          <w:rFonts w:ascii="Times New Roman" w:hAnsi="Times New Roman" w:cs="Times New Roman"/>
          <w:u w:val="single"/>
          <w:lang w:val="de-DE"/>
        </w:rPr>
        <w:t>4.8)</w:t>
      </w:r>
    </w:p>
    <w:p w14:paraId="517D342F" w14:textId="77777777" w:rsidR="0040444C" w:rsidRPr="009737B5" w:rsidRDefault="0040444C" w:rsidP="0040444C">
      <w:pPr>
        <w:keepNext/>
        <w:suppressAutoHyphens/>
        <w:spacing w:after="0" w:line="240" w:lineRule="auto"/>
        <w:rPr>
          <w:rFonts w:ascii="Times New Roman" w:hAnsi="Times New Roman" w:cs="Times New Roman"/>
          <w:lang w:val="de-DE"/>
        </w:rPr>
      </w:pPr>
    </w:p>
    <w:p w14:paraId="4B47C95D" w14:textId="0B97F546"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Bei Anwendung von </w:t>
      </w:r>
      <w:r w:rsidR="00B34D65" w:rsidRPr="009737B5">
        <w:rPr>
          <w:rFonts w:ascii="Times New Roman" w:hAnsi="Times New Roman" w:cs="Times New Roman"/>
          <w:lang w:val="de-DE"/>
        </w:rPr>
        <w:t xml:space="preserve">Bevacizumab </w:t>
      </w:r>
      <w:r w:rsidRPr="009737B5">
        <w:rPr>
          <w:rFonts w:ascii="Times New Roman" w:hAnsi="Times New Roman" w:cs="Times New Roman"/>
          <w:lang w:val="de-DE"/>
        </w:rPr>
        <w:t>besteht ein erhöhtes Risiko für die Entstehung von Fisteln.</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Bei Patienten mit ösophagotrachealen Fisteln oder anderen Fisteln vom Grad</w:t>
      </w:r>
      <w:r w:rsidR="004A5433">
        <w:rPr>
          <w:rFonts w:ascii="Times New Roman" w:hAnsi="Times New Roman" w:cs="Times New Roman"/>
          <w:lang w:val="de-DE"/>
        </w:rPr>
        <w:t> </w:t>
      </w:r>
      <w:r w:rsidRPr="009737B5">
        <w:rPr>
          <w:rFonts w:ascii="Times New Roman" w:hAnsi="Times New Roman" w:cs="Times New Roman"/>
          <w:lang w:val="de-DE"/>
        </w:rPr>
        <w:t xml:space="preserve">4 gemäß der </w:t>
      </w:r>
      <w:r w:rsidRPr="009737B5">
        <w:rPr>
          <w:rFonts w:ascii="Times New Roman" w:hAnsi="Times New Roman" w:cs="Times New Roman"/>
          <w:i/>
          <w:lang w:val="de-DE"/>
        </w:rPr>
        <w:t>Common</w:t>
      </w:r>
      <w:r w:rsidR="00AB26B9" w:rsidRPr="009737B5">
        <w:rPr>
          <w:rFonts w:ascii="Times New Roman" w:hAnsi="Times New Roman" w:cs="Times New Roman"/>
          <w:i/>
          <w:lang w:val="de-DE"/>
        </w:rPr>
        <w:t xml:space="preserve"> </w:t>
      </w:r>
      <w:r w:rsidRPr="009737B5">
        <w:rPr>
          <w:rFonts w:ascii="Times New Roman" w:hAnsi="Times New Roman" w:cs="Times New Roman"/>
          <w:i/>
          <w:lang w:val="de-DE"/>
        </w:rPr>
        <w:t>Terminology Criteria for Adverse Events</w:t>
      </w:r>
      <w:r w:rsidRPr="009737B5">
        <w:rPr>
          <w:rFonts w:ascii="Times New Roman" w:hAnsi="Times New Roman" w:cs="Times New Roman"/>
          <w:lang w:val="de-DE"/>
        </w:rPr>
        <w:t xml:space="preserve"> (CTCAE) des </w:t>
      </w:r>
      <w:r w:rsidRPr="009737B5">
        <w:rPr>
          <w:rFonts w:ascii="Times New Roman" w:hAnsi="Times New Roman" w:cs="Times New Roman"/>
          <w:i/>
          <w:lang w:val="de-DE"/>
        </w:rPr>
        <w:t>National Cancer Institute</w:t>
      </w:r>
      <w:r w:rsidRPr="009737B5">
        <w:rPr>
          <w:rFonts w:ascii="Times New Roman" w:hAnsi="Times New Roman" w:cs="Times New Roman"/>
          <w:lang w:val="de-DE"/>
        </w:rPr>
        <w:t xml:space="preserve"> (NCI) (NCI</w:t>
      </w:r>
      <w:r w:rsidR="009436DB" w:rsidRPr="009737B5">
        <w:rPr>
          <w:rFonts w:ascii="Times New Roman" w:hAnsi="Times New Roman" w:cs="Times New Roman"/>
          <w:lang w:val="de-DE"/>
        </w:rPr>
        <w:t>-</w:t>
      </w:r>
      <w:r w:rsidRPr="009737B5">
        <w:rPr>
          <w:rFonts w:ascii="Times New Roman" w:hAnsi="Times New Roman" w:cs="Times New Roman"/>
          <w:lang w:val="de-DE"/>
        </w:rPr>
        <w:t xml:space="preserve">CTCAE v.3) der USA muss </w:t>
      </w:r>
      <w:r w:rsidR="00885FD1" w:rsidRPr="009737B5">
        <w:rPr>
          <w:rFonts w:ascii="Times New Roman" w:hAnsi="Times New Roman" w:cs="Times New Roman"/>
          <w:lang w:val="de-DE"/>
        </w:rPr>
        <w:t>MVASI</w:t>
      </w:r>
      <w:r w:rsidR="00B34D65" w:rsidRPr="009737B5">
        <w:rPr>
          <w:rFonts w:ascii="Times New Roman" w:hAnsi="Times New Roman" w:cs="Times New Roman"/>
          <w:lang w:val="de-DE"/>
        </w:rPr>
        <w:t xml:space="preserve"> </w:t>
      </w:r>
      <w:r w:rsidRPr="009737B5">
        <w:rPr>
          <w:rFonts w:ascii="Times New Roman" w:hAnsi="Times New Roman" w:cs="Times New Roman"/>
          <w:lang w:val="de-DE"/>
        </w:rPr>
        <w:t xml:space="preserve">dauerhaft abgesetzt werden. Zur Anwendung von </w:t>
      </w:r>
      <w:r w:rsidR="00B34D65" w:rsidRPr="009737B5">
        <w:rPr>
          <w:rFonts w:ascii="Times New Roman" w:hAnsi="Times New Roman" w:cs="Times New Roman"/>
          <w:lang w:val="de-DE"/>
        </w:rPr>
        <w:t xml:space="preserve">Bevacizumab </w:t>
      </w:r>
      <w:r w:rsidRPr="009737B5">
        <w:rPr>
          <w:rFonts w:ascii="Times New Roman" w:hAnsi="Times New Roman" w:cs="Times New Roman"/>
          <w:lang w:val="de-DE"/>
        </w:rPr>
        <w:t>bei Patienten mit anderen Fisteln liegen nur begrenzte Informationen vor.</w:t>
      </w:r>
      <w:r w:rsidR="0040444C" w:rsidRPr="009737B5">
        <w:rPr>
          <w:rFonts w:ascii="Times New Roman" w:hAnsi="Times New Roman" w:cs="Times New Roman"/>
          <w:lang w:val="de-DE"/>
        </w:rPr>
        <w:t xml:space="preserve"> </w:t>
      </w:r>
      <w:r w:rsidRPr="009737B5">
        <w:rPr>
          <w:rFonts w:ascii="Times New Roman" w:hAnsi="Times New Roman" w:cs="Times New Roman"/>
          <w:lang w:val="de-DE"/>
        </w:rPr>
        <w:t xml:space="preserve">Im Falle von inneren Fisteln, die nicht im Gastrointestinaltrakt auftreten, sollte ein Absetzen von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in Betracht gezogen werden.</w:t>
      </w:r>
    </w:p>
    <w:p w14:paraId="1C04C9E8" w14:textId="77777777" w:rsidR="00AF337C" w:rsidRPr="009737B5" w:rsidRDefault="00AF337C" w:rsidP="005F4D08">
      <w:pPr>
        <w:suppressAutoHyphens/>
        <w:spacing w:after="0" w:line="240" w:lineRule="auto"/>
        <w:rPr>
          <w:rFonts w:ascii="Times New Roman" w:hAnsi="Times New Roman" w:cs="Times New Roman"/>
          <w:lang w:val="de-DE"/>
        </w:rPr>
      </w:pPr>
    </w:p>
    <w:p w14:paraId="7EC289F1" w14:textId="5FA93DD1" w:rsidR="00AF337C" w:rsidRPr="009737B5" w:rsidRDefault="00AF337C" w:rsidP="0040444C">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lastRenderedPageBreak/>
        <w:t>Komplikationen der Wundheilung (siehe Abschnitt</w:t>
      </w:r>
      <w:r w:rsidR="004A5433">
        <w:rPr>
          <w:rFonts w:ascii="Times New Roman" w:hAnsi="Times New Roman" w:cs="Times New Roman"/>
          <w:u w:val="single"/>
          <w:lang w:val="de-DE"/>
        </w:rPr>
        <w:t> </w:t>
      </w:r>
      <w:r w:rsidRPr="009737B5">
        <w:rPr>
          <w:rFonts w:ascii="Times New Roman" w:hAnsi="Times New Roman" w:cs="Times New Roman"/>
          <w:u w:val="single"/>
          <w:lang w:val="de-DE"/>
        </w:rPr>
        <w:t>4.8)</w:t>
      </w:r>
    </w:p>
    <w:p w14:paraId="0832D964" w14:textId="77777777" w:rsidR="0040444C" w:rsidRPr="009737B5" w:rsidRDefault="0040444C" w:rsidP="0040444C">
      <w:pPr>
        <w:keepNext/>
        <w:suppressAutoHyphens/>
        <w:spacing w:after="0" w:line="240" w:lineRule="auto"/>
        <w:rPr>
          <w:rFonts w:ascii="Times New Roman" w:hAnsi="Times New Roman" w:cs="Times New Roman"/>
          <w:lang w:val="de-DE"/>
        </w:rPr>
      </w:pPr>
    </w:p>
    <w:p w14:paraId="21CA881A" w14:textId="7AB56E63" w:rsidR="00AF337C" w:rsidRPr="009737B5" w:rsidRDefault="00B34D65"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Bevacizumab </w:t>
      </w:r>
      <w:r w:rsidR="00AF337C" w:rsidRPr="009737B5">
        <w:rPr>
          <w:rFonts w:ascii="Times New Roman" w:hAnsi="Times New Roman" w:cs="Times New Roman"/>
          <w:lang w:val="de-DE"/>
        </w:rPr>
        <w:t>kann die Wundheilung beeinträchtigen. Es wurden schwerwiegende Komplikationen bei der</w:t>
      </w:r>
      <w:r w:rsidR="00AB26B9" w:rsidRPr="009737B5">
        <w:rPr>
          <w:rFonts w:ascii="Times New Roman" w:hAnsi="Times New Roman" w:cs="Times New Roman"/>
          <w:lang w:val="de-DE"/>
        </w:rPr>
        <w:t xml:space="preserve"> </w:t>
      </w:r>
      <w:r w:rsidR="00AF337C" w:rsidRPr="009737B5">
        <w:rPr>
          <w:rFonts w:ascii="Times New Roman" w:hAnsi="Times New Roman" w:cs="Times New Roman"/>
          <w:lang w:val="de-DE"/>
        </w:rPr>
        <w:t>Wundheilung, einschließlich Komplikationen an Anastomosen, mit tödlichem Ausgang berichtet. Die</w:t>
      </w:r>
      <w:r w:rsidR="00AB26B9" w:rsidRPr="009737B5">
        <w:rPr>
          <w:rFonts w:ascii="Times New Roman" w:hAnsi="Times New Roman" w:cs="Times New Roman"/>
          <w:lang w:val="de-DE"/>
        </w:rPr>
        <w:t xml:space="preserve"> </w:t>
      </w:r>
      <w:r w:rsidR="00AF337C" w:rsidRPr="009737B5">
        <w:rPr>
          <w:rFonts w:ascii="Times New Roman" w:hAnsi="Times New Roman" w:cs="Times New Roman"/>
          <w:lang w:val="de-DE"/>
        </w:rPr>
        <w:t>Behandlung soll frühestens 28</w:t>
      </w:r>
      <w:r w:rsidR="004A5433">
        <w:rPr>
          <w:rFonts w:ascii="Times New Roman" w:hAnsi="Times New Roman" w:cs="Times New Roman"/>
          <w:lang w:val="de-DE"/>
        </w:rPr>
        <w:t> </w:t>
      </w:r>
      <w:r w:rsidR="00AF337C" w:rsidRPr="009737B5">
        <w:rPr>
          <w:rFonts w:ascii="Times New Roman" w:hAnsi="Times New Roman" w:cs="Times New Roman"/>
          <w:lang w:val="de-DE"/>
        </w:rPr>
        <w:t>Tage nach einem größeren operativen Eingriff oder erst nach völliger</w:t>
      </w:r>
      <w:r w:rsidR="00AB26B9" w:rsidRPr="009737B5">
        <w:rPr>
          <w:rFonts w:ascii="Times New Roman" w:hAnsi="Times New Roman" w:cs="Times New Roman"/>
          <w:lang w:val="de-DE"/>
        </w:rPr>
        <w:t xml:space="preserve"> </w:t>
      </w:r>
      <w:r w:rsidR="00AF337C" w:rsidRPr="009737B5">
        <w:rPr>
          <w:rFonts w:ascii="Times New Roman" w:hAnsi="Times New Roman" w:cs="Times New Roman"/>
          <w:lang w:val="de-DE"/>
        </w:rPr>
        <w:t>Abheilung der Operationswunde eingeleitet werden. Bei Patienten, bei denen es unter der Therapie zu Wundheilungsstörungen kommt, soll die Behandlung bis zum völligen Abheilen der Wunde abgesetzt werden. Vor einem elektiven Eingriff muss die Therapie abgesetzt werden.</w:t>
      </w:r>
    </w:p>
    <w:p w14:paraId="71D41ED1" w14:textId="77777777" w:rsidR="00AF337C" w:rsidRPr="009737B5" w:rsidRDefault="00AF337C" w:rsidP="005F4D08">
      <w:pPr>
        <w:suppressAutoHyphens/>
        <w:spacing w:after="0" w:line="240" w:lineRule="auto"/>
        <w:rPr>
          <w:rFonts w:ascii="Times New Roman" w:hAnsi="Times New Roman" w:cs="Times New Roman"/>
          <w:lang w:val="de-DE"/>
        </w:rPr>
      </w:pPr>
    </w:p>
    <w:p w14:paraId="71AF1BCD"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Nekrotisierende Fasziitis, einschließlich tödlicher Fälle, ist bei mit </w:t>
      </w:r>
      <w:r w:rsidR="00B34D65" w:rsidRPr="009737B5">
        <w:rPr>
          <w:rFonts w:ascii="Times New Roman" w:hAnsi="Times New Roman" w:cs="Times New Roman"/>
          <w:lang w:val="de-DE"/>
        </w:rPr>
        <w:t xml:space="preserve">Bevacizumab </w:t>
      </w:r>
      <w:r w:rsidRPr="009737B5">
        <w:rPr>
          <w:rFonts w:ascii="Times New Roman" w:hAnsi="Times New Roman" w:cs="Times New Roman"/>
          <w:lang w:val="de-DE"/>
        </w:rPr>
        <w:t>behandelten Patienten selten berichtet worden. Diese Erkrankung tritt gewöhnlich sekundär bei</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 xml:space="preserve">Wundheilungskomplikationen, Magen-Darm-Perforation oder Fistelbildung auf. Bei Patienten, die eine nekrotisierende Fasziitis entwickeln, soll die Therapie mit </w:t>
      </w:r>
      <w:r w:rsidR="00885FD1" w:rsidRPr="009737B5">
        <w:rPr>
          <w:rFonts w:ascii="Times New Roman" w:hAnsi="Times New Roman" w:cs="Times New Roman"/>
          <w:lang w:val="de-DE"/>
        </w:rPr>
        <w:t>MVASI</w:t>
      </w:r>
      <w:r w:rsidR="00355DDC" w:rsidRPr="009737B5">
        <w:rPr>
          <w:rFonts w:ascii="Times New Roman" w:hAnsi="Times New Roman" w:cs="Times New Roman"/>
          <w:lang w:val="de-DE"/>
        </w:rPr>
        <w:t xml:space="preserve"> </w:t>
      </w:r>
      <w:r w:rsidRPr="009737B5">
        <w:rPr>
          <w:rFonts w:ascii="Times New Roman" w:hAnsi="Times New Roman" w:cs="Times New Roman"/>
          <w:lang w:val="de-DE"/>
        </w:rPr>
        <w:t>abgebrochen werden und umgehend eine geeignete Behandlung eingeleitet werden.</w:t>
      </w:r>
    </w:p>
    <w:p w14:paraId="65CA8C9E" w14:textId="77777777" w:rsidR="00AF337C" w:rsidRPr="009737B5" w:rsidRDefault="00AF337C" w:rsidP="005F4D08">
      <w:pPr>
        <w:suppressAutoHyphens/>
        <w:spacing w:after="0" w:line="240" w:lineRule="auto"/>
        <w:rPr>
          <w:rFonts w:ascii="Times New Roman" w:hAnsi="Times New Roman" w:cs="Times New Roman"/>
          <w:lang w:val="de-DE"/>
        </w:rPr>
      </w:pPr>
    </w:p>
    <w:p w14:paraId="26818110" w14:textId="1D58C8A6" w:rsidR="00AF337C" w:rsidRPr="009737B5" w:rsidRDefault="00AF337C" w:rsidP="0040444C">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Hypertonie (siehe Abschnitt</w:t>
      </w:r>
      <w:r w:rsidR="004A5433">
        <w:rPr>
          <w:rFonts w:ascii="Times New Roman" w:hAnsi="Times New Roman" w:cs="Times New Roman"/>
          <w:u w:val="single"/>
          <w:lang w:val="de-DE"/>
        </w:rPr>
        <w:t> </w:t>
      </w:r>
      <w:r w:rsidRPr="009737B5">
        <w:rPr>
          <w:rFonts w:ascii="Times New Roman" w:hAnsi="Times New Roman" w:cs="Times New Roman"/>
          <w:u w:val="single"/>
          <w:lang w:val="de-DE"/>
        </w:rPr>
        <w:t>4.8)</w:t>
      </w:r>
    </w:p>
    <w:p w14:paraId="5140F95C" w14:textId="77777777" w:rsidR="0040444C" w:rsidRPr="009737B5" w:rsidRDefault="0040444C" w:rsidP="0040444C">
      <w:pPr>
        <w:keepNext/>
        <w:suppressAutoHyphens/>
        <w:spacing w:after="0" w:line="240" w:lineRule="auto"/>
        <w:rPr>
          <w:rFonts w:ascii="Times New Roman" w:hAnsi="Times New Roman" w:cs="Times New Roman"/>
          <w:lang w:val="de-DE"/>
        </w:rPr>
      </w:pPr>
    </w:p>
    <w:p w14:paraId="44AB2141"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Inzidenz von Hypertonie war bei Patienten unter </w:t>
      </w:r>
      <w:r w:rsidR="00355DDC" w:rsidRPr="009737B5">
        <w:rPr>
          <w:rFonts w:ascii="Times New Roman" w:hAnsi="Times New Roman" w:cs="Times New Roman"/>
          <w:lang w:val="de-DE"/>
        </w:rPr>
        <w:t xml:space="preserve">Bevacizumab </w:t>
      </w:r>
      <w:r w:rsidRPr="009737B5">
        <w:rPr>
          <w:rFonts w:ascii="Times New Roman" w:hAnsi="Times New Roman" w:cs="Times New Roman"/>
          <w:lang w:val="de-DE"/>
        </w:rPr>
        <w:t xml:space="preserve">erhöht. Klinische Sicherheitsdaten lassen vermuten, dass die Inzidenz der Hypertonie wahrscheinlich dosisabhängig ist. Eine vorbestehende Hypertonie sollte vor Beginn der </w:t>
      </w:r>
      <w:r w:rsidR="00885FD1" w:rsidRPr="009737B5">
        <w:rPr>
          <w:rFonts w:ascii="Times New Roman" w:hAnsi="Times New Roman" w:cs="Times New Roman"/>
          <w:lang w:val="de-DE"/>
        </w:rPr>
        <w:t>MVASI</w:t>
      </w:r>
      <w:r w:rsidR="00355DDC" w:rsidRPr="009737B5">
        <w:rPr>
          <w:rFonts w:ascii="Times New Roman" w:hAnsi="Times New Roman" w:cs="Times New Roman"/>
          <w:lang w:val="de-DE"/>
        </w:rPr>
        <w:t>-</w:t>
      </w:r>
      <w:r w:rsidRPr="009737B5">
        <w:rPr>
          <w:rFonts w:ascii="Times New Roman" w:hAnsi="Times New Roman" w:cs="Times New Roman"/>
          <w:lang w:val="de-DE"/>
        </w:rPr>
        <w:t xml:space="preserve">Behandlung angemessen eingestellt werden. Zur Wirkung von </w:t>
      </w:r>
      <w:r w:rsidR="00355DDC" w:rsidRPr="009737B5">
        <w:rPr>
          <w:rFonts w:ascii="Times New Roman" w:hAnsi="Times New Roman" w:cs="Times New Roman"/>
          <w:lang w:val="de-DE"/>
        </w:rPr>
        <w:t xml:space="preserve">Bevacizumab </w:t>
      </w:r>
      <w:r w:rsidRPr="009737B5">
        <w:rPr>
          <w:rFonts w:ascii="Times New Roman" w:hAnsi="Times New Roman" w:cs="Times New Roman"/>
          <w:lang w:val="de-DE"/>
        </w:rPr>
        <w:t>bei Patienten mit nicht eingestellter Hypertonie zum Zeitpunkt der Einleitung der Behandlung liegen keine Erkenntnisse vor. Während der Therapie sollte der Blutdruck generell überwacht werden.</w:t>
      </w:r>
    </w:p>
    <w:p w14:paraId="7427847D" w14:textId="77777777" w:rsidR="00AF337C" w:rsidRPr="009737B5" w:rsidRDefault="00AF337C" w:rsidP="005F4D08">
      <w:pPr>
        <w:suppressAutoHyphens/>
        <w:spacing w:after="0" w:line="240" w:lineRule="auto"/>
        <w:rPr>
          <w:rFonts w:ascii="Times New Roman" w:hAnsi="Times New Roman" w:cs="Times New Roman"/>
          <w:lang w:val="de-DE"/>
        </w:rPr>
      </w:pPr>
    </w:p>
    <w:p w14:paraId="2B12B35C"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den meisten Fällen konnte die Hypertonie durch eine individuell angepasste, blutdrucksenkende</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Standardbehandlung angemessen eingestellt werden. Bei Patienten, die eine cisplatinhaltige</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Chemotherapie erhalten, wird die Gabe von Diuretika zur Einstellung der Hypertonie nicht empfohlen.</w:t>
      </w:r>
      <w:r w:rsidR="0040444C" w:rsidRPr="009737B5">
        <w:rPr>
          <w:rFonts w:ascii="Times New Roman" w:hAnsi="Times New Roman" w:cs="Times New Roman"/>
          <w:lang w:val="de-DE"/>
        </w:rPr>
        <w:t xml:space="preserve"> </w:t>
      </w:r>
      <w:r w:rsidRPr="009737B5">
        <w:rPr>
          <w:rFonts w:ascii="Times New Roman" w:hAnsi="Times New Roman" w:cs="Times New Roman"/>
          <w:lang w:val="de-DE"/>
        </w:rPr>
        <w:t xml:space="preserve">Wenn eine medizinisch bedeutsame Hypertonie nicht angemessen durch eine blutdrucksenkende Behandlung eingestellt werden kann oder wenn der Patient eine hypertensive Krise oder eine hypertensive Enzephalopathie entwickelt, ist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dauerhaft abzusetzen.</w:t>
      </w:r>
    </w:p>
    <w:p w14:paraId="0777A552" w14:textId="77777777" w:rsidR="00AF337C" w:rsidRPr="009737B5" w:rsidRDefault="00AF337C" w:rsidP="005F4D08">
      <w:pPr>
        <w:suppressAutoHyphens/>
        <w:spacing w:after="0" w:line="240" w:lineRule="auto"/>
        <w:rPr>
          <w:rFonts w:ascii="Times New Roman" w:hAnsi="Times New Roman" w:cs="Times New Roman"/>
          <w:lang w:val="de-DE"/>
        </w:rPr>
      </w:pPr>
    </w:p>
    <w:p w14:paraId="140DE68D" w14:textId="7216455E" w:rsidR="00AF337C" w:rsidRPr="009737B5" w:rsidRDefault="00AF337C" w:rsidP="0040444C">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Posteriores reversibles Enzephalopathie-Syndrom (PRES) (siehe Abschnitt</w:t>
      </w:r>
      <w:r w:rsidR="004A5433">
        <w:rPr>
          <w:rFonts w:ascii="Times New Roman" w:hAnsi="Times New Roman" w:cs="Times New Roman"/>
          <w:u w:val="single"/>
          <w:lang w:val="de-DE"/>
        </w:rPr>
        <w:t> </w:t>
      </w:r>
      <w:r w:rsidRPr="009737B5">
        <w:rPr>
          <w:rFonts w:ascii="Times New Roman" w:hAnsi="Times New Roman" w:cs="Times New Roman"/>
          <w:u w:val="single"/>
          <w:lang w:val="de-DE"/>
        </w:rPr>
        <w:t>4.8)</w:t>
      </w:r>
    </w:p>
    <w:p w14:paraId="745265B1" w14:textId="77777777" w:rsidR="0040444C" w:rsidRPr="009737B5" w:rsidRDefault="0040444C" w:rsidP="0040444C">
      <w:pPr>
        <w:keepNext/>
        <w:suppressAutoHyphens/>
        <w:spacing w:after="0" w:line="240" w:lineRule="auto"/>
        <w:rPr>
          <w:rFonts w:ascii="Times New Roman" w:hAnsi="Times New Roman" w:cs="Times New Roman"/>
          <w:lang w:val="de-DE"/>
        </w:rPr>
      </w:pPr>
    </w:p>
    <w:p w14:paraId="18143987"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Es liegen seltene Berichte von mit </w:t>
      </w:r>
      <w:r w:rsidR="006A3105" w:rsidRPr="009737B5">
        <w:rPr>
          <w:rFonts w:ascii="Times New Roman" w:hAnsi="Times New Roman" w:cs="Times New Roman"/>
          <w:lang w:val="de-DE"/>
        </w:rPr>
        <w:t xml:space="preserve">Bevacizumab </w:t>
      </w:r>
      <w:r w:rsidRPr="009737B5">
        <w:rPr>
          <w:rFonts w:ascii="Times New Roman" w:hAnsi="Times New Roman" w:cs="Times New Roman"/>
          <w:lang w:val="de-DE"/>
        </w:rPr>
        <w:t>behandelten Patienten vor, die Zeichen und Symptome eines posterioren reversiblen Enzephalopathie-Syndroms (PRES) entwickelten. Hierbei handelt es sich</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um eine seltene neurologische Störung, die sich unter anderem in folgenden Anzeichen und</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Symptomen äußern kann: epileptische Anfälle, Kopfschmerzen, veränderter Geisteszustand,</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 xml:space="preserve">Sehstörungen oder kortikale Erblindung, mit oder ohne assoziierte Hypertonie. Die Diagnose eines PRES muss durch bildgebende Verfahren, vorzugsweise eine Magnetresonanztomographie (MRT), bestätigt werden. Bei Patienten, die ein PRES entwickeln, wird eine Behandlung der spezifischen Symptome einschließlich Blutdruckkontrolle empfohlen. Außerdem sollte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abgesetzt werden. Zur Sicherheit einer erneuten Anwendung von </w:t>
      </w:r>
      <w:r w:rsidR="006A3105" w:rsidRPr="009737B5">
        <w:rPr>
          <w:rFonts w:ascii="Times New Roman" w:hAnsi="Times New Roman" w:cs="Times New Roman"/>
          <w:lang w:val="de-DE"/>
        </w:rPr>
        <w:t xml:space="preserve">Bevacizumab </w:t>
      </w:r>
      <w:r w:rsidRPr="009737B5">
        <w:rPr>
          <w:rFonts w:ascii="Times New Roman" w:hAnsi="Times New Roman" w:cs="Times New Roman"/>
          <w:lang w:val="de-DE"/>
        </w:rPr>
        <w:t>bei Patienten, die bereits früher ein PRES entwickelt haben, liegen keine Erkenntnisse vor.</w:t>
      </w:r>
    </w:p>
    <w:p w14:paraId="5AEFBE31" w14:textId="77777777" w:rsidR="00AF337C" w:rsidRPr="009737B5" w:rsidRDefault="00AF337C" w:rsidP="005F4D08">
      <w:pPr>
        <w:suppressAutoHyphens/>
        <w:spacing w:after="0" w:line="240" w:lineRule="auto"/>
        <w:rPr>
          <w:rFonts w:ascii="Times New Roman" w:hAnsi="Times New Roman" w:cs="Times New Roman"/>
          <w:lang w:val="de-DE"/>
        </w:rPr>
      </w:pPr>
    </w:p>
    <w:p w14:paraId="3A6048F3" w14:textId="5B7028C6" w:rsidR="00AF337C" w:rsidRPr="009737B5" w:rsidRDefault="00AF337C" w:rsidP="0040444C">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Proteinurie (siehe Abschnitt</w:t>
      </w:r>
      <w:r w:rsidR="004A5433">
        <w:rPr>
          <w:rFonts w:ascii="Times New Roman" w:hAnsi="Times New Roman" w:cs="Times New Roman"/>
          <w:u w:val="single"/>
          <w:lang w:val="de-DE"/>
        </w:rPr>
        <w:t> </w:t>
      </w:r>
      <w:r w:rsidRPr="009737B5">
        <w:rPr>
          <w:rFonts w:ascii="Times New Roman" w:hAnsi="Times New Roman" w:cs="Times New Roman"/>
          <w:u w:val="single"/>
          <w:lang w:val="de-DE"/>
        </w:rPr>
        <w:t>4.8)</w:t>
      </w:r>
    </w:p>
    <w:p w14:paraId="1ADB6261" w14:textId="77777777" w:rsidR="0040444C" w:rsidRPr="009737B5" w:rsidRDefault="0040444C" w:rsidP="0040444C">
      <w:pPr>
        <w:keepNext/>
        <w:suppressAutoHyphens/>
        <w:spacing w:after="0" w:line="240" w:lineRule="auto"/>
        <w:rPr>
          <w:rFonts w:ascii="Times New Roman" w:hAnsi="Times New Roman" w:cs="Times New Roman"/>
          <w:lang w:val="de-DE"/>
        </w:rPr>
      </w:pPr>
    </w:p>
    <w:p w14:paraId="6D59DD61"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Bei Patienten mit Hypertonie in der Anamnese liegt möglicherweise ein erhöhtes Risiko vor, unter </w:t>
      </w:r>
      <w:r w:rsidR="006A3105" w:rsidRPr="009737B5">
        <w:rPr>
          <w:rFonts w:ascii="Times New Roman" w:hAnsi="Times New Roman" w:cs="Times New Roman"/>
          <w:lang w:val="de-DE"/>
        </w:rPr>
        <w:t>Bevacizumab-</w:t>
      </w:r>
      <w:r w:rsidRPr="009737B5">
        <w:rPr>
          <w:rFonts w:ascii="Times New Roman" w:hAnsi="Times New Roman" w:cs="Times New Roman"/>
          <w:lang w:val="de-DE"/>
        </w:rPr>
        <w:t xml:space="preserve">Therapie eine Proteinurie zu entwickeln. Es gibt Hinweise darauf, dass unter </w:t>
      </w:r>
      <w:r w:rsidR="002833B7" w:rsidRPr="009737B5">
        <w:rPr>
          <w:rFonts w:ascii="Times New Roman" w:hAnsi="Times New Roman" w:cs="Times New Roman"/>
          <w:lang w:val="de-DE"/>
        </w:rPr>
        <w:t>Bevacizumab-</w:t>
      </w:r>
      <w:r w:rsidRPr="009737B5">
        <w:rPr>
          <w:rFonts w:ascii="Times New Roman" w:hAnsi="Times New Roman" w:cs="Times New Roman"/>
          <w:lang w:val="de-DE"/>
        </w:rPr>
        <w:t xml:space="preserve">Therapie dosisabhängig eine Proteinurie aller Schweregrade gemäß der </w:t>
      </w:r>
      <w:r w:rsidRPr="009737B5">
        <w:rPr>
          <w:rFonts w:ascii="Times New Roman" w:hAnsi="Times New Roman" w:cs="Times New Roman"/>
          <w:i/>
          <w:lang w:val="de-DE"/>
        </w:rPr>
        <w:t>Common Terminology Criteria for Adverse Events</w:t>
      </w:r>
      <w:r w:rsidRPr="009737B5">
        <w:rPr>
          <w:rFonts w:ascii="Times New Roman" w:hAnsi="Times New Roman" w:cs="Times New Roman"/>
          <w:lang w:val="de-DE"/>
        </w:rPr>
        <w:t xml:space="preserve"> (CTCAE v.3) des </w:t>
      </w:r>
      <w:r w:rsidRPr="009737B5">
        <w:rPr>
          <w:rFonts w:ascii="Times New Roman" w:hAnsi="Times New Roman" w:cs="Times New Roman"/>
          <w:i/>
          <w:lang w:val="de-DE"/>
        </w:rPr>
        <w:t>National Cancer Institute</w:t>
      </w:r>
      <w:r w:rsidRPr="009737B5">
        <w:rPr>
          <w:rFonts w:ascii="Times New Roman" w:hAnsi="Times New Roman" w:cs="Times New Roman"/>
          <w:lang w:val="de-DE"/>
        </w:rPr>
        <w:t xml:space="preserve"> (NCI) der USA auftreten kann. Vor</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Beginn und im Verlauf der Behandlung wird die Überwachung des Proteins im Urin mittels Urin</w:t>
      </w:r>
      <w:r w:rsidR="0081605F" w:rsidRPr="009737B5">
        <w:rPr>
          <w:rFonts w:ascii="Times New Roman" w:hAnsi="Times New Roman" w:cs="Times New Roman"/>
          <w:lang w:val="de-DE"/>
        </w:rPr>
        <w:t>-</w:t>
      </w:r>
      <w:r w:rsidRPr="009737B5">
        <w:rPr>
          <w:rFonts w:ascii="Times New Roman" w:hAnsi="Times New Roman" w:cs="Times New Roman"/>
          <w:lang w:val="de-DE"/>
        </w:rPr>
        <w:t>Teststreifen empfohlen. Eine Grad-4-Proteinurie (nephrotisches Syndrom) wurde bei bis zu 1,4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mit </w:t>
      </w:r>
      <w:r w:rsidR="006A3105"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Patienten beobachtet. Bei Auftreten eines nephrotischen Syndroms (NCI</w:t>
      </w:r>
      <w:r w:rsidR="009436DB" w:rsidRPr="009737B5">
        <w:rPr>
          <w:rFonts w:ascii="Times New Roman" w:hAnsi="Times New Roman" w:cs="Times New Roman"/>
          <w:lang w:val="de-DE"/>
        </w:rPr>
        <w:t>-</w:t>
      </w:r>
      <w:r w:rsidRPr="009737B5">
        <w:rPr>
          <w:rFonts w:ascii="Times New Roman" w:hAnsi="Times New Roman" w:cs="Times New Roman"/>
          <w:lang w:val="de-DE"/>
        </w:rPr>
        <w:t>CTCAE v.3) soll die Therapie dauerhaft abgesetzt werden.</w:t>
      </w:r>
    </w:p>
    <w:p w14:paraId="2B8ED0A5" w14:textId="77777777" w:rsidR="00AF337C" w:rsidRPr="009737B5" w:rsidRDefault="00AF337C" w:rsidP="005F4D08">
      <w:pPr>
        <w:suppressAutoHyphens/>
        <w:spacing w:after="0" w:line="240" w:lineRule="auto"/>
        <w:rPr>
          <w:rFonts w:ascii="Times New Roman" w:hAnsi="Times New Roman" w:cs="Times New Roman"/>
          <w:lang w:val="de-DE"/>
        </w:rPr>
      </w:pPr>
    </w:p>
    <w:p w14:paraId="20E70DE7" w14:textId="78D9170F" w:rsidR="00AF337C" w:rsidRPr="009737B5" w:rsidRDefault="00AF337C" w:rsidP="0040444C">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lastRenderedPageBreak/>
        <w:t>Arterielle Thromboembolie (siehe Abschnitt</w:t>
      </w:r>
      <w:r w:rsidR="004A5433">
        <w:rPr>
          <w:rFonts w:ascii="Times New Roman" w:hAnsi="Times New Roman" w:cs="Times New Roman"/>
          <w:u w:val="single"/>
          <w:lang w:val="de-DE"/>
        </w:rPr>
        <w:t> </w:t>
      </w:r>
      <w:r w:rsidRPr="009737B5">
        <w:rPr>
          <w:rFonts w:ascii="Times New Roman" w:hAnsi="Times New Roman" w:cs="Times New Roman"/>
          <w:u w:val="single"/>
          <w:lang w:val="de-DE"/>
        </w:rPr>
        <w:t>4.8)</w:t>
      </w:r>
    </w:p>
    <w:p w14:paraId="5B0D2717" w14:textId="77777777" w:rsidR="0040444C" w:rsidRPr="009737B5" w:rsidRDefault="0040444C" w:rsidP="0040444C">
      <w:pPr>
        <w:keepNext/>
        <w:suppressAutoHyphens/>
        <w:spacing w:after="0" w:line="240" w:lineRule="auto"/>
        <w:rPr>
          <w:rFonts w:ascii="Times New Roman" w:hAnsi="Times New Roman" w:cs="Times New Roman"/>
          <w:lang w:val="de-DE"/>
        </w:rPr>
      </w:pPr>
    </w:p>
    <w:p w14:paraId="22A184D5"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In klinischen Studien war die Inzidenz arterieller thromboembolischer Ereignisse einschließlich zerebrovaskulärer Ereignisse, transitorischer ischämischer Attacken und Myokardinfarkten bei Patienten unter </w:t>
      </w:r>
      <w:r w:rsidR="006A3105" w:rsidRPr="009737B5">
        <w:rPr>
          <w:rFonts w:ascii="Times New Roman" w:hAnsi="Times New Roman" w:cs="Times New Roman"/>
          <w:lang w:val="de-DE"/>
        </w:rPr>
        <w:t>Bevacizumab-</w:t>
      </w:r>
      <w:r w:rsidRPr="009737B5">
        <w:rPr>
          <w:rFonts w:ascii="Times New Roman" w:hAnsi="Times New Roman" w:cs="Times New Roman"/>
          <w:lang w:val="de-DE"/>
        </w:rPr>
        <w:t>Behandlung in Kombination mit einer Chemotherapie höher als bei Patienten, die nur mit Chemotherapie behandelt wurden.</w:t>
      </w:r>
    </w:p>
    <w:p w14:paraId="2971B34D" w14:textId="77777777" w:rsidR="00AF337C" w:rsidRPr="009737B5" w:rsidRDefault="00AF337C" w:rsidP="005F4D08">
      <w:pPr>
        <w:suppressAutoHyphens/>
        <w:spacing w:after="0" w:line="240" w:lineRule="auto"/>
        <w:rPr>
          <w:rFonts w:ascii="Times New Roman" w:hAnsi="Times New Roman" w:cs="Times New Roman"/>
          <w:lang w:val="de-DE"/>
        </w:rPr>
      </w:pPr>
    </w:p>
    <w:p w14:paraId="09F8553C"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Patienten unter </w:t>
      </w:r>
      <w:r w:rsidR="006A3105" w:rsidRPr="009737B5">
        <w:rPr>
          <w:rFonts w:ascii="Times New Roman" w:hAnsi="Times New Roman" w:cs="Times New Roman"/>
          <w:lang w:val="de-DE"/>
        </w:rPr>
        <w:t xml:space="preserve">Bevacizumab </w:t>
      </w:r>
      <w:r w:rsidRPr="009737B5">
        <w:rPr>
          <w:rFonts w:ascii="Times New Roman" w:hAnsi="Times New Roman" w:cs="Times New Roman"/>
          <w:lang w:val="de-DE"/>
        </w:rPr>
        <w:t>in Kombination mit Chemotherapie und mit arterieller Thromboembolie in der</w:t>
      </w:r>
      <w:r w:rsidR="00AB26B9" w:rsidRPr="009737B5">
        <w:rPr>
          <w:rFonts w:ascii="Times New Roman" w:hAnsi="Times New Roman" w:cs="Times New Roman"/>
          <w:lang w:val="de-DE"/>
        </w:rPr>
        <w:t xml:space="preserve"> </w:t>
      </w:r>
      <w:r w:rsidRPr="009737B5">
        <w:rPr>
          <w:rFonts w:ascii="Times New Roman" w:hAnsi="Times New Roman" w:cs="Times New Roman"/>
          <w:lang w:val="de-DE"/>
        </w:rPr>
        <w:t>Anamnese, Diabetes oder mit einem Lebensalter von über 65</w:t>
      </w:r>
      <w:r w:rsidR="004C438C" w:rsidRPr="009737B5">
        <w:rPr>
          <w:rFonts w:ascii="Times New Roman" w:hAnsi="Times New Roman" w:cs="Times New Roman"/>
          <w:lang w:val="de-DE"/>
        </w:rPr>
        <w:t> </w:t>
      </w:r>
      <w:r w:rsidRPr="009737B5">
        <w:rPr>
          <w:rFonts w:ascii="Times New Roman" w:hAnsi="Times New Roman" w:cs="Times New Roman"/>
          <w:lang w:val="de-DE"/>
        </w:rPr>
        <w:t xml:space="preserve">Jahren unterliegen einem erhöhten Risiko für thromboembolische Nebenwirkungen während der Therapie. Bei der Behandlung dieser Patienten mit </w:t>
      </w:r>
      <w:r w:rsidR="00885FD1" w:rsidRPr="009737B5">
        <w:rPr>
          <w:rFonts w:ascii="Times New Roman" w:hAnsi="Times New Roman" w:cs="Times New Roman"/>
          <w:lang w:val="de-DE"/>
        </w:rPr>
        <w:t>MVASI</w:t>
      </w:r>
      <w:r w:rsidR="006A3105" w:rsidRPr="009737B5" w:rsidDel="006A3105">
        <w:rPr>
          <w:rFonts w:ascii="Times New Roman" w:hAnsi="Times New Roman" w:cs="Times New Roman"/>
          <w:lang w:val="de-DE"/>
        </w:rPr>
        <w:t xml:space="preserve"> </w:t>
      </w:r>
      <w:r w:rsidRPr="009737B5">
        <w:rPr>
          <w:rFonts w:ascii="Times New Roman" w:hAnsi="Times New Roman" w:cs="Times New Roman"/>
          <w:lang w:val="de-DE"/>
        </w:rPr>
        <w:t>ist Vorsicht geboten.</w:t>
      </w:r>
    </w:p>
    <w:p w14:paraId="16EAA47C" w14:textId="77777777" w:rsidR="00AF337C" w:rsidRPr="009737B5" w:rsidRDefault="00AF337C" w:rsidP="005F4D08">
      <w:pPr>
        <w:suppressAutoHyphens/>
        <w:spacing w:after="0" w:line="240" w:lineRule="auto"/>
        <w:rPr>
          <w:rFonts w:ascii="Times New Roman" w:hAnsi="Times New Roman" w:cs="Times New Roman"/>
          <w:lang w:val="de-DE"/>
        </w:rPr>
      </w:pPr>
    </w:p>
    <w:p w14:paraId="42B4D9AD"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Behandlung ist bei Auftreten arterieller thromboembolischer Ereignisse dauerhaft abzusetzen.</w:t>
      </w:r>
    </w:p>
    <w:p w14:paraId="2F0F9744" w14:textId="77777777" w:rsidR="00AF337C" w:rsidRPr="009737B5" w:rsidRDefault="00AF337C" w:rsidP="005F4D08">
      <w:pPr>
        <w:suppressAutoHyphens/>
        <w:spacing w:after="0" w:line="240" w:lineRule="auto"/>
        <w:rPr>
          <w:rFonts w:ascii="Times New Roman" w:hAnsi="Times New Roman" w:cs="Times New Roman"/>
          <w:lang w:val="de-DE"/>
        </w:rPr>
      </w:pPr>
    </w:p>
    <w:p w14:paraId="042AE83E" w14:textId="3B568034" w:rsidR="00AF337C" w:rsidRPr="009737B5" w:rsidRDefault="00AF337C" w:rsidP="0040444C">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Venöse Thromboembolie (siehe Abschnitt</w:t>
      </w:r>
      <w:r w:rsidR="004A5433">
        <w:rPr>
          <w:rFonts w:ascii="Times New Roman" w:hAnsi="Times New Roman" w:cs="Times New Roman"/>
          <w:u w:val="single"/>
          <w:lang w:val="de-DE"/>
        </w:rPr>
        <w:t> </w:t>
      </w:r>
      <w:r w:rsidRPr="009737B5">
        <w:rPr>
          <w:rFonts w:ascii="Times New Roman" w:hAnsi="Times New Roman" w:cs="Times New Roman"/>
          <w:u w:val="single"/>
          <w:lang w:val="de-DE"/>
        </w:rPr>
        <w:t>4.8)</w:t>
      </w:r>
    </w:p>
    <w:p w14:paraId="7D1C5282" w14:textId="77777777" w:rsidR="0040444C" w:rsidRPr="009737B5" w:rsidRDefault="0040444C" w:rsidP="0040444C">
      <w:pPr>
        <w:keepNext/>
        <w:suppressAutoHyphens/>
        <w:spacing w:after="0" w:line="240" w:lineRule="auto"/>
        <w:rPr>
          <w:rFonts w:ascii="Times New Roman" w:hAnsi="Times New Roman" w:cs="Times New Roman"/>
          <w:lang w:val="de-DE"/>
        </w:rPr>
      </w:pPr>
    </w:p>
    <w:p w14:paraId="42964A13"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Während einer </w:t>
      </w:r>
      <w:r w:rsidR="006A3105" w:rsidRPr="009737B5">
        <w:rPr>
          <w:rFonts w:ascii="Times New Roman" w:hAnsi="Times New Roman" w:cs="Times New Roman"/>
          <w:lang w:val="de-DE"/>
        </w:rPr>
        <w:t>Bevacizumab-</w:t>
      </w:r>
      <w:r w:rsidRPr="009737B5">
        <w:rPr>
          <w:rFonts w:ascii="Times New Roman" w:hAnsi="Times New Roman" w:cs="Times New Roman"/>
          <w:lang w:val="de-DE"/>
        </w:rPr>
        <w:t>Behandlung besteht ein Risiko für die Patienten hinsichtlich der Entwicklung venöser thromboembolischer Nebenwirkungen, einschließlich Lungenembolie.</w:t>
      </w:r>
    </w:p>
    <w:p w14:paraId="1AA496B1" w14:textId="77777777" w:rsidR="0040444C" w:rsidRPr="009737B5" w:rsidRDefault="0040444C" w:rsidP="005F4D08">
      <w:pPr>
        <w:suppressAutoHyphens/>
        <w:spacing w:after="0" w:line="240" w:lineRule="auto"/>
        <w:rPr>
          <w:rFonts w:ascii="Times New Roman" w:hAnsi="Times New Roman" w:cs="Times New Roman"/>
          <w:lang w:val="de-DE"/>
        </w:rPr>
      </w:pPr>
    </w:p>
    <w:p w14:paraId="3735CB55"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Patienten, die mit </w:t>
      </w:r>
      <w:r w:rsidR="006A3105" w:rsidRPr="009737B5">
        <w:rPr>
          <w:rFonts w:ascii="Times New Roman" w:hAnsi="Times New Roman" w:cs="Times New Roman"/>
          <w:lang w:val="de-DE"/>
        </w:rPr>
        <w:t xml:space="preserve">Bevacizumab </w:t>
      </w:r>
      <w:r w:rsidRPr="009737B5">
        <w:rPr>
          <w:rFonts w:ascii="Times New Roman" w:hAnsi="Times New Roman" w:cs="Times New Roman"/>
          <w:lang w:val="de-DE"/>
        </w:rPr>
        <w:t>in Kombination mit Paclitaxel und Cisplatin gegen persistierendes, rezidivierendes oder metastasiertes Zervixkarzinom behandelt werden, haben möglicherweise ein erhöhtes Risiko für venöse thromboembolische Ereignisse.</w:t>
      </w:r>
    </w:p>
    <w:p w14:paraId="25C65D36" w14:textId="77777777" w:rsidR="0040444C" w:rsidRPr="009737B5" w:rsidRDefault="0040444C" w:rsidP="005F4D08">
      <w:pPr>
        <w:suppressAutoHyphens/>
        <w:spacing w:after="0" w:line="240" w:lineRule="auto"/>
        <w:rPr>
          <w:rFonts w:ascii="Times New Roman" w:hAnsi="Times New Roman" w:cs="Times New Roman"/>
          <w:lang w:val="de-DE"/>
        </w:rPr>
      </w:pPr>
    </w:p>
    <w:p w14:paraId="45F2B895" w14:textId="73880154"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Patienten mit lebensbedrohlichen (Grad</w:t>
      </w:r>
      <w:r w:rsidR="004A5433">
        <w:rPr>
          <w:rFonts w:ascii="Times New Roman" w:hAnsi="Times New Roman" w:cs="Times New Roman"/>
          <w:lang w:val="de-DE"/>
        </w:rPr>
        <w:t> </w:t>
      </w:r>
      <w:r w:rsidRPr="009737B5">
        <w:rPr>
          <w:rFonts w:ascii="Times New Roman" w:hAnsi="Times New Roman" w:cs="Times New Roman"/>
          <w:lang w:val="de-DE"/>
        </w:rPr>
        <w:t xml:space="preserve">4) thromboembolischen Ereignissen, einschließlich Lungenembolie (NCI-CTCAE v.3), muss </w:t>
      </w:r>
      <w:r w:rsidR="00885FD1" w:rsidRPr="009737B5">
        <w:rPr>
          <w:rFonts w:ascii="Times New Roman" w:hAnsi="Times New Roman" w:cs="Times New Roman"/>
          <w:lang w:val="de-DE"/>
        </w:rPr>
        <w:t>MVASI</w:t>
      </w:r>
      <w:r w:rsidR="006A3105" w:rsidRPr="009737B5" w:rsidDel="006A3105">
        <w:rPr>
          <w:rFonts w:ascii="Times New Roman" w:hAnsi="Times New Roman" w:cs="Times New Roman"/>
          <w:lang w:val="de-DE"/>
        </w:rPr>
        <w:t xml:space="preserve"> </w:t>
      </w:r>
      <w:r w:rsidRPr="009737B5">
        <w:rPr>
          <w:rFonts w:ascii="Times New Roman" w:hAnsi="Times New Roman" w:cs="Times New Roman"/>
          <w:lang w:val="de-DE"/>
        </w:rPr>
        <w:t>abgesetzt werden. Patienten mit thromboembolischen Ereignissen vom Grad</w:t>
      </w:r>
      <w:r w:rsidR="004A5433">
        <w:rPr>
          <w:rFonts w:ascii="Times New Roman" w:hAnsi="Times New Roman" w:cs="Times New Roman"/>
          <w:lang w:val="de-DE"/>
        </w:rPr>
        <w:t> </w:t>
      </w:r>
      <w:r w:rsidRPr="009737B5">
        <w:rPr>
          <w:rFonts w:ascii="Times New Roman" w:hAnsi="Times New Roman" w:cs="Times New Roman"/>
          <w:lang w:val="de-DE"/>
        </w:rPr>
        <w:t>≤</w:t>
      </w:r>
      <w:r w:rsidR="00DE3BD0" w:rsidRPr="009737B5">
        <w:rPr>
          <w:rFonts w:ascii="Times New Roman" w:hAnsi="Times New Roman" w:cs="Times New Roman"/>
          <w:lang w:val="de-DE"/>
        </w:rPr>
        <w:t> </w:t>
      </w:r>
      <w:r w:rsidRPr="009737B5">
        <w:rPr>
          <w:rFonts w:ascii="Times New Roman" w:hAnsi="Times New Roman" w:cs="Times New Roman"/>
          <w:lang w:val="de-DE"/>
        </w:rPr>
        <w:t>3 (NCI-CTCAE v.3) müssen engmaschig überwacht werden.</w:t>
      </w:r>
    </w:p>
    <w:p w14:paraId="0BA00F6A" w14:textId="77777777" w:rsidR="00AF337C" w:rsidRPr="009737B5" w:rsidRDefault="00AF337C" w:rsidP="005F4D08">
      <w:pPr>
        <w:suppressAutoHyphens/>
        <w:spacing w:after="0" w:line="240" w:lineRule="auto"/>
        <w:rPr>
          <w:rFonts w:ascii="Times New Roman" w:hAnsi="Times New Roman" w:cs="Times New Roman"/>
          <w:lang w:val="de-DE"/>
        </w:rPr>
      </w:pPr>
    </w:p>
    <w:p w14:paraId="167BFC79" w14:textId="77777777" w:rsidR="00AF337C" w:rsidRPr="009737B5" w:rsidRDefault="00AF337C" w:rsidP="00591072">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Blutungen</w:t>
      </w:r>
    </w:p>
    <w:p w14:paraId="2D9172D1" w14:textId="77777777" w:rsidR="0040444C" w:rsidRPr="009737B5" w:rsidRDefault="0040444C" w:rsidP="00591072">
      <w:pPr>
        <w:keepNext/>
        <w:suppressAutoHyphens/>
        <w:spacing w:after="0" w:line="240" w:lineRule="auto"/>
        <w:rPr>
          <w:rFonts w:ascii="Times New Roman" w:hAnsi="Times New Roman" w:cs="Times New Roman"/>
          <w:lang w:val="de-DE"/>
        </w:rPr>
      </w:pPr>
    </w:p>
    <w:p w14:paraId="3FEE92FE" w14:textId="1D7174CE"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Patienten, die mit </w:t>
      </w:r>
      <w:r w:rsidR="006A3105" w:rsidRPr="009737B5">
        <w:rPr>
          <w:rFonts w:ascii="Times New Roman" w:hAnsi="Times New Roman" w:cs="Times New Roman"/>
          <w:lang w:val="de-DE"/>
        </w:rPr>
        <w:t xml:space="preserve">Bevacizumab </w:t>
      </w:r>
      <w:r w:rsidRPr="009737B5">
        <w:rPr>
          <w:rFonts w:ascii="Times New Roman" w:hAnsi="Times New Roman" w:cs="Times New Roman"/>
          <w:lang w:val="de-DE"/>
        </w:rPr>
        <w:t xml:space="preserve">behandelt werden, könnten ein erhöhtes Risiko für Blutungen, insbesondere tumorassoziierte Blutungen aufweisen. Bei Patienten, bei denen unter </w:t>
      </w:r>
      <w:r w:rsidR="006A3105" w:rsidRPr="009737B5">
        <w:rPr>
          <w:rFonts w:ascii="Times New Roman" w:hAnsi="Times New Roman" w:cs="Times New Roman"/>
          <w:lang w:val="de-DE"/>
        </w:rPr>
        <w:t>Bevacizumab</w:t>
      </w:r>
      <w:r w:rsidR="006A3105" w:rsidRPr="009737B5" w:rsidDel="006A3105">
        <w:rPr>
          <w:rFonts w:ascii="Times New Roman" w:hAnsi="Times New Roman" w:cs="Times New Roman"/>
          <w:lang w:val="de-DE"/>
        </w:rPr>
        <w:t xml:space="preserve"> </w:t>
      </w:r>
      <w:r w:rsidRPr="009737B5">
        <w:rPr>
          <w:rFonts w:ascii="Times New Roman" w:hAnsi="Times New Roman" w:cs="Times New Roman"/>
          <w:lang w:val="de-DE"/>
        </w:rPr>
        <w:t>Blutungen 3. oder 4.</w:t>
      </w:r>
      <w:r w:rsidR="004A5433">
        <w:rPr>
          <w:rFonts w:ascii="Times New Roman" w:hAnsi="Times New Roman" w:cs="Times New Roman"/>
          <w:lang w:val="de-DE"/>
        </w:rPr>
        <w:t> </w:t>
      </w:r>
      <w:r w:rsidRPr="009737B5">
        <w:rPr>
          <w:rFonts w:ascii="Times New Roman" w:hAnsi="Times New Roman" w:cs="Times New Roman"/>
          <w:lang w:val="de-DE"/>
        </w:rPr>
        <w:t xml:space="preserve">Grades (NCI-CTCAE v.3) auftreten, ist die </w:t>
      </w:r>
      <w:r w:rsidR="00885FD1" w:rsidRPr="009737B5">
        <w:rPr>
          <w:rFonts w:ascii="Times New Roman" w:hAnsi="Times New Roman" w:cs="Times New Roman"/>
          <w:lang w:val="de-DE"/>
        </w:rPr>
        <w:t>MVASI</w:t>
      </w:r>
      <w:r w:rsidR="006A3105" w:rsidRPr="009737B5">
        <w:rPr>
          <w:rFonts w:ascii="Times New Roman" w:hAnsi="Times New Roman" w:cs="Times New Roman"/>
          <w:lang w:val="de-DE"/>
        </w:rPr>
        <w:t>-</w:t>
      </w:r>
      <w:r w:rsidRPr="009737B5">
        <w:rPr>
          <w:rFonts w:ascii="Times New Roman" w:hAnsi="Times New Roman" w:cs="Times New Roman"/>
          <w:lang w:val="de-DE"/>
        </w:rPr>
        <w:t>Behandlung daher dauerhaft abzusetzen (siehe Abschnitt</w:t>
      </w:r>
      <w:r w:rsidR="004A5433">
        <w:rPr>
          <w:rFonts w:ascii="Times New Roman" w:hAnsi="Times New Roman" w:cs="Times New Roman"/>
          <w:lang w:val="de-DE"/>
        </w:rPr>
        <w:t> </w:t>
      </w:r>
      <w:r w:rsidRPr="009737B5">
        <w:rPr>
          <w:rFonts w:ascii="Times New Roman" w:hAnsi="Times New Roman" w:cs="Times New Roman"/>
          <w:lang w:val="de-DE"/>
        </w:rPr>
        <w:t>4.8).</w:t>
      </w:r>
    </w:p>
    <w:p w14:paraId="3E89F6A9" w14:textId="77777777" w:rsidR="00AF337C" w:rsidRPr="009737B5" w:rsidRDefault="00AF337C" w:rsidP="005F4D08">
      <w:pPr>
        <w:suppressAutoHyphens/>
        <w:spacing w:after="0" w:line="240" w:lineRule="auto"/>
        <w:rPr>
          <w:rFonts w:ascii="Times New Roman" w:hAnsi="Times New Roman" w:cs="Times New Roman"/>
          <w:lang w:val="de-DE"/>
        </w:rPr>
      </w:pPr>
    </w:p>
    <w:p w14:paraId="4DC889CF" w14:textId="163C7111"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Patienten mit unbehandelten Metastasen</w:t>
      </w:r>
      <w:r w:rsidR="00DA7075">
        <w:rPr>
          <w:rFonts w:ascii="Times New Roman" w:hAnsi="Times New Roman" w:cs="Times New Roman"/>
          <w:lang w:val="de-DE"/>
        </w:rPr>
        <w:t xml:space="preserve"> im zentralen Nervensystem (ZNS)</w:t>
      </w:r>
      <w:r w:rsidRPr="009737B5">
        <w:rPr>
          <w:rFonts w:ascii="Times New Roman" w:hAnsi="Times New Roman" w:cs="Times New Roman"/>
          <w:lang w:val="de-DE"/>
        </w:rPr>
        <w:t xml:space="preserve"> wurden, gestützt auf bildgebende Verfahren, klinische Zeichen oder Symptome, routinemäßig aus klinischen Studien mit </w:t>
      </w:r>
      <w:r w:rsidR="006A3105" w:rsidRPr="009737B5">
        <w:rPr>
          <w:rFonts w:ascii="Times New Roman" w:hAnsi="Times New Roman" w:cs="Times New Roman"/>
          <w:lang w:val="de-DE"/>
        </w:rPr>
        <w:t xml:space="preserve">Bevacizumab </w:t>
      </w:r>
      <w:r w:rsidRPr="009737B5">
        <w:rPr>
          <w:rFonts w:ascii="Times New Roman" w:hAnsi="Times New Roman" w:cs="Times New Roman"/>
          <w:lang w:val="de-DE"/>
        </w:rPr>
        <w:t>ausgeschlossen. Daher wurde bei diesen Patienten das Risiko von Blutungen im Zentralnervensystem (ZNS) nicht prospektiv in randomisierten klinischen Studien untersucht (siehe Abschnitt</w:t>
      </w:r>
      <w:r w:rsidR="004A5433">
        <w:rPr>
          <w:rFonts w:ascii="Times New Roman" w:hAnsi="Times New Roman" w:cs="Times New Roman"/>
          <w:lang w:val="de-DE"/>
        </w:rPr>
        <w:t> </w:t>
      </w:r>
      <w:r w:rsidRPr="009737B5">
        <w:rPr>
          <w:rFonts w:ascii="Times New Roman" w:hAnsi="Times New Roman" w:cs="Times New Roman"/>
          <w:lang w:val="de-DE"/>
        </w:rPr>
        <w:t xml:space="preserve">4.8). Die Patienten sollen hinsichtlich klinischer Zeichen und Symptome von ZNS-Blutungen beobachtet werden. Im Falle intrakranieller Blutungen soll die </w:t>
      </w:r>
      <w:r w:rsidR="00885FD1" w:rsidRPr="009737B5">
        <w:rPr>
          <w:rFonts w:ascii="Times New Roman" w:hAnsi="Times New Roman" w:cs="Times New Roman"/>
          <w:lang w:val="de-DE"/>
        </w:rPr>
        <w:t>MVASI</w:t>
      </w:r>
      <w:r w:rsidR="006A3105" w:rsidRPr="009737B5">
        <w:rPr>
          <w:rFonts w:ascii="Times New Roman" w:hAnsi="Times New Roman" w:cs="Times New Roman"/>
          <w:lang w:val="de-DE"/>
        </w:rPr>
        <w:t>-</w:t>
      </w:r>
      <w:r w:rsidRPr="009737B5">
        <w:rPr>
          <w:rFonts w:ascii="Times New Roman" w:hAnsi="Times New Roman" w:cs="Times New Roman"/>
          <w:lang w:val="de-DE"/>
        </w:rPr>
        <w:t>Behandlung abgesetzt werden.</w:t>
      </w:r>
    </w:p>
    <w:p w14:paraId="215BB0EE" w14:textId="77777777" w:rsidR="00AF337C" w:rsidRPr="009737B5" w:rsidRDefault="00AF337C" w:rsidP="005F4D08">
      <w:pPr>
        <w:suppressAutoHyphens/>
        <w:spacing w:after="0" w:line="240" w:lineRule="auto"/>
        <w:rPr>
          <w:rFonts w:ascii="Times New Roman" w:hAnsi="Times New Roman" w:cs="Times New Roman"/>
          <w:lang w:val="de-DE"/>
        </w:rPr>
      </w:pPr>
    </w:p>
    <w:p w14:paraId="559F4F0F" w14:textId="5F847EE5"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Zum Sicherheitsprofil von </w:t>
      </w:r>
      <w:r w:rsidR="006A3105" w:rsidRPr="009737B5">
        <w:rPr>
          <w:rFonts w:ascii="Times New Roman" w:hAnsi="Times New Roman" w:cs="Times New Roman"/>
          <w:lang w:val="de-DE"/>
        </w:rPr>
        <w:t xml:space="preserve">Bevacizumab </w:t>
      </w:r>
      <w:r w:rsidRPr="009737B5">
        <w:rPr>
          <w:rFonts w:ascii="Times New Roman" w:hAnsi="Times New Roman" w:cs="Times New Roman"/>
          <w:lang w:val="de-DE"/>
        </w:rPr>
        <w:t xml:space="preserve">bei Patienten mit angeborenen hämorrhagischen Diathesen, erworbener Koagulopathie oder bei Patienten, die zur Behandlung einer Thromboembolie vor Beginn der </w:t>
      </w:r>
      <w:r w:rsidR="006A3105" w:rsidRPr="009737B5">
        <w:rPr>
          <w:rFonts w:ascii="Times New Roman" w:hAnsi="Times New Roman" w:cs="Times New Roman"/>
          <w:lang w:val="de-DE"/>
        </w:rPr>
        <w:t>Bevacizumab-</w:t>
      </w:r>
      <w:r w:rsidRPr="009737B5">
        <w:rPr>
          <w:rFonts w:ascii="Times New Roman" w:hAnsi="Times New Roman" w:cs="Times New Roman"/>
          <w:lang w:val="de-DE"/>
        </w:rPr>
        <w:t>Therapie mit Antikoagulanzien in voller Dosishöhe behandelt wurden, liegen keine Informationen vor, da diese Patienten von klinischen Studien ausgeschlossen wurden. Die Einleitung einer Behandlung bei diesen Patienten sollte daher sorgfältig überlegt werden. Jedoch war offenbar bei Patienten, die unter der Therapie eine Venenthrombose entwickelten, die Häufigkeit von Blutungen der Schweregrade</w:t>
      </w:r>
      <w:r w:rsidR="004A5433">
        <w:rPr>
          <w:rFonts w:ascii="Times New Roman" w:hAnsi="Times New Roman" w:cs="Times New Roman"/>
          <w:lang w:val="de-DE"/>
        </w:rPr>
        <w:t> </w:t>
      </w:r>
      <w:r w:rsidRPr="009737B5">
        <w:rPr>
          <w:rFonts w:ascii="Times New Roman" w:hAnsi="Times New Roman" w:cs="Times New Roman"/>
          <w:lang w:val="de-DE"/>
        </w:rPr>
        <w:t xml:space="preserve">3 oder höher (NCI-CTCAE v.3) nicht erhöht, wenn sie gleichzeitig Warfarin in voller Dosishöhe und </w:t>
      </w:r>
      <w:r w:rsidR="006A3105" w:rsidRPr="009737B5">
        <w:rPr>
          <w:rFonts w:ascii="Times New Roman" w:hAnsi="Times New Roman" w:cs="Times New Roman"/>
          <w:lang w:val="de-DE"/>
        </w:rPr>
        <w:t xml:space="preserve">Bevacizumab </w:t>
      </w:r>
      <w:r w:rsidRPr="009737B5">
        <w:rPr>
          <w:rFonts w:ascii="Times New Roman" w:hAnsi="Times New Roman" w:cs="Times New Roman"/>
          <w:lang w:val="de-DE"/>
        </w:rPr>
        <w:t>erhielten.</w:t>
      </w:r>
    </w:p>
    <w:p w14:paraId="5BA8DFEB" w14:textId="77777777" w:rsidR="00AF337C" w:rsidRPr="009737B5" w:rsidRDefault="00AF337C" w:rsidP="005F4D08">
      <w:pPr>
        <w:suppressAutoHyphens/>
        <w:spacing w:after="0" w:line="240" w:lineRule="auto"/>
        <w:rPr>
          <w:rFonts w:ascii="Times New Roman" w:hAnsi="Times New Roman" w:cs="Times New Roman"/>
          <w:lang w:val="de-DE"/>
        </w:rPr>
      </w:pPr>
    </w:p>
    <w:p w14:paraId="78A322AB" w14:textId="77777777" w:rsidR="00AF337C" w:rsidRPr="009737B5" w:rsidRDefault="00AF337C" w:rsidP="00591072">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Lungeneinblutung/Bluthusten</w:t>
      </w:r>
    </w:p>
    <w:p w14:paraId="2575F455" w14:textId="77777777" w:rsidR="00591072" w:rsidRPr="009737B5" w:rsidRDefault="00591072" w:rsidP="00591072">
      <w:pPr>
        <w:keepNext/>
        <w:suppressAutoHyphens/>
        <w:spacing w:after="0" w:line="240" w:lineRule="auto"/>
        <w:rPr>
          <w:rFonts w:ascii="Times New Roman" w:hAnsi="Times New Roman" w:cs="Times New Roman"/>
          <w:lang w:val="de-DE"/>
        </w:rPr>
      </w:pPr>
    </w:p>
    <w:p w14:paraId="392B1E3F"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Patienten mit nicht-kleinzelligem Bronchialkarzinom, die mit </w:t>
      </w:r>
      <w:r w:rsidR="006A3105" w:rsidRPr="009737B5">
        <w:rPr>
          <w:rFonts w:ascii="Times New Roman" w:hAnsi="Times New Roman" w:cs="Times New Roman"/>
          <w:lang w:val="de-DE"/>
        </w:rPr>
        <w:t xml:space="preserve">Bevacizumab </w:t>
      </w:r>
      <w:r w:rsidRPr="009737B5">
        <w:rPr>
          <w:rFonts w:ascii="Times New Roman" w:hAnsi="Times New Roman" w:cs="Times New Roman"/>
          <w:lang w:val="de-DE"/>
        </w:rPr>
        <w:t xml:space="preserve">behandelt wurden, können dem Risiko schwerwiegender und manchmal tödlich verlaufender Lungeneinblutung/Bluthusten </w:t>
      </w:r>
      <w:r w:rsidRPr="009737B5">
        <w:rPr>
          <w:rFonts w:ascii="Times New Roman" w:hAnsi="Times New Roman" w:cs="Times New Roman"/>
          <w:lang w:val="de-DE"/>
        </w:rPr>
        <w:lastRenderedPageBreak/>
        <w:t>unterliegen. Patienten mit kürzlich aufgetretener Lungeneinblutung/Bluthusten (</w:t>
      </w:r>
      <w:r w:rsidR="00E32D5C" w:rsidRPr="009737B5">
        <w:rPr>
          <w:rFonts w:ascii="Times New Roman" w:hAnsi="Times New Roman" w:cs="Times New Roman"/>
          <w:lang w:val="de-DE"/>
        </w:rPr>
        <w:t>&gt; </w:t>
      </w:r>
      <w:r w:rsidRPr="009737B5">
        <w:rPr>
          <w:rFonts w:ascii="Times New Roman" w:hAnsi="Times New Roman" w:cs="Times New Roman"/>
          <w:lang w:val="de-DE"/>
        </w:rPr>
        <w:t>2,5</w:t>
      </w:r>
      <w:r w:rsidR="00AB26B9" w:rsidRPr="009737B5">
        <w:rPr>
          <w:rFonts w:ascii="Times New Roman" w:hAnsi="Times New Roman" w:cs="Times New Roman"/>
          <w:lang w:val="de-DE"/>
        </w:rPr>
        <w:t> ml</w:t>
      </w:r>
      <w:r w:rsidRPr="009737B5">
        <w:rPr>
          <w:rFonts w:ascii="Times New Roman" w:hAnsi="Times New Roman" w:cs="Times New Roman"/>
          <w:lang w:val="de-DE"/>
        </w:rPr>
        <w:t xml:space="preserve"> Blut) dürfen nicht mit </w:t>
      </w:r>
      <w:r w:rsidR="006A3105" w:rsidRPr="009737B5">
        <w:rPr>
          <w:rFonts w:ascii="Times New Roman" w:hAnsi="Times New Roman" w:cs="Times New Roman"/>
          <w:lang w:val="de-DE"/>
        </w:rPr>
        <w:t xml:space="preserve">Bevacizumab </w:t>
      </w:r>
      <w:r w:rsidRPr="009737B5">
        <w:rPr>
          <w:rFonts w:ascii="Times New Roman" w:hAnsi="Times New Roman" w:cs="Times New Roman"/>
          <w:lang w:val="de-DE"/>
        </w:rPr>
        <w:t>behandelt werden.</w:t>
      </w:r>
    </w:p>
    <w:p w14:paraId="463427A9" w14:textId="77777777" w:rsidR="00AF337C" w:rsidRPr="009737B5" w:rsidRDefault="00AF337C" w:rsidP="005F4D08">
      <w:pPr>
        <w:suppressAutoHyphens/>
        <w:spacing w:after="0" w:line="240" w:lineRule="auto"/>
        <w:rPr>
          <w:rFonts w:ascii="Times New Roman" w:hAnsi="Times New Roman" w:cs="Times New Roman"/>
          <w:lang w:val="de-DE"/>
        </w:rPr>
      </w:pPr>
    </w:p>
    <w:p w14:paraId="59E250E4" w14:textId="790503FC" w:rsidR="00AF337C" w:rsidRPr="009737B5" w:rsidRDefault="00AF337C" w:rsidP="00591072">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Kongestive Herzinsuffizienz (siehe Abschnitt</w:t>
      </w:r>
      <w:r w:rsidR="004A5433">
        <w:rPr>
          <w:rFonts w:ascii="Times New Roman" w:hAnsi="Times New Roman" w:cs="Times New Roman"/>
          <w:u w:val="single"/>
          <w:lang w:val="de-DE"/>
        </w:rPr>
        <w:t> </w:t>
      </w:r>
      <w:r w:rsidRPr="009737B5">
        <w:rPr>
          <w:rFonts w:ascii="Times New Roman" w:hAnsi="Times New Roman" w:cs="Times New Roman"/>
          <w:u w:val="single"/>
          <w:lang w:val="de-DE"/>
        </w:rPr>
        <w:t>4.8)</w:t>
      </w:r>
    </w:p>
    <w:p w14:paraId="5A461424" w14:textId="77777777" w:rsidR="00591072" w:rsidRPr="009737B5" w:rsidRDefault="00591072" w:rsidP="00591072">
      <w:pPr>
        <w:keepNext/>
        <w:suppressAutoHyphens/>
        <w:spacing w:after="0" w:line="240" w:lineRule="auto"/>
        <w:rPr>
          <w:rFonts w:ascii="Times New Roman" w:hAnsi="Times New Roman" w:cs="Times New Roman"/>
          <w:lang w:val="de-DE"/>
        </w:rPr>
      </w:pPr>
    </w:p>
    <w:p w14:paraId="4D7F96B3" w14:textId="5076D0DC"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Fälle von kongestiver Herzinsuffizienz wurden in klinischen Studien berichtet. Die Befunde reichten von asymptomatischer Abnahme der linksventrikulären Auswurffraktion bis zu symptomatischer kongestiver Herzinsuffizienz, die eine Behandlung oder Hospitalisierung erforderte. Bei der Behandlung von Patienten mit klinisch bedeutsamer kardiovaskulärer Erkrankung mit </w:t>
      </w:r>
      <w:r w:rsidR="006A3105" w:rsidRPr="009737B5">
        <w:rPr>
          <w:rFonts w:ascii="Times New Roman" w:hAnsi="Times New Roman" w:cs="Times New Roman"/>
          <w:lang w:val="de-DE"/>
        </w:rPr>
        <w:t>Bevacizumab</w:t>
      </w:r>
      <w:r w:rsidRPr="009737B5">
        <w:rPr>
          <w:rFonts w:ascii="Times New Roman" w:hAnsi="Times New Roman" w:cs="Times New Roman"/>
          <w:lang w:val="de-DE"/>
        </w:rPr>
        <w:t>, wie z.</w:t>
      </w:r>
      <w:r w:rsidR="00905FDC">
        <w:rPr>
          <w:rFonts w:ascii="Times New Roman" w:hAnsi="Times New Roman" w:cs="Times New Roman"/>
          <w:lang w:val="de-DE"/>
        </w:rPr>
        <w:t> </w:t>
      </w:r>
      <w:r w:rsidRPr="009737B5">
        <w:rPr>
          <w:rFonts w:ascii="Times New Roman" w:hAnsi="Times New Roman" w:cs="Times New Roman"/>
          <w:lang w:val="de-DE"/>
        </w:rPr>
        <w:t>B. bei vorbestehender koronarer Herzkrankheit oder kongestiver Herzinsuffizienz, ist Vorsicht geboten.</w:t>
      </w:r>
    </w:p>
    <w:p w14:paraId="32C520E7" w14:textId="77777777" w:rsidR="00AF337C" w:rsidRPr="009737B5" w:rsidRDefault="00AF337C" w:rsidP="005F4D08">
      <w:pPr>
        <w:suppressAutoHyphens/>
        <w:spacing w:after="0" w:line="240" w:lineRule="auto"/>
        <w:rPr>
          <w:rFonts w:ascii="Times New Roman" w:hAnsi="Times New Roman" w:cs="Times New Roman"/>
          <w:lang w:val="de-DE"/>
        </w:rPr>
      </w:pPr>
    </w:p>
    <w:p w14:paraId="4F8C0985"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meisten Patienten mit kongestiver Herzinsuffizienz litten unter einem metastasierten</w:t>
      </w:r>
      <w:r w:rsidR="00C9174A" w:rsidRPr="009737B5">
        <w:rPr>
          <w:rFonts w:ascii="Times New Roman" w:hAnsi="Times New Roman" w:cs="Times New Roman"/>
          <w:lang w:val="de-DE"/>
        </w:rPr>
        <w:t xml:space="preserve"> </w:t>
      </w:r>
      <w:r w:rsidRPr="009737B5">
        <w:rPr>
          <w:rFonts w:ascii="Times New Roman" w:hAnsi="Times New Roman" w:cs="Times New Roman"/>
          <w:lang w:val="de-DE"/>
        </w:rPr>
        <w:t>Mammakarzinom und hatten eine vorhergehende Anthracyclin-Behandlung oder eine vorhergehende Strahlentherapie der linken Brustwand erhalten oder hatten andere Risikofaktoren für eine kongestive Herzinsuffizienz.</w:t>
      </w:r>
    </w:p>
    <w:p w14:paraId="4A5617B8" w14:textId="77777777" w:rsidR="00AF337C" w:rsidRPr="009737B5" w:rsidRDefault="00AF337C" w:rsidP="005F4D08">
      <w:pPr>
        <w:suppressAutoHyphens/>
        <w:spacing w:after="0" w:line="240" w:lineRule="auto"/>
        <w:rPr>
          <w:rFonts w:ascii="Times New Roman" w:hAnsi="Times New Roman" w:cs="Times New Roman"/>
          <w:lang w:val="de-DE"/>
        </w:rPr>
      </w:pPr>
    </w:p>
    <w:p w14:paraId="63D8D6F7" w14:textId="5B9A53ED"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Patienten in der AVF3694g</w:t>
      </w:r>
      <w:r w:rsidR="00B207B4" w:rsidRPr="009737B5">
        <w:rPr>
          <w:rFonts w:ascii="Times New Roman" w:hAnsi="Times New Roman" w:cs="Times New Roman"/>
          <w:lang w:val="de-DE"/>
        </w:rPr>
        <w:t>-</w:t>
      </w:r>
      <w:r w:rsidRPr="009737B5">
        <w:rPr>
          <w:rFonts w:ascii="Times New Roman" w:hAnsi="Times New Roman" w:cs="Times New Roman"/>
          <w:lang w:val="de-DE"/>
        </w:rPr>
        <w:t>Studie, die zum ersten Mal eine Behandlung mit Anthracyclinen erhielten, wurde in der Anthracyclin + Bevacizumab-Gruppe kein vermehrtes Auftreten von kongestiven Herzinsuffizienzen jeglicher Grade beobachtet im Vergleich zu der Gruppe, die nur mit Anthracyclinen behandelt wurde. Kongestive Herzinsuffizienzen 3.</w:t>
      </w:r>
      <w:r w:rsidR="003B57B4">
        <w:rPr>
          <w:rFonts w:ascii="Times New Roman" w:hAnsi="Times New Roman" w:cs="Times New Roman"/>
          <w:lang w:val="de-DE"/>
        </w:rPr>
        <w:t> </w:t>
      </w:r>
      <w:r w:rsidRPr="009737B5">
        <w:rPr>
          <w:rFonts w:ascii="Times New Roman" w:hAnsi="Times New Roman" w:cs="Times New Roman"/>
          <w:lang w:val="de-DE"/>
        </w:rPr>
        <w:t>Grades oder höher traten bei Patienten, die Bevacizumab zusammen mit einer Chemotherapie erhielten, geringfügig häufiger auf als bei Patienten, die nur Chemotherapie erhielten. Dies stimmt mit Ergebnissen von Patienten aus anderen Studien zum metastasierten Mammakarzinom überein, die nicht gleichzeitig mit Anthracyclinen behandelt wurden (NCI-CTCAE v.3) (siehe Abschnitt</w:t>
      </w:r>
      <w:r w:rsidR="003B57B4">
        <w:rPr>
          <w:rFonts w:ascii="Times New Roman" w:hAnsi="Times New Roman" w:cs="Times New Roman"/>
          <w:lang w:val="de-DE"/>
        </w:rPr>
        <w:t> </w:t>
      </w:r>
      <w:r w:rsidRPr="009737B5">
        <w:rPr>
          <w:rFonts w:ascii="Times New Roman" w:hAnsi="Times New Roman" w:cs="Times New Roman"/>
          <w:lang w:val="de-DE"/>
        </w:rPr>
        <w:t>4.8).</w:t>
      </w:r>
    </w:p>
    <w:p w14:paraId="10BBBBDE" w14:textId="77777777" w:rsidR="00AF337C" w:rsidRPr="009737B5" w:rsidRDefault="00AF337C" w:rsidP="005F4D08">
      <w:pPr>
        <w:suppressAutoHyphens/>
        <w:spacing w:after="0" w:line="240" w:lineRule="auto"/>
        <w:rPr>
          <w:rFonts w:ascii="Times New Roman" w:hAnsi="Times New Roman" w:cs="Times New Roman"/>
          <w:lang w:val="de-DE"/>
        </w:rPr>
      </w:pPr>
    </w:p>
    <w:p w14:paraId="0D22E9FA" w14:textId="4A9290A0"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Neutropenie und Infektionen (siehe Abschnitt</w:t>
      </w:r>
      <w:r w:rsidR="003B57B4">
        <w:rPr>
          <w:rFonts w:ascii="Times New Roman" w:hAnsi="Times New Roman" w:cs="Times New Roman"/>
          <w:u w:val="single"/>
          <w:lang w:val="de-DE"/>
        </w:rPr>
        <w:t> </w:t>
      </w:r>
      <w:r w:rsidRPr="009737B5">
        <w:rPr>
          <w:rFonts w:ascii="Times New Roman" w:hAnsi="Times New Roman" w:cs="Times New Roman"/>
          <w:u w:val="single"/>
          <w:lang w:val="de-DE"/>
        </w:rPr>
        <w:t>4.8)</w:t>
      </w:r>
    </w:p>
    <w:p w14:paraId="0F76C363"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5A325CD8"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Bei Patienten, die mit einer myelotoxischen Chemotherapie und </w:t>
      </w:r>
      <w:r w:rsidR="006A3105" w:rsidRPr="009737B5">
        <w:rPr>
          <w:rFonts w:ascii="Times New Roman" w:hAnsi="Times New Roman" w:cs="Times New Roman"/>
          <w:lang w:val="de-DE"/>
        </w:rPr>
        <w:t xml:space="preserve">Bevacizumab </w:t>
      </w:r>
      <w:r w:rsidRPr="009737B5">
        <w:rPr>
          <w:rFonts w:ascii="Times New Roman" w:hAnsi="Times New Roman" w:cs="Times New Roman"/>
          <w:lang w:val="de-DE"/>
        </w:rPr>
        <w:t>behandelt wurden, wurden im</w:t>
      </w:r>
      <w:r w:rsidR="00C9174A" w:rsidRPr="009737B5">
        <w:rPr>
          <w:rFonts w:ascii="Times New Roman" w:hAnsi="Times New Roman" w:cs="Times New Roman"/>
          <w:lang w:val="de-DE"/>
        </w:rPr>
        <w:t xml:space="preserve"> </w:t>
      </w:r>
      <w:r w:rsidRPr="009737B5">
        <w:rPr>
          <w:rFonts w:ascii="Times New Roman" w:hAnsi="Times New Roman" w:cs="Times New Roman"/>
          <w:lang w:val="de-DE"/>
        </w:rPr>
        <w:t>Vergleich zur alleinigen Chemotherapie erhöhte Inzidenzen von schwerer Neutropenie, febriler Neutropenie oder Infektion mit oder ohne schwere Neutropenie (einschließlich einiger Todesfälle) beobachtet. Diese Fälle wurden hauptsächlich bei Kombinationstherapien mit Platin oder Taxanen zur Behandlung des NSCLC und des metastasierten Mammakarzinoms sowie bei Kombinationstherapien</w:t>
      </w:r>
      <w:r w:rsidR="00C9174A" w:rsidRPr="009737B5">
        <w:rPr>
          <w:rFonts w:ascii="Times New Roman" w:hAnsi="Times New Roman" w:cs="Times New Roman"/>
          <w:lang w:val="de-DE"/>
        </w:rPr>
        <w:t xml:space="preserve"> </w:t>
      </w:r>
      <w:r w:rsidRPr="009737B5">
        <w:rPr>
          <w:rFonts w:ascii="Times New Roman" w:hAnsi="Times New Roman" w:cs="Times New Roman"/>
          <w:lang w:val="de-DE"/>
        </w:rPr>
        <w:t>mit Paclitaxel und Topotecan zur Behandlung von persistierendem, rezidivierendem oder metastasiertem Zervixkarzinom beobachtet.</w:t>
      </w:r>
    </w:p>
    <w:p w14:paraId="5920A6EE" w14:textId="77777777" w:rsidR="00AF337C" w:rsidRPr="009737B5" w:rsidRDefault="00AF337C" w:rsidP="005F4D08">
      <w:pPr>
        <w:suppressAutoHyphens/>
        <w:spacing w:after="0" w:line="240" w:lineRule="auto"/>
        <w:rPr>
          <w:rFonts w:ascii="Times New Roman" w:hAnsi="Times New Roman" w:cs="Times New Roman"/>
          <w:lang w:val="de-DE"/>
        </w:rPr>
      </w:pPr>
    </w:p>
    <w:p w14:paraId="54B0D7D8" w14:textId="1A60EFBB"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Überempfindlichkeits</w:t>
      </w:r>
      <w:r w:rsidR="00A12938">
        <w:rPr>
          <w:rFonts w:ascii="Times New Roman" w:hAnsi="Times New Roman" w:cs="Times New Roman"/>
          <w:u w:val="single"/>
          <w:lang w:val="de-DE"/>
        </w:rPr>
        <w:t>reaktionen (einschließlich anaphylaktischer Schock)/</w:t>
      </w:r>
      <w:r w:rsidRPr="009737B5">
        <w:rPr>
          <w:rFonts w:ascii="Times New Roman" w:hAnsi="Times New Roman" w:cs="Times New Roman"/>
          <w:u w:val="single"/>
          <w:lang w:val="de-DE"/>
        </w:rPr>
        <w:t>Infusionsreaktionen (siehe Abschnitt</w:t>
      </w:r>
      <w:r w:rsidR="003B57B4">
        <w:rPr>
          <w:rFonts w:ascii="Times New Roman" w:hAnsi="Times New Roman" w:cs="Times New Roman"/>
          <w:u w:val="single"/>
          <w:lang w:val="de-DE"/>
        </w:rPr>
        <w:t> </w:t>
      </w:r>
      <w:r w:rsidRPr="009737B5">
        <w:rPr>
          <w:rFonts w:ascii="Times New Roman" w:hAnsi="Times New Roman" w:cs="Times New Roman"/>
          <w:u w:val="single"/>
          <w:lang w:val="de-DE"/>
        </w:rPr>
        <w:t>4.8)</w:t>
      </w:r>
    </w:p>
    <w:p w14:paraId="1F555C14"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28BA203E" w14:textId="426CB494"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Für die Patienten besteht ein Risiko für die Entwicklung von Überempfindlichkeits- oder</w:t>
      </w:r>
      <w:r w:rsidR="00C9174A" w:rsidRPr="009737B5">
        <w:rPr>
          <w:rFonts w:ascii="Times New Roman" w:hAnsi="Times New Roman" w:cs="Times New Roman"/>
          <w:lang w:val="de-DE"/>
        </w:rPr>
        <w:t xml:space="preserve"> </w:t>
      </w:r>
      <w:r w:rsidRPr="009737B5">
        <w:rPr>
          <w:rFonts w:ascii="Times New Roman" w:hAnsi="Times New Roman" w:cs="Times New Roman"/>
          <w:lang w:val="de-DE"/>
        </w:rPr>
        <w:t>Infusionsreaktionen</w:t>
      </w:r>
      <w:r w:rsidR="00A12938">
        <w:rPr>
          <w:rFonts w:ascii="Times New Roman" w:hAnsi="Times New Roman" w:cs="Times New Roman"/>
          <w:lang w:val="de-DE"/>
        </w:rPr>
        <w:t xml:space="preserve"> </w:t>
      </w:r>
      <w:r w:rsidR="00A12938">
        <w:rPr>
          <w:rFonts w:ascii="Times New Roman" w:hAnsi="Times New Roman" w:cs="Times New Roman"/>
          <w:u w:val="single"/>
          <w:lang w:val="de-DE"/>
        </w:rPr>
        <w:t>(einschließlich anaphylaktischer Schock)</w:t>
      </w:r>
      <w:r w:rsidRPr="009737B5">
        <w:rPr>
          <w:rFonts w:ascii="Times New Roman" w:hAnsi="Times New Roman" w:cs="Times New Roman"/>
          <w:lang w:val="de-DE"/>
        </w:rPr>
        <w:t>. Eine engmaschige Überwachung des Patienten während und nach der Gabe von</w:t>
      </w:r>
      <w:r w:rsidR="00C9174A" w:rsidRPr="009737B5">
        <w:rPr>
          <w:rFonts w:ascii="Times New Roman" w:hAnsi="Times New Roman" w:cs="Times New Roman"/>
          <w:lang w:val="de-DE"/>
        </w:rPr>
        <w:t xml:space="preserve"> </w:t>
      </w:r>
      <w:r w:rsidRPr="009737B5">
        <w:rPr>
          <w:rFonts w:ascii="Times New Roman" w:hAnsi="Times New Roman" w:cs="Times New Roman"/>
          <w:lang w:val="de-DE"/>
        </w:rPr>
        <w:t>Bevacizumab wird, wie bei allen Infusionen von therapeutischen humanisierten monoklonalen Antikörpern, empfohlen. Wenn eine Reaktion auftritt, sollte die Infusion abgesetzt und eine angemessene medizinische Therapie durchgeführt werden. Eine systematische Prämedikation ist nicht erforderlich.</w:t>
      </w:r>
    </w:p>
    <w:p w14:paraId="0773AE1D" w14:textId="77777777" w:rsidR="00AF337C" w:rsidRPr="009737B5" w:rsidRDefault="00AF337C" w:rsidP="005F4D08">
      <w:pPr>
        <w:suppressAutoHyphens/>
        <w:spacing w:after="0" w:line="240" w:lineRule="auto"/>
        <w:rPr>
          <w:rFonts w:ascii="Times New Roman" w:hAnsi="Times New Roman" w:cs="Times New Roman"/>
          <w:lang w:val="de-DE"/>
        </w:rPr>
      </w:pPr>
    </w:p>
    <w:p w14:paraId="7BEB3BDD" w14:textId="20FCA442"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Kiefernekrose (siehe Abschnitt</w:t>
      </w:r>
      <w:r w:rsidR="003B57B4">
        <w:rPr>
          <w:rFonts w:ascii="Times New Roman" w:hAnsi="Times New Roman" w:cs="Times New Roman"/>
          <w:u w:val="single"/>
          <w:lang w:val="de-DE"/>
        </w:rPr>
        <w:t> </w:t>
      </w:r>
      <w:r w:rsidRPr="009737B5">
        <w:rPr>
          <w:rFonts w:ascii="Times New Roman" w:hAnsi="Times New Roman" w:cs="Times New Roman"/>
          <w:u w:val="single"/>
          <w:lang w:val="de-DE"/>
        </w:rPr>
        <w:t>4.8)</w:t>
      </w:r>
    </w:p>
    <w:p w14:paraId="0A64895F"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4DF6AD32"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Bei Krebspatienten unter </w:t>
      </w:r>
      <w:r w:rsidR="006A3105" w:rsidRPr="009737B5">
        <w:rPr>
          <w:rFonts w:ascii="Times New Roman" w:hAnsi="Times New Roman" w:cs="Times New Roman"/>
          <w:lang w:val="de-DE"/>
        </w:rPr>
        <w:t>Bevacizumab-</w:t>
      </w:r>
      <w:r w:rsidRPr="009737B5">
        <w:rPr>
          <w:rFonts w:ascii="Times New Roman" w:hAnsi="Times New Roman" w:cs="Times New Roman"/>
          <w:lang w:val="de-DE"/>
        </w:rPr>
        <w:t xml:space="preserve">Behandlung sind Fälle von Kiefernekrosen berichtet worden. Die Mehrzahl dieser Patienten wurde vorher oder gleichzeitig intravenös mit Bisphosphonaten behandelt, was ein bekanntes Risiko für die Entstehung von Kiefernekrosen darstellt. Bei gleichzeitiger oder aufeinanderfolgender Anwendung von </w:t>
      </w:r>
      <w:r w:rsidR="000A5BDE" w:rsidRPr="009737B5">
        <w:rPr>
          <w:rFonts w:ascii="Times New Roman" w:hAnsi="Times New Roman" w:cs="Times New Roman"/>
          <w:lang w:val="de-DE"/>
        </w:rPr>
        <w:t xml:space="preserve">Bevacizumab </w:t>
      </w:r>
      <w:r w:rsidRPr="009737B5">
        <w:rPr>
          <w:rFonts w:ascii="Times New Roman" w:hAnsi="Times New Roman" w:cs="Times New Roman"/>
          <w:lang w:val="de-DE"/>
        </w:rPr>
        <w:t>und intravenösen Bisphosphonaten ist daher besondere Vorsicht geboten.</w:t>
      </w:r>
    </w:p>
    <w:p w14:paraId="0B5F2D09" w14:textId="77777777" w:rsidR="00C9174A" w:rsidRPr="009737B5" w:rsidRDefault="00C9174A" w:rsidP="005F4D08">
      <w:pPr>
        <w:suppressAutoHyphens/>
        <w:spacing w:after="0" w:line="240" w:lineRule="auto"/>
        <w:rPr>
          <w:rFonts w:ascii="Times New Roman" w:hAnsi="Times New Roman" w:cs="Times New Roman"/>
          <w:lang w:val="de-DE"/>
        </w:rPr>
      </w:pPr>
    </w:p>
    <w:p w14:paraId="5D4F6BE3" w14:textId="577CA67A" w:rsidR="00AF337C"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Invasive zahnärztliche Eingriffe stellen ebenfalls einen zusätzlichen Risikofaktor dar. Vor Beginn einer Behandlung mit </w:t>
      </w:r>
      <w:r w:rsidR="00885FD1" w:rsidRPr="009737B5">
        <w:rPr>
          <w:rFonts w:ascii="Times New Roman" w:hAnsi="Times New Roman" w:cs="Times New Roman"/>
          <w:lang w:val="de-DE"/>
        </w:rPr>
        <w:t>MVASI</w:t>
      </w:r>
      <w:r w:rsidR="000A5BDE" w:rsidRPr="009737B5" w:rsidDel="000A5BDE">
        <w:rPr>
          <w:rFonts w:ascii="Times New Roman" w:hAnsi="Times New Roman" w:cs="Times New Roman"/>
          <w:lang w:val="de-DE"/>
        </w:rPr>
        <w:t xml:space="preserve"> </w:t>
      </w:r>
      <w:r w:rsidRPr="009737B5">
        <w:rPr>
          <w:rFonts w:ascii="Times New Roman" w:hAnsi="Times New Roman" w:cs="Times New Roman"/>
          <w:lang w:val="de-DE"/>
        </w:rPr>
        <w:t xml:space="preserve">sollten eine zahnärztliche Untersuchung und geeignete zahnmedizinische Vorsorgemaßnahmen erwogen werden. Bei Patienten, die intravenös </w:t>
      </w:r>
      <w:r w:rsidRPr="009737B5">
        <w:rPr>
          <w:rFonts w:ascii="Times New Roman" w:hAnsi="Times New Roman" w:cs="Times New Roman"/>
          <w:lang w:val="de-DE"/>
        </w:rPr>
        <w:lastRenderedPageBreak/>
        <w:t>Bisphosphonate erhalten oder erhalten haben, sollten invasive zahnärztliche Eingriffe nach Möglichkeit vermieden werden.</w:t>
      </w:r>
    </w:p>
    <w:p w14:paraId="640B8822" w14:textId="29727D2F" w:rsidR="00290CB0" w:rsidRDefault="00290CB0" w:rsidP="005F4D08">
      <w:pPr>
        <w:suppressAutoHyphens/>
        <w:spacing w:after="0" w:line="240" w:lineRule="auto"/>
        <w:rPr>
          <w:rFonts w:ascii="Times New Roman" w:hAnsi="Times New Roman" w:cs="Times New Roman"/>
          <w:lang w:val="de-DE"/>
        </w:rPr>
      </w:pPr>
    </w:p>
    <w:p w14:paraId="074F7DAE" w14:textId="173633FF" w:rsidR="00290CB0" w:rsidRPr="005D2ED1" w:rsidRDefault="00290CB0" w:rsidP="00290CB0">
      <w:pPr>
        <w:autoSpaceDE w:val="0"/>
        <w:autoSpaceDN w:val="0"/>
        <w:adjustRightInd w:val="0"/>
        <w:spacing w:before="60" w:after="140" w:line="240" w:lineRule="auto"/>
        <w:rPr>
          <w:rFonts w:ascii="Times New Roman" w:hAnsi="Times New Roman" w:cs="Times New Roman"/>
          <w:u w:val="single"/>
          <w:lang w:val="de-DE"/>
        </w:rPr>
      </w:pPr>
      <w:r w:rsidRPr="005D2ED1">
        <w:rPr>
          <w:rFonts w:ascii="Times New Roman" w:hAnsi="Times New Roman" w:cs="Times New Roman"/>
          <w:u w:val="single"/>
          <w:lang w:val="de-DE"/>
        </w:rPr>
        <w:t>Aneurysmen und Arteriendissektionen</w:t>
      </w:r>
      <w:r>
        <w:rPr>
          <w:rFonts w:ascii="Times New Roman" w:hAnsi="Times New Roman" w:cs="Times New Roman"/>
          <w:u w:val="single"/>
          <w:lang w:val="de-DE"/>
        </w:rPr>
        <w:t xml:space="preserve"> (siehe Abschnitt</w:t>
      </w:r>
      <w:r w:rsidR="003B57B4">
        <w:rPr>
          <w:rFonts w:ascii="Times New Roman" w:hAnsi="Times New Roman" w:cs="Times New Roman"/>
          <w:u w:val="single"/>
          <w:lang w:val="de-DE"/>
        </w:rPr>
        <w:t> </w:t>
      </w:r>
      <w:r>
        <w:rPr>
          <w:rFonts w:ascii="Times New Roman" w:hAnsi="Times New Roman" w:cs="Times New Roman"/>
          <w:u w:val="single"/>
          <w:lang w:val="de-DE"/>
        </w:rPr>
        <w:t>4.8)</w:t>
      </w:r>
    </w:p>
    <w:p w14:paraId="28393F14" w14:textId="20B1A852" w:rsidR="00290CB0" w:rsidRPr="009737B5" w:rsidRDefault="00290CB0" w:rsidP="00290CB0">
      <w:pPr>
        <w:suppressAutoHyphens/>
        <w:spacing w:after="0" w:line="240" w:lineRule="auto"/>
        <w:rPr>
          <w:rFonts w:ascii="Times New Roman" w:hAnsi="Times New Roman" w:cs="Times New Roman"/>
          <w:lang w:val="de-DE"/>
        </w:rPr>
      </w:pPr>
      <w:r w:rsidRPr="005D2ED1">
        <w:rPr>
          <w:rFonts w:ascii="Times New Roman" w:hAnsi="Times New Roman" w:cs="Times New Roman"/>
          <w:lang w:val="de-DE"/>
        </w:rPr>
        <w:t xml:space="preserve">Die Verwendung von VEGF-Signalweg-Hemmern bei Patienten mit oder ohne Hypertonie kann die Entstehung von Aneurysmen und/oder Arteriendissektionen begünstigen. Vor Beginn der Behandlung mit </w:t>
      </w:r>
      <w:r>
        <w:rPr>
          <w:rFonts w:ascii="Times New Roman" w:hAnsi="Times New Roman" w:cs="Times New Roman"/>
          <w:lang w:val="de-DE"/>
        </w:rPr>
        <w:t>MVASI</w:t>
      </w:r>
      <w:r w:rsidRPr="005D2ED1">
        <w:rPr>
          <w:rFonts w:ascii="Times New Roman" w:hAnsi="Times New Roman" w:cs="Times New Roman"/>
          <w:lang w:val="de-DE"/>
        </w:rPr>
        <w:t xml:space="preserve"> sollte dieses Risiko bei Patienten mit Risikofaktoren wie Hypertonie oder Aneurysmen in der Vorgeschichte sorgfältig abgewogen werden.</w:t>
      </w:r>
    </w:p>
    <w:p w14:paraId="4AEAD774" w14:textId="77777777" w:rsidR="00AF337C" w:rsidRPr="009737B5" w:rsidRDefault="00AF337C" w:rsidP="005F4D08">
      <w:pPr>
        <w:suppressAutoHyphens/>
        <w:spacing w:after="0" w:line="240" w:lineRule="auto"/>
        <w:rPr>
          <w:rFonts w:ascii="Times New Roman" w:hAnsi="Times New Roman" w:cs="Times New Roman"/>
          <w:lang w:val="de-DE"/>
        </w:rPr>
      </w:pPr>
    </w:p>
    <w:p w14:paraId="2E585DE0" w14:textId="77777777"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Intravitreale Anwendung</w:t>
      </w:r>
    </w:p>
    <w:p w14:paraId="0F1620F6"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5EFB34E3"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Formulierung von </w:t>
      </w:r>
      <w:r w:rsidR="00885FD1" w:rsidRPr="009737B5">
        <w:rPr>
          <w:rFonts w:ascii="Times New Roman" w:hAnsi="Times New Roman" w:cs="Times New Roman"/>
          <w:lang w:val="de-DE"/>
        </w:rPr>
        <w:t>MVASI</w:t>
      </w:r>
      <w:r w:rsidR="000A5BDE" w:rsidRPr="009737B5" w:rsidDel="000A5BDE">
        <w:rPr>
          <w:rFonts w:ascii="Times New Roman" w:hAnsi="Times New Roman" w:cs="Times New Roman"/>
          <w:lang w:val="de-DE"/>
        </w:rPr>
        <w:t xml:space="preserve"> </w:t>
      </w:r>
      <w:r w:rsidRPr="009737B5">
        <w:rPr>
          <w:rFonts w:ascii="Times New Roman" w:hAnsi="Times New Roman" w:cs="Times New Roman"/>
          <w:lang w:val="de-DE"/>
        </w:rPr>
        <w:t>wurde nicht für die intravitreale Anwendung entwickelt.</w:t>
      </w:r>
    </w:p>
    <w:p w14:paraId="6628D928" w14:textId="77777777" w:rsidR="00AF337C" w:rsidRPr="009737B5" w:rsidRDefault="00AF337C" w:rsidP="005F4D08">
      <w:pPr>
        <w:suppressAutoHyphens/>
        <w:spacing w:after="0" w:line="240" w:lineRule="auto"/>
        <w:rPr>
          <w:rFonts w:ascii="Times New Roman" w:hAnsi="Times New Roman" w:cs="Times New Roman"/>
          <w:lang w:val="de-DE"/>
        </w:rPr>
      </w:pPr>
    </w:p>
    <w:p w14:paraId="481FB490" w14:textId="77777777"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Augenerkrankungen</w:t>
      </w:r>
    </w:p>
    <w:p w14:paraId="035EDAC6" w14:textId="77777777" w:rsidR="00C9174A" w:rsidRPr="009737B5" w:rsidRDefault="00C9174A" w:rsidP="00C9174A">
      <w:pPr>
        <w:keepNext/>
        <w:suppressAutoHyphens/>
        <w:spacing w:after="0" w:line="240" w:lineRule="auto"/>
        <w:rPr>
          <w:rFonts w:ascii="Times New Roman" w:hAnsi="Times New Roman" w:cs="Times New Roman"/>
          <w:u w:val="single"/>
          <w:lang w:val="de-DE"/>
        </w:rPr>
      </w:pPr>
    </w:p>
    <w:p w14:paraId="68FB84F7"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Nach nicht zugelassener intravitrealer Anwendung von </w:t>
      </w:r>
      <w:r w:rsidR="00203E14" w:rsidRPr="009737B5">
        <w:rPr>
          <w:rFonts w:ascii="Times New Roman" w:hAnsi="Times New Roman" w:cs="Times New Roman"/>
          <w:lang w:val="de-DE"/>
        </w:rPr>
        <w:t>Bevacizumab</w:t>
      </w:r>
      <w:r w:rsidRPr="009737B5">
        <w:rPr>
          <w:rFonts w:ascii="Times New Roman" w:hAnsi="Times New Roman" w:cs="Times New Roman"/>
          <w:lang w:val="de-DE"/>
        </w:rPr>
        <w:t>, hergestellt aus Durchstechflaschen für die intravenöse Anwendung bei Krebspatienten, wurden Einzelfälle und Cluster schwerwiegender unerwünschter Ereignisse am Auge berichtet. Diese umfassten infektiöse Endophthalmitis, intraokuläre Entzündung wie sterile Endophthalmitis, Uveitis und Vitritis, Retinaablösung, Riss des retinalen Pigmentepithels, erhöhten intraokulären Druck, intraokuläre Hämorrhagie wie Glaskörper- oder Retinablutung sowie Bindehautblutung. Einige dieser Nebenwirkungen führten zu unterschiedlich starken Sehbeeinträchtigungen, einschließlich dauerhafter Erblindung.</w:t>
      </w:r>
    </w:p>
    <w:p w14:paraId="1428E9ED" w14:textId="77777777" w:rsidR="00AF337C" w:rsidRPr="009737B5" w:rsidRDefault="00AF337C" w:rsidP="005F4D08">
      <w:pPr>
        <w:suppressAutoHyphens/>
        <w:spacing w:after="0" w:line="240" w:lineRule="auto"/>
        <w:rPr>
          <w:rFonts w:ascii="Times New Roman" w:hAnsi="Times New Roman" w:cs="Times New Roman"/>
          <w:lang w:val="de-DE"/>
        </w:rPr>
      </w:pPr>
    </w:p>
    <w:p w14:paraId="00A2D5AF" w14:textId="77777777" w:rsidR="00AF337C" w:rsidRPr="009737B5" w:rsidRDefault="00AF337C" w:rsidP="00BF042B">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Systemische Wirkungen nach intravitrealer Anwendung</w:t>
      </w:r>
    </w:p>
    <w:p w14:paraId="01EC50FA" w14:textId="77777777" w:rsidR="00C9174A" w:rsidRPr="009737B5" w:rsidRDefault="00C9174A" w:rsidP="00BF042B">
      <w:pPr>
        <w:keepNext/>
        <w:suppressAutoHyphens/>
        <w:spacing w:after="0" w:line="240" w:lineRule="auto"/>
        <w:rPr>
          <w:rFonts w:ascii="Times New Roman" w:hAnsi="Times New Roman" w:cs="Times New Roman"/>
          <w:lang w:val="de-DE"/>
        </w:rPr>
      </w:pPr>
    </w:p>
    <w:p w14:paraId="61EB355A"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wurde gezeigt, dass nach einer intravitrealen Anti-VEGF-Behandlung die Konzentration des zirkulierenden VEGF abnimmt. Nach intravitrealer Injektion von VEGF-Inhibitoren wurden systemische unerwünschte Ereignisse einschließlich nicht-okularer Hämorrhagien und arterieller thromboembolischer Ereignisse berichtet.</w:t>
      </w:r>
    </w:p>
    <w:p w14:paraId="176A9B52" w14:textId="77777777" w:rsidR="00AF337C" w:rsidRPr="009737B5" w:rsidRDefault="00AF337C" w:rsidP="005F4D08">
      <w:pPr>
        <w:suppressAutoHyphens/>
        <w:spacing w:after="0" w:line="240" w:lineRule="auto"/>
        <w:rPr>
          <w:rFonts w:ascii="Times New Roman" w:hAnsi="Times New Roman" w:cs="Times New Roman"/>
          <w:lang w:val="de-DE"/>
        </w:rPr>
      </w:pPr>
    </w:p>
    <w:p w14:paraId="6FD546F1" w14:textId="77777777"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Ovarialinsuffizienz/Fertilität</w:t>
      </w:r>
    </w:p>
    <w:p w14:paraId="640F878E"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42D0441A" w14:textId="15758412" w:rsidR="00AF337C" w:rsidRPr="009737B5" w:rsidRDefault="00203E14"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Bevacizumab </w:t>
      </w:r>
      <w:r w:rsidR="00AF337C" w:rsidRPr="009737B5">
        <w:rPr>
          <w:rFonts w:ascii="Times New Roman" w:hAnsi="Times New Roman" w:cs="Times New Roman"/>
          <w:lang w:val="de-DE"/>
        </w:rPr>
        <w:t>kann die weibliche Fertilität beeinträchtigen (siehe Abschnitte</w:t>
      </w:r>
      <w:r w:rsidR="003B57B4">
        <w:rPr>
          <w:rFonts w:ascii="Times New Roman" w:hAnsi="Times New Roman" w:cs="Times New Roman"/>
          <w:lang w:val="de-DE"/>
        </w:rPr>
        <w:t> </w:t>
      </w:r>
      <w:r w:rsidR="00AF337C" w:rsidRPr="009737B5">
        <w:rPr>
          <w:rFonts w:ascii="Times New Roman" w:hAnsi="Times New Roman" w:cs="Times New Roman"/>
          <w:lang w:val="de-DE"/>
        </w:rPr>
        <w:t xml:space="preserve">4.6 und 4.8). Deshalb sollte mit Frauen im gebärfähigen Alter vor Beginn einer Behandlung mit </w:t>
      </w:r>
      <w:r w:rsidRPr="009737B5">
        <w:rPr>
          <w:rFonts w:ascii="Times New Roman" w:hAnsi="Times New Roman" w:cs="Times New Roman"/>
          <w:lang w:val="de-DE"/>
        </w:rPr>
        <w:t>Bevacizumab</w:t>
      </w:r>
      <w:r w:rsidR="00AF337C" w:rsidRPr="009737B5">
        <w:rPr>
          <w:rFonts w:ascii="Times New Roman" w:hAnsi="Times New Roman" w:cs="Times New Roman"/>
          <w:lang w:val="de-DE"/>
        </w:rPr>
        <w:t xml:space="preserve"> über Maßnahmen zur Erhaltung der Fertilität gesprochen werden.</w:t>
      </w:r>
    </w:p>
    <w:p w14:paraId="0546ECA0" w14:textId="77777777" w:rsidR="001B2020" w:rsidRDefault="001B2020" w:rsidP="001B2020">
      <w:pPr>
        <w:suppressAutoHyphens/>
        <w:spacing w:after="0" w:line="240" w:lineRule="auto"/>
        <w:rPr>
          <w:rFonts w:ascii="Times New Roman" w:hAnsi="Times New Roman" w:cs="Times New Roman"/>
          <w:lang w:val="de-DE"/>
        </w:rPr>
      </w:pPr>
    </w:p>
    <w:p w14:paraId="0CF06FD3" w14:textId="77777777" w:rsidR="001B2020" w:rsidRDefault="001B2020" w:rsidP="001B2020">
      <w:pPr>
        <w:suppressAutoHyphens/>
        <w:spacing w:after="0" w:line="240" w:lineRule="auto"/>
        <w:rPr>
          <w:rFonts w:ascii="Times New Roman" w:hAnsi="Times New Roman" w:cs="Times New Roman"/>
          <w:u w:val="single"/>
          <w:lang w:val="de-DE"/>
        </w:rPr>
      </w:pPr>
      <w:r>
        <w:rPr>
          <w:rFonts w:ascii="Times New Roman" w:hAnsi="Times New Roman" w:cs="Times New Roman"/>
          <w:u w:val="single"/>
          <w:lang w:val="de-DE"/>
        </w:rPr>
        <w:t>Natriumgehalt</w:t>
      </w:r>
    </w:p>
    <w:p w14:paraId="7EFE9FE1" w14:textId="77777777" w:rsidR="001B2020" w:rsidRDefault="001B2020" w:rsidP="001B2020">
      <w:pPr>
        <w:suppressAutoHyphens/>
        <w:spacing w:after="0" w:line="240" w:lineRule="auto"/>
        <w:rPr>
          <w:rFonts w:ascii="Times New Roman" w:hAnsi="Times New Roman" w:cs="Times New Roman"/>
          <w:lang w:val="de-DE"/>
        </w:rPr>
      </w:pPr>
    </w:p>
    <w:p w14:paraId="09487DB7" w14:textId="77777777" w:rsidR="001B2020" w:rsidRDefault="001B2020" w:rsidP="001B2020">
      <w:pPr>
        <w:suppressAutoHyphens/>
        <w:spacing w:after="0" w:line="240" w:lineRule="auto"/>
        <w:rPr>
          <w:rFonts w:ascii="Times New Roman" w:hAnsi="Times New Roman" w:cs="Times New Roman"/>
          <w:i/>
          <w:u w:val="single"/>
          <w:lang w:val="de-DE"/>
        </w:rPr>
      </w:pPr>
      <w:r>
        <w:rPr>
          <w:rFonts w:ascii="Times New Roman" w:hAnsi="Times New Roman" w:cs="Times New Roman"/>
          <w:i/>
          <w:u w:val="single"/>
          <w:lang w:val="de-DE"/>
        </w:rPr>
        <w:t>MVASI 25 mg/ml Konzentrat zur Herstellung einer Infusionslösung (4 ml)</w:t>
      </w:r>
    </w:p>
    <w:p w14:paraId="3D0B9C70" w14:textId="77777777" w:rsidR="001B2020" w:rsidRDefault="001B2020" w:rsidP="001B2020">
      <w:pPr>
        <w:suppressAutoHyphens/>
        <w:spacing w:after="0" w:line="240" w:lineRule="auto"/>
        <w:rPr>
          <w:rFonts w:ascii="Times New Roman" w:hAnsi="Times New Roman" w:cs="Times New Roman"/>
          <w:iCs/>
          <w:lang w:val="de-DE"/>
        </w:rPr>
      </w:pPr>
    </w:p>
    <w:p w14:paraId="017D4F0E" w14:textId="4000FFB3" w:rsidR="001B2020" w:rsidRDefault="001B2020" w:rsidP="001B2020">
      <w:pPr>
        <w:suppressAutoHyphens/>
        <w:spacing w:after="0" w:line="240" w:lineRule="auto"/>
        <w:rPr>
          <w:rFonts w:ascii="Times New Roman" w:hAnsi="Times New Roman" w:cs="Times New Roman"/>
          <w:lang w:val="de-DE"/>
        </w:rPr>
      </w:pPr>
      <w:r>
        <w:rPr>
          <w:rFonts w:ascii="Times New Roman" w:hAnsi="Times New Roman" w:cs="Times New Roman"/>
          <w:lang w:val="de-DE"/>
        </w:rPr>
        <w:t xml:space="preserve">Dieses Arzneimittel enthält </w:t>
      </w:r>
      <w:r w:rsidR="00781DEB">
        <w:rPr>
          <w:rFonts w:ascii="Times New Roman" w:hAnsi="Times New Roman" w:cs="Times New Roman"/>
          <w:lang w:val="de-DE"/>
        </w:rPr>
        <w:t>5,4</w:t>
      </w:r>
      <w:r>
        <w:rPr>
          <w:rFonts w:ascii="Times New Roman" w:hAnsi="Times New Roman" w:cs="Times New Roman"/>
          <w:lang w:val="de-DE"/>
        </w:rPr>
        <w:t> mg Natrium pro 4 ml Durchstechflasche, entsprechend 0,</w:t>
      </w:r>
      <w:r w:rsidR="00781DEB">
        <w:rPr>
          <w:rFonts w:ascii="Times New Roman" w:hAnsi="Times New Roman" w:cs="Times New Roman"/>
          <w:lang w:val="de-DE"/>
        </w:rPr>
        <w:t>3</w:t>
      </w:r>
      <w:r>
        <w:rPr>
          <w:rFonts w:ascii="Times New Roman" w:hAnsi="Times New Roman" w:cs="Times New Roman"/>
          <w:lang w:val="de-DE"/>
        </w:rPr>
        <w:t> % der von der WHO für einen Erwachsenen empfohlenen maximalen täglichen Natriumaufnahme mit der Nahrung von 2 g.</w:t>
      </w:r>
    </w:p>
    <w:p w14:paraId="3F4E81CF" w14:textId="77777777" w:rsidR="001B2020" w:rsidRDefault="001B2020" w:rsidP="001B2020">
      <w:pPr>
        <w:suppressAutoHyphens/>
        <w:spacing w:after="0" w:line="240" w:lineRule="auto"/>
        <w:rPr>
          <w:rFonts w:ascii="Times New Roman" w:hAnsi="Times New Roman" w:cs="Times New Roman"/>
          <w:iCs/>
          <w:lang w:val="de-DE"/>
        </w:rPr>
      </w:pPr>
    </w:p>
    <w:p w14:paraId="41D6C51B" w14:textId="77777777" w:rsidR="001B2020" w:rsidRDefault="001B2020" w:rsidP="001B2020">
      <w:pPr>
        <w:suppressAutoHyphens/>
        <w:spacing w:after="0" w:line="240" w:lineRule="auto"/>
        <w:rPr>
          <w:rFonts w:ascii="Times New Roman" w:hAnsi="Times New Roman" w:cs="Times New Roman"/>
          <w:i/>
          <w:u w:val="single"/>
          <w:lang w:val="de-DE"/>
        </w:rPr>
      </w:pPr>
      <w:r>
        <w:rPr>
          <w:rFonts w:ascii="Times New Roman" w:hAnsi="Times New Roman" w:cs="Times New Roman"/>
          <w:i/>
          <w:u w:val="single"/>
          <w:lang w:val="de-DE"/>
        </w:rPr>
        <w:t>MVASI 25 mg/ml Konzentrat zur Herstellung einer Infusionslösung (16 ml)</w:t>
      </w:r>
    </w:p>
    <w:p w14:paraId="6754791E" w14:textId="77777777" w:rsidR="001B2020" w:rsidRDefault="001B2020" w:rsidP="001B2020">
      <w:pPr>
        <w:suppressAutoHyphens/>
        <w:spacing w:after="0" w:line="240" w:lineRule="auto"/>
        <w:rPr>
          <w:rFonts w:ascii="Times New Roman" w:hAnsi="Times New Roman" w:cs="Times New Roman"/>
          <w:lang w:val="de-DE"/>
        </w:rPr>
      </w:pPr>
    </w:p>
    <w:p w14:paraId="2EB76BB6" w14:textId="1808A1E5" w:rsidR="001B2020" w:rsidRDefault="001B2020" w:rsidP="001B2020">
      <w:pPr>
        <w:suppressAutoHyphens/>
        <w:spacing w:after="0" w:line="240" w:lineRule="auto"/>
        <w:rPr>
          <w:rFonts w:ascii="Times New Roman" w:hAnsi="Times New Roman" w:cs="Times New Roman"/>
          <w:lang w:val="de-DE"/>
        </w:rPr>
      </w:pPr>
      <w:r>
        <w:rPr>
          <w:rFonts w:ascii="Times New Roman" w:hAnsi="Times New Roman" w:cs="Times New Roman"/>
          <w:lang w:val="de-DE"/>
        </w:rPr>
        <w:t xml:space="preserve">Dieses Arzneimittel enthält </w:t>
      </w:r>
      <w:r w:rsidR="00781DEB">
        <w:rPr>
          <w:rFonts w:ascii="Times New Roman" w:hAnsi="Times New Roman" w:cs="Times New Roman"/>
          <w:lang w:val="de-DE"/>
        </w:rPr>
        <w:t>21,7</w:t>
      </w:r>
      <w:r>
        <w:rPr>
          <w:rFonts w:ascii="Times New Roman" w:hAnsi="Times New Roman" w:cs="Times New Roman"/>
          <w:lang w:val="de-DE"/>
        </w:rPr>
        <w:t xml:space="preserve"> mg Natrium pro 16 ml Durchstechflasche, entsprechend </w:t>
      </w:r>
      <w:r w:rsidR="00781DEB">
        <w:rPr>
          <w:rFonts w:ascii="Times New Roman" w:hAnsi="Times New Roman" w:cs="Times New Roman"/>
          <w:lang w:val="de-DE"/>
        </w:rPr>
        <w:t>1,1</w:t>
      </w:r>
      <w:r>
        <w:rPr>
          <w:rFonts w:ascii="Times New Roman" w:hAnsi="Times New Roman" w:cs="Times New Roman"/>
          <w:lang w:val="de-DE"/>
        </w:rPr>
        <w:t> % der von der WHO für einen Erwachsenen empfohlenen maximalen täglichen Natriumaufnahme mit der Nahrung von 2 g.</w:t>
      </w:r>
    </w:p>
    <w:p w14:paraId="4AD17A67" w14:textId="77777777" w:rsidR="00AF337C" w:rsidRPr="009737B5" w:rsidRDefault="00AF337C" w:rsidP="005F4D08">
      <w:pPr>
        <w:suppressAutoHyphens/>
        <w:spacing w:after="0" w:line="240" w:lineRule="auto"/>
        <w:rPr>
          <w:rFonts w:ascii="Times New Roman" w:hAnsi="Times New Roman" w:cs="Times New Roman"/>
          <w:lang w:val="de-DE"/>
        </w:rPr>
      </w:pPr>
    </w:p>
    <w:p w14:paraId="61519CE7" w14:textId="77777777" w:rsidR="00AF337C" w:rsidRPr="009737B5" w:rsidRDefault="00AF337C" w:rsidP="00C9174A">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lastRenderedPageBreak/>
        <w:t>4.5</w:t>
      </w:r>
      <w:r w:rsidRPr="009737B5">
        <w:rPr>
          <w:rFonts w:ascii="Times New Roman" w:hAnsi="Times New Roman" w:cs="Times New Roman"/>
          <w:b/>
          <w:lang w:val="de-DE"/>
        </w:rPr>
        <w:tab/>
        <w:t>Wechselwirkungen mit anderen Arzneimitteln und sonstige Wechselwirkungen</w:t>
      </w:r>
    </w:p>
    <w:p w14:paraId="12FD41CE" w14:textId="77777777" w:rsidR="00AF337C" w:rsidRPr="009737B5" w:rsidRDefault="00AF337C" w:rsidP="00C9174A">
      <w:pPr>
        <w:keepNext/>
        <w:suppressAutoHyphens/>
        <w:spacing w:after="0" w:line="240" w:lineRule="auto"/>
        <w:rPr>
          <w:rFonts w:ascii="Times New Roman" w:hAnsi="Times New Roman" w:cs="Times New Roman"/>
          <w:lang w:val="de-DE"/>
        </w:rPr>
      </w:pPr>
    </w:p>
    <w:p w14:paraId="18D2474B" w14:textId="77777777" w:rsidR="00C9174A"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Wirkung zytostatischer Arzneimittel auf die Pharmakokinetik von Bevacizumab</w:t>
      </w:r>
    </w:p>
    <w:p w14:paraId="5605B859"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347E1FB3"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Basierend auf den Ergebnissen von pharmakokinetischen Populationsanalysen wurden keine klinisch relevanten Wechselwirkungen einer gleichzeitigen Chemotherapie auf die Pharmakokinetik von Bevacizumab beobachtet. Es bestanden weder statistisch signifikante noch klinisch relevante Unterschiede in der Bevacizumab-Clearance zwischen Patienten, die mit </w:t>
      </w:r>
      <w:r w:rsidR="00203E14" w:rsidRPr="009737B5">
        <w:rPr>
          <w:rFonts w:ascii="Times New Roman" w:hAnsi="Times New Roman" w:cs="Times New Roman"/>
          <w:lang w:val="de-DE"/>
        </w:rPr>
        <w:t>Bevacizumab</w:t>
      </w:r>
      <w:r w:rsidRPr="009737B5">
        <w:rPr>
          <w:rFonts w:ascii="Times New Roman" w:hAnsi="Times New Roman" w:cs="Times New Roman"/>
          <w:lang w:val="de-DE"/>
        </w:rPr>
        <w:t xml:space="preserve"> allein behandelt wurden, und Patienten, die </w:t>
      </w:r>
      <w:r w:rsidR="00203E14"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Interferon alfa-2a, E</w:t>
      </w:r>
      <w:r w:rsidR="007574B4" w:rsidRPr="009737B5">
        <w:rPr>
          <w:rFonts w:ascii="Times New Roman" w:hAnsi="Times New Roman" w:cs="Times New Roman"/>
          <w:lang w:val="de-DE"/>
        </w:rPr>
        <w:t>rlotinib oder Chemotherapien (5</w:t>
      </w:r>
      <w:r w:rsidR="007574B4" w:rsidRPr="009737B5">
        <w:rPr>
          <w:rFonts w:ascii="Times New Roman" w:hAnsi="Times New Roman" w:cs="Times New Roman"/>
          <w:lang w:val="de-DE"/>
        </w:rPr>
        <w:noBreakHyphen/>
      </w:r>
      <w:r w:rsidRPr="009737B5">
        <w:rPr>
          <w:rFonts w:ascii="Times New Roman" w:hAnsi="Times New Roman" w:cs="Times New Roman"/>
          <w:lang w:val="de-DE"/>
        </w:rPr>
        <w:t>Fluorouracil/Folinsäure/Irinotecan, 5-Fluorouracil/Folinsäure,</w:t>
      </w:r>
      <w:r w:rsidR="007574B4" w:rsidRPr="009737B5">
        <w:rPr>
          <w:rFonts w:ascii="Times New Roman" w:hAnsi="Times New Roman" w:cs="Times New Roman"/>
          <w:lang w:val="de-DE"/>
        </w:rPr>
        <w:t xml:space="preserve"> </w:t>
      </w:r>
      <w:r w:rsidRPr="009737B5">
        <w:rPr>
          <w:rFonts w:ascii="Times New Roman" w:hAnsi="Times New Roman" w:cs="Times New Roman"/>
          <w:lang w:val="de-DE"/>
        </w:rPr>
        <w:t>Carboplatin/Paclitaxel, Capecitabin/Doxorubicin oder Cisplatin/Gemcitabin) erhalten hatten.</w:t>
      </w:r>
    </w:p>
    <w:p w14:paraId="6592E90C" w14:textId="77777777" w:rsidR="00AF337C" w:rsidRPr="009737B5" w:rsidRDefault="00AF337C" w:rsidP="005F4D08">
      <w:pPr>
        <w:suppressAutoHyphens/>
        <w:spacing w:after="0" w:line="240" w:lineRule="auto"/>
        <w:rPr>
          <w:rFonts w:ascii="Times New Roman" w:hAnsi="Times New Roman" w:cs="Times New Roman"/>
          <w:lang w:val="de-DE"/>
        </w:rPr>
      </w:pPr>
    </w:p>
    <w:p w14:paraId="50035517" w14:textId="77777777" w:rsidR="00C9174A"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Wirkung von Bevacizumab auf die Pharmakokinetik anderer zytostatischer Arzneimittel</w:t>
      </w:r>
    </w:p>
    <w:p w14:paraId="2AE42421"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0D4AD87D"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wurden keine klinisch relevanten Wechselwirkungen zwischen Bevacizumab und der</w:t>
      </w:r>
      <w:r w:rsidR="007574B4" w:rsidRPr="009737B5">
        <w:rPr>
          <w:rFonts w:ascii="Times New Roman" w:hAnsi="Times New Roman" w:cs="Times New Roman"/>
          <w:lang w:val="de-DE"/>
        </w:rPr>
        <w:t xml:space="preserve"> </w:t>
      </w:r>
      <w:r w:rsidRPr="009737B5">
        <w:rPr>
          <w:rFonts w:ascii="Times New Roman" w:hAnsi="Times New Roman" w:cs="Times New Roman"/>
          <w:lang w:val="de-DE"/>
        </w:rPr>
        <w:t>Pharmakokinetik von gleichzeitig verabreichtem Interferon alfa-2a, Erlotinib (und dessen aktivem Metaboliten OSI-420) oder einer gleichzeitig angewendeten Chemotherapie mit Irinotecan (und dessen aktivem Metaboliten SN38), Capecitabin, Oxaliplatin (nach Bestimmung des freien und des gesamten Platingehalts) und Cisplatin beobachtet. Rückschlüsse auf den Einfluss von Bevacizumab auf die Pharmakokinetik von Gemcitabin können nicht gezogen werden.</w:t>
      </w:r>
    </w:p>
    <w:p w14:paraId="0B5FE65D" w14:textId="77777777" w:rsidR="00AF337C" w:rsidRPr="009737B5" w:rsidRDefault="00AF337C" w:rsidP="005F4D08">
      <w:pPr>
        <w:suppressAutoHyphens/>
        <w:spacing w:after="0" w:line="240" w:lineRule="auto"/>
        <w:rPr>
          <w:rFonts w:ascii="Times New Roman" w:hAnsi="Times New Roman" w:cs="Times New Roman"/>
          <w:lang w:val="de-DE"/>
        </w:rPr>
      </w:pPr>
    </w:p>
    <w:p w14:paraId="7915450A" w14:textId="77777777"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Kombinationsbehandlung mit Bevacizumab und Sunitinibmaleat</w:t>
      </w:r>
    </w:p>
    <w:p w14:paraId="400686DF"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5570E4C3" w14:textId="5858767D"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zwei klinischen Studien zum metastasierten Nierenzellkarzinom wurde bei 7 von 19</w:t>
      </w:r>
      <w:r w:rsidR="003B57B4">
        <w:rPr>
          <w:rFonts w:ascii="Times New Roman" w:hAnsi="Times New Roman" w:cs="Times New Roman"/>
          <w:lang w:val="de-DE"/>
        </w:rPr>
        <w:t> </w:t>
      </w:r>
      <w:r w:rsidRPr="009737B5">
        <w:rPr>
          <w:rFonts w:ascii="Times New Roman" w:hAnsi="Times New Roman" w:cs="Times New Roman"/>
          <w:lang w:val="de-DE"/>
        </w:rPr>
        <w:t>Patienten, die gleichzeitig mit Bevacizumab (10</w:t>
      </w:r>
      <w:r w:rsidR="00AB26B9" w:rsidRPr="009737B5">
        <w:rPr>
          <w:rFonts w:ascii="Times New Roman" w:hAnsi="Times New Roman" w:cs="Times New Roman"/>
          <w:lang w:val="de-DE"/>
        </w:rPr>
        <w:t> mg</w:t>
      </w:r>
      <w:r w:rsidRPr="009737B5">
        <w:rPr>
          <w:rFonts w:ascii="Times New Roman" w:hAnsi="Times New Roman" w:cs="Times New Roman"/>
          <w:lang w:val="de-DE"/>
        </w:rPr>
        <w:t>/kg alle zwei Wochen) und Sunitinibmaleat (50</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 täglich) behandelt wurden, über das Auftreten einer mikroangiopathischen hämolytischen Anämie (MAHA) berichtet.</w:t>
      </w:r>
    </w:p>
    <w:p w14:paraId="6704FF2E" w14:textId="77777777" w:rsidR="00AF337C" w:rsidRPr="009737B5" w:rsidRDefault="00AF337C" w:rsidP="005F4D08">
      <w:pPr>
        <w:suppressAutoHyphens/>
        <w:spacing w:after="0" w:line="240" w:lineRule="auto"/>
        <w:rPr>
          <w:rFonts w:ascii="Times New Roman" w:hAnsi="Times New Roman" w:cs="Times New Roman"/>
          <w:lang w:val="de-DE"/>
        </w:rPr>
      </w:pPr>
    </w:p>
    <w:p w14:paraId="45BE6898" w14:textId="54C66BFB"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Bei einer MAHA handelt es sich um eine hämolytische Erkrankung, die sich in einer Fragmentierung roter Blutzellen, Anämie und Thrombozytopenie äußern kann. Darüber hinaus wurden bei einigen dieser Patienten eine Hypertonie (einschließlich einer hypertensiven Krise), erhöhte Kreatininwerte und neurologische Symptome beobachtet. Alle diese Befunde waren nach Absetzen von Bevacizumab und Sunitinibmaleat reversibel (siehe </w:t>
      </w:r>
      <w:r w:rsidRPr="009737B5">
        <w:rPr>
          <w:rFonts w:ascii="Times New Roman" w:hAnsi="Times New Roman" w:cs="Times New Roman"/>
          <w:i/>
          <w:lang w:val="de-DE"/>
        </w:rPr>
        <w:t>Hypertonie, Proteinurie, PRES</w:t>
      </w:r>
      <w:r w:rsidRPr="009737B5">
        <w:rPr>
          <w:rFonts w:ascii="Times New Roman" w:hAnsi="Times New Roman" w:cs="Times New Roman"/>
          <w:lang w:val="de-DE"/>
        </w:rPr>
        <w:t xml:space="preserve"> in Abschnitt</w:t>
      </w:r>
      <w:r w:rsidR="003B57B4">
        <w:rPr>
          <w:rFonts w:ascii="Times New Roman" w:hAnsi="Times New Roman" w:cs="Times New Roman"/>
          <w:lang w:val="de-DE"/>
        </w:rPr>
        <w:t> </w:t>
      </w:r>
      <w:r w:rsidRPr="009737B5">
        <w:rPr>
          <w:rFonts w:ascii="Times New Roman" w:hAnsi="Times New Roman" w:cs="Times New Roman"/>
          <w:lang w:val="de-DE"/>
        </w:rPr>
        <w:t>4.4).</w:t>
      </w:r>
    </w:p>
    <w:p w14:paraId="34BF63BD" w14:textId="77777777" w:rsidR="00AF337C" w:rsidRPr="009737B5" w:rsidRDefault="00AF337C" w:rsidP="005F4D08">
      <w:pPr>
        <w:suppressAutoHyphens/>
        <w:spacing w:after="0" w:line="240" w:lineRule="auto"/>
        <w:rPr>
          <w:rFonts w:ascii="Times New Roman" w:hAnsi="Times New Roman" w:cs="Times New Roman"/>
          <w:lang w:val="de-DE"/>
        </w:rPr>
      </w:pPr>
    </w:p>
    <w:p w14:paraId="2D621F4E" w14:textId="5B295C77" w:rsidR="00C9174A"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Kombinationsbehandlung mit platin- oder taxanhaltigen Therapien</w:t>
      </w:r>
      <w:r w:rsidR="00C9174A" w:rsidRPr="009737B5">
        <w:rPr>
          <w:rFonts w:ascii="Times New Roman" w:hAnsi="Times New Roman" w:cs="Times New Roman"/>
          <w:u w:val="single"/>
          <w:lang w:val="de-DE"/>
        </w:rPr>
        <w:t xml:space="preserve"> (siehe Abschnitte</w:t>
      </w:r>
      <w:r w:rsidR="003B57B4">
        <w:rPr>
          <w:rFonts w:ascii="Times New Roman" w:hAnsi="Times New Roman" w:cs="Times New Roman"/>
          <w:u w:val="single"/>
          <w:lang w:val="de-DE"/>
        </w:rPr>
        <w:t> </w:t>
      </w:r>
      <w:r w:rsidR="00C9174A" w:rsidRPr="009737B5">
        <w:rPr>
          <w:rFonts w:ascii="Times New Roman" w:hAnsi="Times New Roman" w:cs="Times New Roman"/>
          <w:u w:val="single"/>
          <w:lang w:val="de-DE"/>
        </w:rPr>
        <w:t>4.4 und 4.8)</w:t>
      </w:r>
    </w:p>
    <w:p w14:paraId="2857BE6A"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4930C27F"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Erhöhte Raten von schweren Neutropenien, febrilen Neutropenien oder Infektionen mit oder ohne schwere Neutropenie (einschließlich einiger Todesfälle) wurden hauptsächlich bei Patienten beobachtet, die zur Behandlung eines NSCLC oder metastasierten Mammakarzinoms platin- oder taxanhaltige Therapien erhielten.</w:t>
      </w:r>
    </w:p>
    <w:p w14:paraId="6EA261BE" w14:textId="77777777" w:rsidR="00AF337C" w:rsidRPr="009737B5" w:rsidRDefault="00AF337C" w:rsidP="005F4D08">
      <w:pPr>
        <w:suppressAutoHyphens/>
        <w:spacing w:after="0" w:line="240" w:lineRule="auto"/>
        <w:rPr>
          <w:rFonts w:ascii="Times New Roman" w:hAnsi="Times New Roman" w:cs="Times New Roman"/>
          <w:lang w:val="de-DE"/>
        </w:rPr>
      </w:pPr>
    </w:p>
    <w:p w14:paraId="668CAD88" w14:textId="77777777"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Strahlentherapie</w:t>
      </w:r>
    </w:p>
    <w:p w14:paraId="3DEA2FD2"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5C3956F7"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Sicherheit und Wirksamkeit einer gleichzeitigen Anwendung von Strahlentherapie und </w:t>
      </w:r>
      <w:r w:rsidR="00203E14" w:rsidRPr="009737B5">
        <w:rPr>
          <w:rFonts w:ascii="Times New Roman" w:hAnsi="Times New Roman" w:cs="Times New Roman"/>
          <w:lang w:val="de-DE"/>
        </w:rPr>
        <w:t>Bevacizumab</w:t>
      </w:r>
      <w:r w:rsidRPr="009737B5">
        <w:rPr>
          <w:rFonts w:ascii="Times New Roman" w:hAnsi="Times New Roman" w:cs="Times New Roman"/>
          <w:lang w:val="de-DE"/>
        </w:rPr>
        <w:t xml:space="preserve"> wurde</w:t>
      </w:r>
      <w:r w:rsidR="00B207B4" w:rsidRPr="009737B5">
        <w:rPr>
          <w:rFonts w:ascii="Times New Roman" w:hAnsi="Times New Roman" w:cs="Times New Roman"/>
          <w:lang w:val="de-DE"/>
        </w:rPr>
        <w:t>n</w:t>
      </w:r>
      <w:r w:rsidRPr="009737B5">
        <w:rPr>
          <w:rFonts w:ascii="Times New Roman" w:hAnsi="Times New Roman" w:cs="Times New Roman"/>
          <w:lang w:val="de-DE"/>
        </w:rPr>
        <w:t xml:space="preserve"> nicht ermittelt.</w:t>
      </w:r>
    </w:p>
    <w:p w14:paraId="1ECA2D1B" w14:textId="77777777" w:rsidR="00AF337C" w:rsidRPr="009737B5" w:rsidRDefault="00AF337C" w:rsidP="005F4D08">
      <w:pPr>
        <w:suppressAutoHyphens/>
        <w:spacing w:after="0" w:line="240" w:lineRule="auto"/>
        <w:rPr>
          <w:rFonts w:ascii="Times New Roman" w:hAnsi="Times New Roman" w:cs="Times New Roman"/>
          <w:lang w:val="de-DE"/>
        </w:rPr>
      </w:pPr>
    </w:p>
    <w:p w14:paraId="4D312373" w14:textId="77777777"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Monoklonale EGFR-Antikörper in Kombination mit Bevacizumab und Chemotherapie</w:t>
      </w:r>
    </w:p>
    <w:p w14:paraId="7129C6EB"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6AC124E6" w14:textId="5CCD2ABA"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wurden keine Wechselwirkungsstudien durchgeführt. Monoklonale EGFR-Antikörper dürfen zur</w:t>
      </w:r>
      <w:r w:rsidR="00C9174A" w:rsidRPr="009737B5">
        <w:rPr>
          <w:rFonts w:ascii="Times New Roman" w:hAnsi="Times New Roman" w:cs="Times New Roman"/>
          <w:lang w:val="de-DE"/>
        </w:rPr>
        <w:t xml:space="preserve"> </w:t>
      </w:r>
      <w:r w:rsidRPr="009737B5">
        <w:rPr>
          <w:rFonts w:ascii="Times New Roman" w:hAnsi="Times New Roman" w:cs="Times New Roman"/>
          <w:lang w:val="de-DE"/>
        </w:rPr>
        <w:t>Behandlung des metastasierten Kolorektalkarzinoms nicht zusammen mit Bevacizumab-haltigen</w:t>
      </w:r>
      <w:r w:rsidR="00C9174A" w:rsidRPr="009737B5">
        <w:rPr>
          <w:rFonts w:ascii="Times New Roman" w:hAnsi="Times New Roman" w:cs="Times New Roman"/>
          <w:lang w:val="de-DE"/>
        </w:rPr>
        <w:t xml:space="preserve"> </w:t>
      </w:r>
      <w:r w:rsidRPr="009737B5">
        <w:rPr>
          <w:rFonts w:ascii="Times New Roman" w:hAnsi="Times New Roman" w:cs="Times New Roman"/>
          <w:lang w:val="de-DE"/>
        </w:rPr>
        <w:t>Chemotherapie-Schemata angewendet werden. Die Ergebnisse der randomisierten Phase</w:t>
      </w:r>
      <w:r w:rsidR="003B57B4">
        <w:rPr>
          <w:rFonts w:ascii="Times New Roman" w:hAnsi="Times New Roman" w:cs="Times New Roman"/>
          <w:lang w:val="de-DE"/>
        </w:rPr>
        <w:t> </w:t>
      </w:r>
      <w:r w:rsidRPr="009737B5">
        <w:rPr>
          <w:rFonts w:ascii="Times New Roman" w:hAnsi="Times New Roman" w:cs="Times New Roman"/>
          <w:lang w:val="de-DE"/>
        </w:rPr>
        <w:t xml:space="preserve">III-Studien PACCE und CAIRO-2 bei Patienten mit metastasiertem Kolorektalkarzinom lassen im Vergleich zur alleinigen Anwendung von Bevacizumab plus Chemotherapie auf eine Abnahme des progressionsfreien Überlebens </w:t>
      </w:r>
      <w:r w:rsidR="001E64E5">
        <w:rPr>
          <w:rFonts w:ascii="Times New Roman" w:hAnsi="Times New Roman" w:cs="Times New Roman"/>
          <w:lang w:val="de-DE"/>
        </w:rPr>
        <w:t>(</w:t>
      </w:r>
      <w:r w:rsidR="001E64E5" w:rsidRPr="00D87918">
        <w:rPr>
          <w:rFonts w:ascii="Times New Roman" w:hAnsi="Times New Roman" w:cs="Times New Roman"/>
          <w:i/>
          <w:iCs/>
          <w:lang w:val="de-DE"/>
        </w:rPr>
        <w:t>progression-free survival</w:t>
      </w:r>
      <w:r w:rsidR="001E64E5">
        <w:rPr>
          <w:rFonts w:ascii="Times New Roman" w:hAnsi="Times New Roman" w:cs="Times New Roman"/>
          <w:lang w:val="de-DE"/>
        </w:rPr>
        <w:t xml:space="preserve">, PFS) </w:t>
      </w:r>
      <w:r w:rsidRPr="009737B5">
        <w:rPr>
          <w:rFonts w:ascii="Times New Roman" w:hAnsi="Times New Roman" w:cs="Times New Roman"/>
          <w:lang w:val="de-DE"/>
        </w:rPr>
        <w:t xml:space="preserve">und/oder des Gesamtüberlebens </w:t>
      </w:r>
      <w:r w:rsidR="0023040F">
        <w:rPr>
          <w:rFonts w:ascii="Times New Roman" w:hAnsi="Times New Roman" w:cs="Times New Roman"/>
          <w:lang w:val="de-DE"/>
        </w:rPr>
        <w:t>(</w:t>
      </w:r>
      <w:r w:rsidR="0023040F" w:rsidRPr="00D87918">
        <w:rPr>
          <w:rFonts w:ascii="Times New Roman" w:hAnsi="Times New Roman" w:cs="Times New Roman"/>
          <w:i/>
          <w:iCs/>
          <w:lang w:val="de-DE"/>
        </w:rPr>
        <w:t>overall survival</w:t>
      </w:r>
      <w:r w:rsidR="0023040F">
        <w:rPr>
          <w:rFonts w:ascii="Times New Roman" w:hAnsi="Times New Roman" w:cs="Times New Roman"/>
          <w:lang w:val="de-DE"/>
        </w:rPr>
        <w:t xml:space="preserve">, OS) </w:t>
      </w:r>
      <w:r w:rsidRPr="009737B5">
        <w:rPr>
          <w:rFonts w:ascii="Times New Roman" w:hAnsi="Times New Roman" w:cs="Times New Roman"/>
          <w:lang w:val="de-DE"/>
        </w:rPr>
        <w:t>sowie auf eine Zunahme der Nebenwirkungen schließen, wenn die monoklonalen EGFR-Antikörper Panitumumab oder Cetuximab in Kombination mit Bevacizumab plus Chemotherapie gegeben werden.</w:t>
      </w:r>
    </w:p>
    <w:p w14:paraId="0EB16B64" w14:textId="77777777" w:rsidR="00AF337C" w:rsidRPr="009737B5" w:rsidRDefault="00AF337C" w:rsidP="005F4D08">
      <w:pPr>
        <w:suppressAutoHyphens/>
        <w:spacing w:after="0" w:line="240" w:lineRule="auto"/>
        <w:rPr>
          <w:rFonts w:ascii="Times New Roman" w:hAnsi="Times New Roman" w:cs="Times New Roman"/>
          <w:lang w:val="de-DE"/>
        </w:rPr>
      </w:pPr>
    </w:p>
    <w:p w14:paraId="47719B04" w14:textId="77777777" w:rsidR="00AF337C" w:rsidRPr="009737B5" w:rsidRDefault="00AF337C" w:rsidP="00C9174A">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4.6</w:t>
      </w:r>
      <w:r w:rsidRPr="009737B5">
        <w:rPr>
          <w:rFonts w:ascii="Times New Roman" w:hAnsi="Times New Roman" w:cs="Times New Roman"/>
          <w:b/>
          <w:lang w:val="de-DE"/>
        </w:rPr>
        <w:tab/>
        <w:t>Fertilität, Schwangerschaft und Stillzeit</w:t>
      </w:r>
    </w:p>
    <w:p w14:paraId="6C54D16D" w14:textId="77777777" w:rsidR="00AF337C" w:rsidRPr="009737B5" w:rsidRDefault="00AF337C" w:rsidP="00C9174A">
      <w:pPr>
        <w:keepNext/>
        <w:suppressAutoHyphens/>
        <w:spacing w:after="0" w:line="240" w:lineRule="auto"/>
        <w:rPr>
          <w:rFonts w:ascii="Times New Roman" w:hAnsi="Times New Roman" w:cs="Times New Roman"/>
          <w:lang w:val="de-DE"/>
        </w:rPr>
      </w:pPr>
    </w:p>
    <w:p w14:paraId="0CF32ECC" w14:textId="565525E7"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Frauen im gebärfähigen Alter</w:t>
      </w:r>
      <w:r w:rsidR="00D815C1">
        <w:rPr>
          <w:rFonts w:ascii="Times New Roman" w:hAnsi="Times New Roman" w:cs="Times New Roman"/>
          <w:u w:val="single"/>
          <w:lang w:val="de-DE"/>
        </w:rPr>
        <w:t>/Verhütung</w:t>
      </w:r>
    </w:p>
    <w:p w14:paraId="685706AC"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6DA7E805" w14:textId="45ED182F"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Frauen im gebärfähigen Alter müssen während und bis zu 6</w:t>
      </w:r>
      <w:r w:rsidR="003B57B4">
        <w:rPr>
          <w:rFonts w:ascii="Times New Roman" w:hAnsi="Times New Roman" w:cs="Times New Roman"/>
          <w:lang w:val="de-DE"/>
        </w:rPr>
        <w:t> </w:t>
      </w:r>
      <w:r w:rsidRPr="009737B5">
        <w:rPr>
          <w:rFonts w:ascii="Times New Roman" w:hAnsi="Times New Roman" w:cs="Times New Roman"/>
          <w:lang w:val="de-DE"/>
        </w:rPr>
        <w:t>Monate nach der Behandlung eine zuverlässige Verhütungsmethode anwenden.</w:t>
      </w:r>
    </w:p>
    <w:p w14:paraId="5D7D0B77" w14:textId="77777777" w:rsidR="00AF337C" w:rsidRPr="009737B5" w:rsidRDefault="00AF337C" w:rsidP="005F4D08">
      <w:pPr>
        <w:suppressAutoHyphens/>
        <w:spacing w:after="0" w:line="240" w:lineRule="auto"/>
        <w:rPr>
          <w:rFonts w:ascii="Times New Roman" w:hAnsi="Times New Roman" w:cs="Times New Roman"/>
          <w:lang w:val="de-DE"/>
        </w:rPr>
      </w:pPr>
    </w:p>
    <w:p w14:paraId="212DB39E" w14:textId="77777777"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Schwangerschaft</w:t>
      </w:r>
    </w:p>
    <w:p w14:paraId="715070A3"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35FE1EEB" w14:textId="3C784D55"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Es liegen keine klinischen Studiendaten über die Anwendung von </w:t>
      </w:r>
      <w:r w:rsidR="00203E14" w:rsidRPr="009737B5">
        <w:rPr>
          <w:rFonts w:ascii="Times New Roman" w:hAnsi="Times New Roman" w:cs="Times New Roman"/>
          <w:lang w:val="de-DE"/>
        </w:rPr>
        <w:t>Bevacizumab</w:t>
      </w:r>
      <w:r w:rsidRPr="009737B5">
        <w:rPr>
          <w:rFonts w:ascii="Times New Roman" w:hAnsi="Times New Roman" w:cs="Times New Roman"/>
          <w:lang w:val="de-DE"/>
        </w:rPr>
        <w:t xml:space="preserve"> bei Schwangeren vor. In tierexperimentellen Studien wurde Reproduktionstoxizität einschließlich Missbildungen beobachtet (siehe Abschnitt</w:t>
      </w:r>
      <w:r w:rsidR="003B57B4">
        <w:rPr>
          <w:rFonts w:ascii="Times New Roman" w:hAnsi="Times New Roman" w:cs="Times New Roman"/>
          <w:lang w:val="de-DE"/>
        </w:rPr>
        <w:t> </w:t>
      </w:r>
      <w:r w:rsidRPr="009737B5">
        <w:rPr>
          <w:rFonts w:ascii="Times New Roman" w:hAnsi="Times New Roman" w:cs="Times New Roman"/>
          <w:lang w:val="de-DE"/>
        </w:rPr>
        <w:t xml:space="preserve">5.3). IgGs passieren bekanntlich die Plazentaschranke; es ist zu erwarten, dass </w:t>
      </w:r>
      <w:r w:rsidR="00203E14" w:rsidRPr="009737B5">
        <w:rPr>
          <w:rFonts w:ascii="Times New Roman" w:hAnsi="Times New Roman" w:cs="Times New Roman"/>
          <w:lang w:val="de-DE"/>
        </w:rPr>
        <w:t>Bevacizumab</w:t>
      </w:r>
      <w:r w:rsidRPr="009737B5">
        <w:rPr>
          <w:rFonts w:ascii="Times New Roman" w:hAnsi="Times New Roman" w:cs="Times New Roman"/>
          <w:lang w:val="de-DE"/>
        </w:rPr>
        <w:t xml:space="preserve"> die Angiogenese beim Fetus hemmt, und es steht daher in Verdacht, bei Anwendung während der Schwangerschaft schwerwiegende Geburtsfehler zu verursachen. Nach der Markteinführung wurden Fälle von fetalen Anomalien bei Frauen beobachtet, die mit Bevacizumab allein oder in Kombination mit bekannt embryotoxischen Chemotherapeutika be</w:t>
      </w:r>
      <w:r w:rsidR="00C9174A" w:rsidRPr="009737B5">
        <w:rPr>
          <w:rFonts w:ascii="Times New Roman" w:hAnsi="Times New Roman" w:cs="Times New Roman"/>
          <w:lang w:val="de-DE"/>
        </w:rPr>
        <w:t>handelt wurden (siehe Abschnitt </w:t>
      </w:r>
      <w:r w:rsidRPr="009737B5">
        <w:rPr>
          <w:rFonts w:ascii="Times New Roman" w:hAnsi="Times New Roman" w:cs="Times New Roman"/>
          <w:lang w:val="de-DE"/>
        </w:rPr>
        <w:t xml:space="preserve">4.8). </w:t>
      </w:r>
      <w:r w:rsidR="00885FD1" w:rsidRPr="009737B5">
        <w:rPr>
          <w:rFonts w:ascii="Times New Roman" w:hAnsi="Times New Roman" w:cs="Times New Roman"/>
          <w:lang w:val="de-DE"/>
        </w:rPr>
        <w:t>MVASI</w:t>
      </w:r>
      <w:r w:rsidR="00203E14" w:rsidRPr="009737B5">
        <w:rPr>
          <w:rFonts w:ascii="Times New Roman" w:hAnsi="Times New Roman" w:cs="Times New Roman"/>
          <w:lang w:val="de-DE"/>
        </w:rPr>
        <w:t xml:space="preserve"> </w:t>
      </w:r>
      <w:r w:rsidRPr="009737B5">
        <w:rPr>
          <w:rFonts w:ascii="Times New Roman" w:hAnsi="Times New Roman" w:cs="Times New Roman"/>
          <w:lang w:val="de-DE"/>
        </w:rPr>
        <w:t>ist während der Schwangerschaft kontraindiziert (siehe Abschnitt</w:t>
      </w:r>
      <w:r w:rsidR="003B57B4">
        <w:rPr>
          <w:rFonts w:ascii="Times New Roman" w:hAnsi="Times New Roman" w:cs="Times New Roman"/>
          <w:lang w:val="de-DE"/>
        </w:rPr>
        <w:t> </w:t>
      </w:r>
      <w:r w:rsidRPr="009737B5">
        <w:rPr>
          <w:rFonts w:ascii="Times New Roman" w:hAnsi="Times New Roman" w:cs="Times New Roman"/>
          <w:lang w:val="de-DE"/>
        </w:rPr>
        <w:t>4.3).</w:t>
      </w:r>
    </w:p>
    <w:p w14:paraId="70F4E107" w14:textId="77777777" w:rsidR="00AF337C" w:rsidRPr="009737B5" w:rsidRDefault="00AF337C" w:rsidP="005F4D08">
      <w:pPr>
        <w:suppressAutoHyphens/>
        <w:spacing w:after="0" w:line="240" w:lineRule="auto"/>
        <w:rPr>
          <w:rFonts w:ascii="Times New Roman" w:hAnsi="Times New Roman" w:cs="Times New Roman"/>
          <w:lang w:val="de-DE"/>
        </w:rPr>
      </w:pPr>
    </w:p>
    <w:p w14:paraId="7D69CA91" w14:textId="77777777"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Stillzeit</w:t>
      </w:r>
    </w:p>
    <w:p w14:paraId="5E8D14C9"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65634373" w14:textId="6E3B7A83"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ist nicht bekannt, ob Bevacizumab in die Muttermilch übergeht. Da humanes IgG in die Muttermilch ausgeschieden wird und Bevacizumab Wachstum und Entwicklung des Säuglings beeinträchtigen könnte (siehe Abschnitt</w:t>
      </w:r>
      <w:r w:rsidR="003B57B4">
        <w:rPr>
          <w:rFonts w:ascii="Times New Roman" w:hAnsi="Times New Roman" w:cs="Times New Roman"/>
          <w:lang w:val="de-DE"/>
        </w:rPr>
        <w:t> </w:t>
      </w:r>
      <w:r w:rsidRPr="009737B5">
        <w:rPr>
          <w:rFonts w:ascii="Times New Roman" w:hAnsi="Times New Roman" w:cs="Times New Roman"/>
          <w:lang w:val="de-DE"/>
        </w:rPr>
        <w:t xml:space="preserve">5.3), müssen Frauen während der Therapie das Stillen absetzen und dürfen auch bis mindestens sechs Monate nach der letzten </w:t>
      </w:r>
      <w:r w:rsidR="00203E14" w:rsidRPr="009737B5">
        <w:rPr>
          <w:rFonts w:ascii="Times New Roman" w:hAnsi="Times New Roman" w:cs="Times New Roman"/>
          <w:lang w:val="de-DE"/>
        </w:rPr>
        <w:t>Bevacizumab-</w:t>
      </w:r>
      <w:r w:rsidRPr="009737B5">
        <w:rPr>
          <w:rFonts w:ascii="Times New Roman" w:hAnsi="Times New Roman" w:cs="Times New Roman"/>
          <w:lang w:val="de-DE"/>
        </w:rPr>
        <w:t>Dosis nicht stillen.</w:t>
      </w:r>
    </w:p>
    <w:p w14:paraId="2C1F8A37" w14:textId="77777777" w:rsidR="00AF337C" w:rsidRPr="009737B5" w:rsidRDefault="00AF337C" w:rsidP="005F4D08">
      <w:pPr>
        <w:suppressAutoHyphens/>
        <w:spacing w:after="0" w:line="240" w:lineRule="auto"/>
        <w:rPr>
          <w:rFonts w:ascii="Times New Roman" w:hAnsi="Times New Roman" w:cs="Times New Roman"/>
          <w:lang w:val="de-DE"/>
        </w:rPr>
      </w:pPr>
    </w:p>
    <w:p w14:paraId="510627FC" w14:textId="77777777"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Fertilität</w:t>
      </w:r>
    </w:p>
    <w:p w14:paraId="7438DDBD" w14:textId="77777777" w:rsidR="00C9174A" w:rsidRPr="009737B5" w:rsidRDefault="00C9174A" w:rsidP="00C9174A">
      <w:pPr>
        <w:keepNext/>
        <w:suppressAutoHyphens/>
        <w:spacing w:after="0" w:line="240" w:lineRule="auto"/>
        <w:rPr>
          <w:rFonts w:ascii="Times New Roman" w:hAnsi="Times New Roman" w:cs="Times New Roman"/>
          <w:lang w:val="de-DE"/>
        </w:rPr>
      </w:pPr>
    </w:p>
    <w:p w14:paraId="449F8AC7" w14:textId="46242D5C"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Studien bei Tieren zur Toxizität bei wiederholter Gabe zeigten, dass Bevacizumab die weibliche Fertilität beeinträchtigen kann (siehe Abschnitt</w:t>
      </w:r>
      <w:r w:rsidR="003B57B4">
        <w:rPr>
          <w:rFonts w:ascii="Times New Roman" w:hAnsi="Times New Roman" w:cs="Times New Roman"/>
          <w:lang w:val="de-DE"/>
        </w:rPr>
        <w:t> </w:t>
      </w:r>
      <w:r w:rsidRPr="009737B5">
        <w:rPr>
          <w:rFonts w:ascii="Times New Roman" w:hAnsi="Times New Roman" w:cs="Times New Roman"/>
          <w:lang w:val="de-DE"/>
        </w:rPr>
        <w:t>5.3). Im Rahmen einer Studie der Phase</w:t>
      </w:r>
      <w:r w:rsidR="003B57B4">
        <w:rPr>
          <w:rFonts w:ascii="Times New Roman" w:hAnsi="Times New Roman" w:cs="Times New Roman"/>
          <w:lang w:val="de-DE"/>
        </w:rPr>
        <w:t> </w:t>
      </w:r>
      <w:r w:rsidRPr="009737B5">
        <w:rPr>
          <w:rFonts w:ascii="Times New Roman" w:hAnsi="Times New Roman" w:cs="Times New Roman"/>
          <w:lang w:val="de-DE"/>
        </w:rPr>
        <w:t>III zur adjuvanten Behandlung von Patienten mit Kolonkarzinom traten in einer Substudie mit</w:t>
      </w:r>
      <w:r w:rsidR="00C9174A" w:rsidRPr="009737B5">
        <w:rPr>
          <w:rFonts w:ascii="Times New Roman" w:hAnsi="Times New Roman" w:cs="Times New Roman"/>
          <w:lang w:val="de-DE"/>
        </w:rPr>
        <w:t xml:space="preserve"> </w:t>
      </w:r>
      <w:r w:rsidRPr="009737B5">
        <w:rPr>
          <w:rFonts w:ascii="Times New Roman" w:hAnsi="Times New Roman" w:cs="Times New Roman"/>
          <w:lang w:val="de-DE"/>
        </w:rPr>
        <w:t>prämenopausalen Frauen Fälle von Ovarialinsuffizienz häufiger in der Bevacizumab-Gruppe als in der Kontrollgruppe auf. Nach Abbruch der Behandlung mit Bevacizumab erholte sich die Ovarialfunktion bei der Mehrzahl der Patientinnen. Die Langzeitwirkungen einer Behandlung mit Bevacizumab auf die Fertilität sind nicht bekannt.</w:t>
      </w:r>
    </w:p>
    <w:p w14:paraId="379BDC85" w14:textId="77777777" w:rsidR="00AF337C" w:rsidRPr="009737B5" w:rsidRDefault="00AF337C" w:rsidP="005F4D08">
      <w:pPr>
        <w:suppressAutoHyphens/>
        <w:spacing w:after="0" w:line="240" w:lineRule="auto"/>
        <w:rPr>
          <w:rFonts w:ascii="Times New Roman" w:hAnsi="Times New Roman" w:cs="Times New Roman"/>
          <w:lang w:val="de-DE"/>
        </w:rPr>
      </w:pPr>
    </w:p>
    <w:p w14:paraId="7167A731" w14:textId="77777777" w:rsidR="00AF337C" w:rsidRPr="009737B5" w:rsidRDefault="00AF337C" w:rsidP="00E95E0B">
      <w:pPr>
        <w:keepNext/>
        <w:keepLines/>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4.7</w:t>
      </w:r>
      <w:r w:rsidRPr="009737B5">
        <w:rPr>
          <w:rFonts w:ascii="Times New Roman" w:hAnsi="Times New Roman" w:cs="Times New Roman"/>
          <w:b/>
          <w:lang w:val="de-DE"/>
        </w:rPr>
        <w:tab/>
        <w:t>Auswirkungen auf die Verkehrstüchtigkeit und die Fähigkeit zum Bedienen von Maschinen</w:t>
      </w:r>
    </w:p>
    <w:p w14:paraId="3085EA94" w14:textId="77777777" w:rsidR="00AF337C" w:rsidRPr="009737B5" w:rsidRDefault="00AF337C" w:rsidP="00E95E0B">
      <w:pPr>
        <w:keepNext/>
        <w:keepLines/>
        <w:suppressAutoHyphens/>
        <w:spacing w:after="0" w:line="240" w:lineRule="auto"/>
        <w:rPr>
          <w:rFonts w:ascii="Times New Roman" w:hAnsi="Times New Roman" w:cs="Times New Roman"/>
          <w:lang w:val="de-DE"/>
        </w:rPr>
      </w:pPr>
    </w:p>
    <w:p w14:paraId="1C84F946" w14:textId="4342E041" w:rsidR="00AF337C" w:rsidRPr="009737B5" w:rsidRDefault="00203E14" w:rsidP="00E95E0B">
      <w:pPr>
        <w:keepNext/>
        <w:keepLines/>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Bevacizumab</w:t>
      </w:r>
      <w:r w:rsidR="00AF337C" w:rsidRPr="009737B5">
        <w:rPr>
          <w:rFonts w:ascii="Times New Roman" w:hAnsi="Times New Roman" w:cs="Times New Roman"/>
          <w:lang w:val="de-DE"/>
        </w:rPr>
        <w:t xml:space="preserve"> hat keinen oder einen zu vernachlässigenden Einfluss auf die Verkehrstüchtigkeit und die</w:t>
      </w:r>
      <w:r w:rsidR="00C9174A" w:rsidRPr="009737B5">
        <w:rPr>
          <w:rFonts w:ascii="Times New Roman" w:hAnsi="Times New Roman" w:cs="Times New Roman"/>
          <w:lang w:val="de-DE"/>
        </w:rPr>
        <w:t xml:space="preserve"> </w:t>
      </w:r>
      <w:r w:rsidR="00AF337C" w:rsidRPr="009737B5">
        <w:rPr>
          <w:rFonts w:ascii="Times New Roman" w:hAnsi="Times New Roman" w:cs="Times New Roman"/>
          <w:lang w:val="de-DE"/>
        </w:rPr>
        <w:t xml:space="preserve">Fähigkeit zum Bedienen von Maschinen. Jedoch wurden Schläfrigkeit und Synkopen bei der Verwendung von </w:t>
      </w:r>
      <w:r w:rsidRPr="009737B5">
        <w:rPr>
          <w:rFonts w:ascii="Times New Roman" w:hAnsi="Times New Roman" w:cs="Times New Roman"/>
          <w:lang w:val="de-DE"/>
        </w:rPr>
        <w:t>Bevacizumab</w:t>
      </w:r>
      <w:r w:rsidR="00AF337C" w:rsidRPr="009737B5">
        <w:rPr>
          <w:rFonts w:ascii="Times New Roman" w:hAnsi="Times New Roman" w:cs="Times New Roman"/>
          <w:lang w:val="de-DE"/>
        </w:rPr>
        <w:t xml:space="preserve"> berichtet (siehe Tabelle</w:t>
      </w:r>
      <w:r w:rsidR="003B57B4">
        <w:rPr>
          <w:rFonts w:ascii="Times New Roman" w:hAnsi="Times New Roman" w:cs="Times New Roman"/>
          <w:lang w:val="de-DE"/>
        </w:rPr>
        <w:t> </w:t>
      </w:r>
      <w:r w:rsidR="00AF337C" w:rsidRPr="009737B5">
        <w:rPr>
          <w:rFonts w:ascii="Times New Roman" w:hAnsi="Times New Roman" w:cs="Times New Roman"/>
          <w:lang w:val="de-DE"/>
        </w:rPr>
        <w:t>1 in Abschnitt</w:t>
      </w:r>
      <w:r w:rsidR="003B57B4">
        <w:rPr>
          <w:rFonts w:ascii="Times New Roman" w:hAnsi="Times New Roman" w:cs="Times New Roman"/>
          <w:lang w:val="de-DE"/>
        </w:rPr>
        <w:t> </w:t>
      </w:r>
      <w:r w:rsidR="00AF337C" w:rsidRPr="009737B5">
        <w:rPr>
          <w:rFonts w:ascii="Times New Roman" w:hAnsi="Times New Roman" w:cs="Times New Roman"/>
          <w:lang w:val="de-DE"/>
        </w:rPr>
        <w:t>4.8). Wenn Patienten Symptome wahrnehmen, die das Sehvermögen, die Konzentration oder die Reaktionsfähigkeit beeinträchtigen, sollte ihnen geraten werden, nicht selbst zu fahren und keine Maschinen zu bedienen, bis die Symptome abgeklungen sind.</w:t>
      </w:r>
    </w:p>
    <w:p w14:paraId="345BAD2D" w14:textId="77777777" w:rsidR="00AF337C" w:rsidRPr="009737B5" w:rsidRDefault="00AF337C" w:rsidP="005F4D08">
      <w:pPr>
        <w:suppressAutoHyphens/>
        <w:spacing w:after="0" w:line="240" w:lineRule="auto"/>
        <w:rPr>
          <w:rFonts w:ascii="Times New Roman" w:hAnsi="Times New Roman" w:cs="Times New Roman"/>
          <w:lang w:val="de-DE"/>
        </w:rPr>
      </w:pPr>
    </w:p>
    <w:p w14:paraId="3C0F5A69" w14:textId="77777777" w:rsidR="00AF337C" w:rsidRPr="009737B5" w:rsidRDefault="00AF337C" w:rsidP="00C9174A">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4.8</w:t>
      </w:r>
      <w:r w:rsidRPr="009737B5">
        <w:rPr>
          <w:rFonts w:ascii="Times New Roman" w:hAnsi="Times New Roman" w:cs="Times New Roman"/>
          <w:b/>
          <w:lang w:val="de-DE"/>
        </w:rPr>
        <w:tab/>
        <w:t>Nebenwirkungen</w:t>
      </w:r>
    </w:p>
    <w:p w14:paraId="340C376D" w14:textId="77777777" w:rsidR="00AF337C" w:rsidRPr="009737B5" w:rsidRDefault="00AF337C" w:rsidP="00C9174A">
      <w:pPr>
        <w:keepNext/>
        <w:suppressAutoHyphens/>
        <w:spacing w:after="0" w:line="240" w:lineRule="auto"/>
        <w:rPr>
          <w:rFonts w:ascii="Times New Roman" w:hAnsi="Times New Roman" w:cs="Times New Roman"/>
          <w:lang w:val="de-DE"/>
        </w:rPr>
      </w:pPr>
    </w:p>
    <w:p w14:paraId="53B71CCD" w14:textId="77777777" w:rsidR="00AF337C" w:rsidRPr="009737B5" w:rsidRDefault="00AF337C" w:rsidP="00C9174A">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Zusammenfassung des Sicherheitsprofils</w:t>
      </w:r>
    </w:p>
    <w:p w14:paraId="32D8B3E6" w14:textId="77777777" w:rsidR="00AF337C" w:rsidRPr="009737B5" w:rsidRDefault="00AF337C" w:rsidP="00C9174A">
      <w:pPr>
        <w:keepNext/>
        <w:suppressAutoHyphens/>
        <w:spacing w:after="0" w:line="240" w:lineRule="auto"/>
        <w:rPr>
          <w:rFonts w:ascii="Times New Roman" w:hAnsi="Times New Roman" w:cs="Times New Roman"/>
          <w:lang w:val="de-DE"/>
        </w:rPr>
      </w:pPr>
    </w:p>
    <w:p w14:paraId="3E7A46B6" w14:textId="77A1E611"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Das Gesamtsicherheitsprofil von </w:t>
      </w:r>
      <w:r w:rsidR="00203E14" w:rsidRPr="009737B5">
        <w:rPr>
          <w:rFonts w:ascii="Times New Roman" w:hAnsi="Times New Roman" w:cs="Times New Roman"/>
          <w:lang w:val="de-DE"/>
        </w:rPr>
        <w:t>Bevacizumab</w:t>
      </w:r>
      <w:r w:rsidRPr="009737B5">
        <w:rPr>
          <w:rFonts w:ascii="Times New Roman" w:hAnsi="Times New Roman" w:cs="Times New Roman"/>
          <w:lang w:val="de-DE"/>
        </w:rPr>
        <w:t xml:space="preserve"> basiert auf den Daten von über 5.700</w:t>
      </w:r>
      <w:r w:rsidR="003B57B4">
        <w:rPr>
          <w:rFonts w:ascii="Times New Roman" w:hAnsi="Times New Roman" w:cs="Times New Roman"/>
          <w:lang w:val="de-DE"/>
        </w:rPr>
        <w:t> </w:t>
      </w:r>
      <w:r w:rsidRPr="009737B5">
        <w:rPr>
          <w:rFonts w:ascii="Times New Roman" w:hAnsi="Times New Roman" w:cs="Times New Roman"/>
          <w:lang w:val="de-DE"/>
        </w:rPr>
        <w:t xml:space="preserve">Patienten mit verschiedenen Tumorerkrankungen, die im Rahmen klinischer Studien überwiegend mit </w:t>
      </w:r>
      <w:r w:rsidR="00203E14"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einer Chemotherapie behandelt wurden.</w:t>
      </w:r>
    </w:p>
    <w:p w14:paraId="73F78AE2" w14:textId="77777777" w:rsidR="00AF337C" w:rsidRPr="009737B5" w:rsidRDefault="00AF337C" w:rsidP="005F4D08">
      <w:pPr>
        <w:suppressAutoHyphens/>
        <w:spacing w:after="0" w:line="240" w:lineRule="auto"/>
        <w:rPr>
          <w:rFonts w:ascii="Times New Roman" w:hAnsi="Times New Roman" w:cs="Times New Roman"/>
          <w:lang w:val="de-DE"/>
        </w:rPr>
      </w:pPr>
    </w:p>
    <w:p w14:paraId="7A97E6FA" w14:textId="77777777" w:rsidR="00AF337C" w:rsidRPr="009737B5" w:rsidRDefault="00AF337C" w:rsidP="00C9174A">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lastRenderedPageBreak/>
        <w:t>Die schwerwiegendsten Nebenwirkungen waren:</w:t>
      </w:r>
    </w:p>
    <w:p w14:paraId="3084EDCC" w14:textId="77777777" w:rsidR="00AF337C" w:rsidRPr="009737B5" w:rsidRDefault="00AF337C" w:rsidP="00C9174A">
      <w:pPr>
        <w:keepNext/>
        <w:suppressAutoHyphens/>
        <w:spacing w:after="0" w:line="240" w:lineRule="auto"/>
        <w:rPr>
          <w:rFonts w:ascii="Times New Roman" w:hAnsi="Times New Roman" w:cs="Times New Roman"/>
          <w:lang w:val="de-DE"/>
        </w:rPr>
      </w:pPr>
    </w:p>
    <w:p w14:paraId="76A37104" w14:textId="19040CD2" w:rsidR="00EF3A4D" w:rsidRPr="009737B5" w:rsidRDefault="00AF337C" w:rsidP="00C9174A">
      <w:pPr>
        <w:pStyle w:val="ListParagraph"/>
        <w:keepNext/>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Magen-Darm-Perforationen (siehe Abschnitt</w:t>
      </w:r>
      <w:r w:rsidR="003B57B4">
        <w:rPr>
          <w:rFonts w:ascii="Times New Roman" w:hAnsi="Times New Roman" w:cs="Times New Roman"/>
          <w:lang w:val="de-DE"/>
        </w:rPr>
        <w:t> </w:t>
      </w:r>
      <w:r w:rsidRPr="009737B5">
        <w:rPr>
          <w:rFonts w:ascii="Times New Roman" w:hAnsi="Times New Roman" w:cs="Times New Roman"/>
          <w:lang w:val="de-DE"/>
        </w:rPr>
        <w:t>4.4)</w:t>
      </w:r>
      <w:r w:rsidR="00C9174A" w:rsidRPr="009737B5">
        <w:rPr>
          <w:rFonts w:ascii="Times New Roman" w:hAnsi="Times New Roman" w:cs="Times New Roman"/>
          <w:lang w:val="de-DE"/>
        </w:rPr>
        <w:t>.</w:t>
      </w:r>
    </w:p>
    <w:p w14:paraId="77339259" w14:textId="4B6C8478" w:rsidR="00B207B4" w:rsidRPr="009737B5" w:rsidRDefault="00AF337C" w:rsidP="000B6CC4">
      <w:pPr>
        <w:pStyle w:val="ListParagraph"/>
        <w:keepNext/>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Blutungen, einschließlich Lungeneinblutung/Bluthusten, die bei Patienten mit nicht</w:t>
      </w:r>
      <w:r w:rsidR="007209EA" w:rsidRPr="009737B5">
        <w:rPr>
          <w:rFonts w:ascii="Times New Roman" w:hAnsi="Times New Roman" w:cs="Times New Roman"/>
          <w:lang w:val="de-DE"/>
        </w:rPr>
        <w:t>-</w:t>
      </w:r>
      <w:r w:rsidRPr="009737B5">
        <w:rPr>
          <w:rFonts w:ascii="Times New Roman" w:hAnsi="Times New Roman" w:cs="Times New Roman"/>
          <w:lang w:val="de-DE"/>
        </w:rPr>
        <w:t>kleinzelligem</w:t>
      </w:r>
      <w:r w:rsidR="00B207B4" w:rsidRPr="009737B5">
        <w:rPr>
          <w:rFonts w:ascii="Times New Roman" w:hAnsi="Times New Roman" w:cs="Times New Roman"/>
          <w:lang w:val="de-DE"/>
        </w:rPr>
        <w:t xml:space="preserve"> </w:t>
      </w:r>
      <w:r w:rsidRPr="009737B5">
        <w:rPr>
          <w:rFonts w:ascii="Times New Roman" w:hAnsi="Times New Roman" w:cs="Times New Roman"/>
          <w:lang w:val="de-DE"/>
        </w:rPr>
        <w:t>Bronchialkarzinom häufiger auftreten (siehe Abschnitt</w:t>
      </w:r>
      <w:r w:rsidR="003B57B4">
        <w:rPr>
          <w:rFonts w:ascii="Times New Roman" w:hAnsi="Times New Roman" w:cs="Times New Roman"/>
          <w:lang w:val="de-DE"/>
        </w:rPr>
        <w:t> </w:t>
      </w:r>
      <w:r w:rsidRPr="009737B5">
        <w:rPr>
          <w:rFonts w:ascii="Times New Roman" w:hAnsi="Times New Roman" w:cs="Times New Roman"/>
          <w:lang w:val="de-DE"/>
        </w:rPr>
        <w:t>4.4)</w:t>
      </w:r>
      <w:r w:rsidR="00EC0053" w:rsidRPr="009737B5">
        <w:rPr>
          <w:rFonts w:ascii="Times New Roman" w:hAnsi="Times New Roman" w:cs="Times New Roman"/>
          <w:lang w:val="de-DE"/>
        </w:rPr>
        <w:t>.</w:t>
      </w:r>
    </w:p>
    <w:p w14:paraId="10824FC1" w14:textId="1D22C191" w:rsidR="00AF337C" w:rsidRPr="009737B5" w:rsidRDefault="00AF337C" w:rsidP="000B6CC4">
      <w:pPr>
        <w:pStyle w:val="ListParagraph"/>
        <w:keepNext/>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arterielle Thromboembolie (siehe Abschnitt</w:t>
      </w:r>
      <w:r w:rsidR="003B57B4">
        <w:rPr>
          <w:rFonts w:ascii="Times New Roman" w:hAnsi="Times New Roman" w:cs="Times New Roman"/>
          <w:lang w:val="de-DE"/>
        </w:rPr>
        <w:t> </w:t>
      </w:r>
      <w:r w:rsidRPr="009737B5">
        <w:rPr>
          <w:rFonts w:ascii="Times New Roman" w:hAnsi="Times New Roman" w:cs="Times New Roman"/>
          <w:lang w:val="de-DE"/>
        </w:rPr>
        <w:t>4.4).</w:t>
      </w:r>
    </w:p>
    <w:p w14:paraId="723A567C" w14:textId="77777777" w:rsidR="00AF337C" w:rsidRPr="009737B5" w:rsidRDefault="00AF337C" w:rsidP="005F4D08">
      <w:pPr>
        <w:suppressAutoHyphens/>
        <w:spacing w:after="0" w:line="240" w:lineRule="auto"/>
        <w:rPr>
          <w:rFonts w:ascii="Times New Roman" w:hAnsi="Times New Roman" w:cs="Times New Roman"/>
          <w:lang w:val="de-DE"/>
        </w:rPr>
      </w:pPr>
    </w:p>
    <w:p w14:paraId="4314B5CD"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am häufigsten beobachteten Nebenwirkungen in klinischen Studien waren bei Patienten unter </w:t>
      </w:r>
      <w:r w:rsidR="00203E14" w:rsidRPr="009737B5">
        <w:rPr>
          <w:rFonts w:ascii="Times New Roman" w:hAnsi="Times New Roman" w:cs="Times New Roman"/>
          <w:lang w:val="de-DE"/>
        </w:rPr>
        <w:t>Bevacizumab</w:t>
      </w:r>
      <w:r w:rsidRPr="009737B5">
        <w:rPr>
          <w:rFonts w:ascii="Times New Roman" w:hAnsi="Times New Roman" w:cs="Times New Roman"/>
          <w:lang w:val="de-DE"/>
        </w:rPr>
        <w:t>: Hypertonie, Fatigue oder Asthenie, Diarrhö und Bauchschmerzen.</w:t>
      </w:r>
    </w:p>
    <w:p w14:paraId="0C8F62E6" w14:textId="77777777" w:rsidR="00AF337C" w:rsidRPr="009737B5" w:rsidRDefault="00AF337C" w:rsidP="005F4D08">
      <w:pPr>
        <w:suppressAutoHyphens/>
        <w:spacing w:after="0" w:line="240" w:lineRule="auto"/>
        <w:rPr>
          <w:rFonts w:ascii="Times New Roman" w:hAnsi="Times New Roman" w:cs="Times New Roman"/>
          <w:lang w:val="de-DE"/>
        </w:rPr>
      </w:pPr>
    </w:p>
    <w:p w14:paraId="73D1DAD5"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Aus den Auswertungen der klinischen Sicherheitsdaten geht hervor, dass das Auftreten von Hypertonie und Proteinurie unter </w:t>
      </w:r>
      <w:r w:rsidR="00203E14" w:rsidRPr="009737B5">
        <w:rPr>
          <w:rFonts w:ascii="Times New Roman" w:hAnsi="Times New Roman" w:cs="Times New Roman"/>
          <w:lang w:val="de-DE"/>
        </w:rPr>
        <w:t>Bevacizumab-</w:t>
      </w:r>
      <w:r w:rsidRPr="009737B5">
        <w:rPr>
          <w:rFonts w:ascii="Times New Roman" w:hAnsi="Times New Roman" w:cs="Times New Roman"/>
          <w:lang w:val="de-DE"/>
        </w:rPr>
        <w:t>Therapie wahrscheinlich dosisabhängig ist.</w:t>
      </w:r>
    </w:p>
    <w:p w14:paraId="54C50FF1" w14:textId="77777777" w:rsidR="00AF337C" w:rsidRPr="009737B5" w:rsidRDefault="00AF337C" w:rsidP="005F4D08">
      <w:pPr>
        <w:suppressAutoHyphens/>
        <w:spacing w:after="0" w:line="240" w:lineRule="auto"/>
        <w:rPr>
          <w:rFonts w:ascii="Times New Roman" w:hAnsi="Times New Roman" w:cs="Times New Roman"/>
          <w:lang w:val="de-DE"/>
        </w:rPr>
      </w:pPr>
    </w:p>
    <w:p w14:paraId="2701866A" w14:textId="77777777" w:rsidR="00AF337C" w:rsidRPr="009737B5" w:rsidRDefault="00AF337C" w:rsidP="00BF042B">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Tabellarische Auflistung von Nebenwirkungen</w:t>
      </w:r>
    </w:p>
    <w:p w14:paraId="008E5FA3" w14:textId="77777777" w:rsidR="00AF337C" w:rsidRPr="009737B5" w:rsidRDefault="00AF337C" w:rsidP="00BF042B">
      <w:pPr>
        <w:keepNext/>
        <w:suppressAutoHyphens/>
        <w:spacing w:after="0" w:line="240" w:lineRule="auto"/>
        <w:rPr>
          <w:rFonts w:ascii="Times New Roman" w:hAnsi="Times New Roman" w:cs="Times New Roman"/>
          <w:lang w:val="de-DE"/>
        </w:rPr>
      </w:pPr>
    </w:p>
    <w:p w14:paraId="70F79C7F" w14:textId="4854B170"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in diesem Abschnitt genannten Nebenwirkungen werden den folgenden Häufigkeitskategorien zugeordnet: sehr häufig (</w:t>
      </w:r>
      <w:r w:rsidR="00E32D5C" w:rsidRPr="009737B5">
        <w:rPr>
          <w:rFonts w:ascii="Times New Roman" w:hAnsi="Times New Roman" w:cs="Times New Roman"/>
          <w:lang w:val="de-DE"/>
        </w:rPr>
        <w:t>≥ </w:t>
      </w:r>
      <w:r w:rsidRPr="009737B5">
        <w:rPr>
          <w:rFonts w:ascii="Times New Roman" w:hAnsi="Times New Roman" w:cs="Times New Roman"/>
          <w:lang w:val="de-DE"/>
        </w:rPr>
        <w:t>1/10), häufig (</w:t>
      </w:r>
      <w:r w:rsidR="00E32D5C" w:rsidRPr="009737B5">
        <w:rPr>
          <w:rFonts w:ascii="Times New Roman" w:hAnsi="Times New Roman" w:cs="Times New Roman"/>
          <w:lang w:val="de-DE"/>
        </w:rPr>
        <w:t>≥ </w:t>
      </w:r>
      <w:r w:rsidRPr="009737B5">
        <w:rPr>
          <w:rFonts w:ascii="Times New Roman" w:hAnsi="Times New Roman" w:cs="Times New Roman"/>
          <w:lang w:val="de-DE"/>
        </w:rPr>
        <w:t>1/100</w:t>
      </w:r>
      <w:r w:rsidR="00A12938">
        <w:rPr>
          <w:rFonts w:ascii="Times New Roman" w:hAnsi="Times New Roman" w:cs="Times New Roman"/>
          <w:lang w:val="de-DE"/>
        </w:rPr>
        <w:t>,</w:t>
      </w:r>
      <w:r w:rsidRPr="009737B5">
        <w:rPr>
          <w:rFonts w:ascii="Times New Roman" w:hAnsi="Times New Roman" w:cs="Times New Roman"/>
          <w:lang w:val="de-DE"/>
        </w:rPr>
        <w:t xml:space="preserve"> </w:t>
      </w:r>
      <w:r w:rsidR="00E32D5C" w:rsidRPr="009737B5">
        <w:rPr>
          <w:rFonts w:ascii="Times New Roman" w:hAnsi="Times New Roman" w:cs="Times New Roman"/>
          <w:lang w:val="de-DE"/>
        </w:rPr>
        <w:t>&lt; </w:t>
      </w:r>
      <w:r w:rsidRPr="009737B5">
        <w:rPr>
          <w:rFonts w:ascii="Times New Roman" w:hAnsi="Times New Roman" w:cs="Times New Roman"/>
          <w:lang w:val="de-DE"/>
        </w:rPr>
        <w:t>1/10), gelegentlich (</w:t>
      </w:r>
      <w:r w:rsidR="00E32D5C" w:rsidRPr="009737B5">
        <w:rPr>
          <w:rFonts w:ascii="Times New Roman" w:hAnsi="Times New Roman" w:cs="Times New Roman"/>
          <w:lang w:val="de-DE"/>
        </w:rPr>
        <w:t>≥ </w:t>
      </w:r>
      <w:r w:rsidRPr="009737B5">
        <w:rPr>
          <w:rFonts w:ascii="Times New Roman" w:hAnsi="Times New Roman" w:cs="Times New Roman"/>
          <w:lang w:val="de-DE"/>
        </w:rPr>
        <w:t>1/1</w:t>
      </w:r>
      <w:r w:rsidR="000D1934">
        <w:rPr>
          <w:rFonts w:ascii="Times New Roman" w:hAnsi="Times New Roman" w:cs="Times New Roman"/>
          <w:lang w:val="de-DE"/>
        </w:rPr>
        <w:t> </w:t>
      </w:r>
      <w:r w:rsidRPr="009737B5">
        <w:rPr>
          <w:rFonts w:ascii="Times New Roman" w:hAnsi="Times New Roman" w:cs="Times New Roman"/>
          <w:lang w:val="de-DE"/>
        </w:rPr>
        <w:t>000</w:t>
      </w:r>
      <w:r w:rsidR="00A12938">
        <w:rPr>
          <w:rFonts w:ascii="Times New Roman" w:hAnsi="Times New Roman" w:cs="Times New Roman"/>
          <w:lang w:val="de-DE"/>
        </w:rPr>
        <w:t>,</w:t>
      </w:r>
      <w:r w:rsidRPr="009737B5">
        <w:rPr>
          <w:rFonts w:ascii="Times New Roman" w:hAnsi="Times New Roman" w:cs="Times New Roman"/>
          <w:lang w:val="de-DE"/>
        </w:rPr>
        <w:t xml:space="preserve"> </w:t>
      </w:r>
      <w:r w:rsidR="00E32D5C" w:rsidRPr="009737B5">
        <w:rPr>
          <w:rFonts w:ascii="Times New Roman" w:hAnsi="Times New Roman" w:cs="Times New Roman"/>
          <w:lang w:val="de-DE"/>
        </w:rPr>
        <w:t>&lt; </w:t>
      </w:r>
      <w:r w:rsidRPr="009737B5">
        <w:rPr>
          <w:rFonts w:ascii="Times New Roman" w:hAnsi="Times New Roman" w:cs="Times New Roman"/>
          <w:lang w:val="de-DE"/>
        </w:rPr>
        <w:t>1/100), selten (</w:t>
      </w:r>
      <w:r w:rsidR="00E32D5C" w:rsidRPr="009737B5">
        <w:rPr>
          <w:rFonts w:ascii="Times New Roman" w:hAnsi="Times New Roman" w:cs="Times New Roman"/>
          <w:lang w:val="de-DE"/>
        </w:rPr>
        <w:t>≥ </w:t>
      </w:r>
      <w:r w:rsidRPr="009737B5">
        <w:rPr>
          <w:rFonts w:ascii="Times New Roman" w:hAnsi="Times New Roman" w:cs="Times New Roman"/>
          <w:lang w:val="de-DE"/>
        </w:rPr>
        <w:t>1/10</w:t>
      </w:r>
      <w:r w:rsidR="000D1934">
        <w:rPr>
          <w:rFonts w:ascii="Times New Roman" w:hAnsi="Times New Roman" w:cs="Times New Roman"/>
          <w:lang w:val="de-DE"/>
        </w:rPr>
        <w:t> </w:t>
      </w:r>
      <w:r w:rsidRPr="009737B5">
        <w:rPr>
          <w:rFonts w:ascii="Times New Roman" w:hAnsi="Times New Roman" w:cs="Times New Roman"/>
          <w:lang w:val="de-DE"/>
        </w:rPr>
        <w:t>000</w:t>
      </w:r>
      <w:r w:rsidR="00A12938">
        <w:rPr>
          <w:rFonts w:ascii="Times New Roman" w:hAnsi="Times New Roman" w:cs="Times New Roman"/>
          <w:lang w:val="de-DE"/>
        </w:rPr>
        <w:t>,</w:t>
      </w:r>
      <w:r w:rsidRPr="009737B5">
        <w:rPr>
          <w:rFonts w:ascii="Times New Roman" w:hAnsi="Times New Roman" w:cs="Times New Roman"/>
          <w:lang w:val="de-DE"/>
        </w:rPr>
        <w:t xml:space="preserve"> </w:t>
      </w:r>
      <w:r w:rsidR="00E32D5C" w:rsidRPr="009737B5">
        <w:rPr>
          <w:rFonts w:ascii="Times New Roman" w:hAnsi="Times New Roman" w:cs="Times New Roman"/>
          <w:lang w:val="de-DE"/>
        </w:rPr>
        <w:t>&lt; </w:t>
      </w:r>
      <w:r w:rsidRPr="009737B5">
        <w:rPr>
          <w:rFonts w:ascii="Times New Roman" w:hAnsi="Times New Roman" w:cs="Times New Roman"/>
          <w:lang w:val="de-DE"/>
        </w:rPr>
        <w:t>1/1</w:t>
      </w:r>
      <w:r w:rsidR="000D1934">
        <w:rPr>
          <w:rFonts w:ascii="Times New Roman" w:hAnsi="Times New Roman" w:cs="Times New Roman"/>
          <w:lang w:val="de-DE"/>
        </w:rPr>
        <w:t> </w:t>
      </w:r>
      <w:r w:rsidRPr="009737B5">
        <w:rPr>
          <w:rFonts w:ascii="Times New Roman" w:hAnsi="Times New Roman" w:cs="Times New Roman"/>
          <w:lang w:val="de-DE"/>
        </w:rPr>
        <w:t>000), sehr selten (</w:t>
      </w:r>
      <w:r w:rsidR="00E32D5C" w:rsidRPr="009737B5">
        <w:rPr>
          <w:rFonts w:ascii="Times New Roman" w:hAnsi="Times New Roman" w:cs="Times New Roman"/>
          <w:lang w:val="de-DE"/>
        </w:rPr>
        <w:t>&lt; </w:t>
      </w:r>
      <w:r w:rsidRPr="009737B5">
        <w:rPr>
          <w:rFonts w:ascii="Times New Roman" w:hAnsi="Times New Roman" w:cs="Times New Roman"/>
          <w:lang w:val="de-DE"/>
        </w:rPr>
        <w:t>1/10</w:t>
      </w:r>
      <w:r w:rsidR="000D1934">
        <w:rPr>
          <w:rFonts w:ascii="Times New Roman" w:hAnsi="Times New Roman" w:cs="Times New Roman"/>
          <w:lang w:val="de-DE"/>
        </w:rPr>
        <w:t> </w:t>
      </w:r>
      <w:r w:rsidRPr="009737B5">
        <w:rPr>
          <w:rFonts w:ascii="Times New Roman" w:hAnsi="Times New Roman" w:cs="Times New Roman"/>
          <w:lang w:val="de-DE"/>
        </w:rPr>
        <w:t>000), nicht bekannt (Häufigkeit auf Grundlage der verfügbaren Daten nicht abschätzbar).</w:t>
      </w:r>
    </w:p>
    <w:p w14:paraId="663B9B63" w14:textId="77777777" w:rsidR="00AF337C" w:rsidRPr="009737B5" w:rsidRDefault="00AF337C" w:rsidP="005F4D08">
      <w:pPr>
        <w:suppressAutoHyphens/>
        <w:spacing w:after="0" w:line="240" w:lineRule="auto"/>
        <w:rPr>
          <w:rFonts w:ascii="Times New Roman" w:hAnsi="Times New Roman" w:cs="Times New Roman"/>
          <w:lang w:val="de-DE"/>
        </w:rPr>
      </w:pPr>
    </w:p>
    <w:p w14:paraId="17C515E2" w14:textId="7E836D4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Tabellen</w:t>
      </w:r>
      <w:r w:rsidR="00D5199D">
        <w:rPr>
          <w:rFonts w:ascii="Times New Roman" w:hAnsi="Times New Roman" w:cs="Times New Roman"/>
          <w:lang w:val="de-DE"/>
        </w:rPr>
        <w:t> </w:t>
      </w:r>
      <w:r w:rsidRPr="009737B5">
        <w:rPr>
          <w:rFonts w:ascii="Times New Roman" w:hAnsi="Times New Roman" w:cs="Times New Roman"/>
          <w:lang w:val="de-DE"/>
        </w:rPr>
        <w:t xml:space="preserve">1 und 2 enthalten Nebenwirkungen, die bei Anwendung von </w:t>
      </w:r>
      <w:r w:rsidR="00203E14"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verschiedenen Chemotherapie-Schemata in mehreren Indikationen auftraten</w:t>
      </w:r>
      <w:r w:rsidR="00053A2B" w:rsidRPr="00053A2B">
        <w:rPr>
          <w:rFonts w:ascii="Times New Roman" w:hAnsi="Times New Roman" w:cs="Times New Roman"/>
          <w:lang w:val="de-DE"/>
        </w:rPr>
        <w:t>, aufgelistet nach MedDRA-Systemorganklasse</w:t>
      </w:r>
      <w:r w:rsidRPr="009737B5">
        <w:rPr>
          <w:rFonts w:ascii="Times New Roman" w:hAnsi="Times New Roman" w:cs="Times New Roman"/>
          <w:lang w:val="de-DE"/>
        </w:rPr>
        <w:t>.</w:t>
      </w:r>
    </w:p>
    <w:p w14:paraId="7EE54EAC" w14:textId="77777777" w:rsidR="00AF337C" w:rsidRPr="009737B5" w:rsidRDefault="00AF337C" w:rsidP="005F4D08">
      <w:pPr>
        <w:suppressAutoHyphens/>
        <w:spacing w:after="0" w:line="240" w:lineRule="auto"/>
        <w:rPr>
          <w:rFonts w:ascii="Times New Roman" w:hAnsi="Times New Roman" w:cs="Times New Roman"/>
          <w:lang w:val="de-DE"/>
        </w:rPr>
      </w:pPr>
    </w:p>
    <w:p w14:paraId="3E0818F1" w14:textId="1ECB3982" w:rsidR="00AF337C" w:rsidRPr="009737B5" w:rsidRDefault="00AF337C" w:rsidP="00BF042B">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Tabelle</w:t>
      </w:r>
      <w:r w:rsidR="00D5199D">
        <w:rPr>
          <w:rFonts w:ascii="Times New Roman" w:hAnsi="Times New Roman" w:cs="Times New Roman"/>
          <w:lang w:val="de-DE"/>
        </w:rPr>
        <w:t> </w:t>
      </w:r>
      <w:r w:rsidRPr="009737B5">
        <w:rPr>
          <w:rFonts w:ascii="Times New Roman" w:hAnsi="Times New Roman" w:cs="Times New Roman"/>
          <w:lang w:val="de-DE"/>
        </w:rPr>
        <w:t xml:space="preserve">1 enthält alle Nebenwirkungen nach Häufigkeit, für die ein kausaler Zusammenhang mit </w:t>
      </w:r>
      <w:r w:rsidR="00203E14" w:rsidRPr="009737B5">
        <w:rPr>
          <w:rFonts w:ascii="Times New Roman" w:hAnsi="Times New Roman" w:cs="Times New Roman"/>
          <w:lang w:val="de-DE"/>
        </w:rPr>
        <w:t>Bevacizumab</w:t>
      </w:r>
      <w:r w:rsidRPr="009737B5">
        <w:rPr>
          <w:rFonts w:ascii="Times New Roman" w:hAnsi="Times New Roman" w:cs="Times New Roman"/>
          <w:lang w:val="de-DE"/>
        </w:rPr>
        <w:t xml:space="preserve"> festgestellt wurde durch:</w:t>
      </w:r>
    </w:p>
    <w:p w14:paraId="57B1A426" w14:textId="0B95BB3E" w:rsidR="00E5657A" w:rsidRPr="009737B5" w:rsidRDefault="00E5657A" w:rsidP="005F4D08">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r>
      <w:r w:rsidR="00AF337C" w:rsidRPr="009737B5">
        <w:rPr>
          <w:rFonts w:ascii="Times New Roman" w:hAnsi="Times New Roman" w:cs="Times New Roman"/>
          <w:lang w:val="de-DE"/>
        </w:rPr>
        <w:t>vergleichbare Vorkommnisse in klinischen Studienarmen (mit mindestens einer 10</w:t>
      </w:r>
      <w:r w:rsidR="00322E40" w:rsidRPr="009737B5">
        <w:rPr>
          <w:rFonts w:ascii="Times New Roman" w:hAnsi="Times New Roman" w:cs="Times New Roman"/>
          <w:lang w:val="de-DE"/>
        </w:rPr>
        <w:t> %</w:t>
      </w:r>
      <w:r w:rsidR="00AF337C" w:rsidRPr="009737B5">
        <w:rPr>
          <w:rFonts w:ascii="Times New Roman" w:hAnsi="Times New Roman" w:cs="Times New Roman"/>
          <w:lang w:val="de-DE"/>
        </w:rPr>
        <w:t>igen Differenz verglichen mit dem Kontrollarm für NCI-CTCAE Grad</w:t>
      </w:r>
      <w:r w:rsidR="00D5199D">
        <w:rPr>
          <w:rFonts w:ascii="Times New Roman" w:hAnsi="Times New Roman" w:cs="Times New Roman"/>
          <w:lang w:val="de-DE"/>
        </w:rPr>
        <w:t> </w:t>
      </w:r>
      <w:r w:rsidR="00AF337C" w:rsidRPr="009737B5">
        <w:rPr>
          <w:rFonts w:ascii="Times New Roman" w:hAnsi="Times New Roman" w:cs="Times New Roman"/>
          <w:lang w:val="de-DE"/>
        </w:rPr>
        <w:t>1</w:t>
      </w:r>
      <w:r w:rsidR="003B57B4">
        <w:rPr>
          <w:rFonts w:ascii="Times New Roman" w:hAnsi="Times New Roman" w:cs="Times New Roman"/>
          <w:lang w:val="de-DE"/>
        </w:rPr>
        <w:t> </w:t>
      </w:r>
      <w:r w:rsidR="00AF337C" w:rsidRPr="009737B5">
        <w:rPr>
          <w:rFonts w:ascii="Times New Roman" w:hAnsi="Times New Roman" w:cs="Times New Roman"/>
          <w:lang w:val="de-DE"/>
        </w:rPr>
        <w:t>-</w:t>
      </w:r>
      <w:r w:rsidR="003B57B4">
        <w:rPr>
          <w:rFonts w:ascii="Times New Roman" w:hAnsi="Times New Roman" w:cs="Times New Roman"/>
          <w:lang w:val="de-DE"/>
        </w:rPr>
        <w:t> </w:t>
      </w:r>
      <w:r w:rsidR="00AF337C" w:rsidRPr="009737B5">
        <w:rPr>
          <w:rFonts w:ascii="Times New Roman" w:hAnsi="Times New Roman" w:cs="Times New Roman"/>
          <w:lang w:val="de-DE"/>
        </w:rPr>
        <w:t>5 Nebenwirkungen oder mindestens einer 2</w:t>
      </w:r>
      <w:r w:rsidR="00322E40" w:rsidRPr="009737B5">
        <w:rPr>
          <w:rFonts w:ascii="Times New Roman" w:hAnsi="Times New Roman" w:cs="Times New Roman"/>
          <w:lang w:val="de-DE"/>
        </w:rPr>
        <w:t> %</w:t>
      </w:r>
      <w:r w:rsidR="00AF337C" w:rsidRPr="009737B5">
        <w:rPr>
          <w:rFonts w:ascii="Times New Roman" w:hAnsi="Times New Roman" w:cs="Times New Roman"/>
          <w:lang w:val="de-DE"/>
        </w:rPr>
        <w:t>igen Differenz verglichen mit dem Kon</w:t>
      </w:r>
      <w:r w:rsidR="00C9174A" w:rsidRPr="009737B5">
        <w:rPr>
          <w:rFonts w:ascii="Times New Roman" w:hAnsi="Times New Roman" w:cs="Times New Roman"/>
          <w:lang w:val="de-DE"/>
        </w:rPr>
        <w:t>trollarm für NCI-CTCAE Grad 3</w:t>
      </w:r>
      <w:r w:rsidR="003B57B4">
        <w:rPr>
          <w:rFonts w:ascii="Times New Roman" w:hAnsi="Times New Roman" w:cs="Times New Roman"/>
          <w:lang w:val="de-DE"/>
        </w:rPr>
        <w:t> </w:t>
      </w:r>
      <w:r w:rsidR="00C9174A" w:rsidRPr="009737B5">
        <w:rPr>
          <w:rFonts w:ascii="Times New Roman" w:hAnsi="Times New Roman" w:cs="Times New Roman"/>
          <w:lang w:val="de-DE"/>
        </w:rPr>
        <w:noBreakHyphen/>
      </w:r>
      <w:r w:rsidR="003B57B4">
        <w:rPr>
          <w:rFonts w:ascii="Times New Roman" w:hAnsi="Times New Roman" w:cs="Times New Roman"/>
          <w:lang w:val="de-DE"/>
        </w:rPr>
        <w:t> </w:t>
      </w:r>
      <w:r w:rsidR="00AF337C" w:rsidRPr="009737B5">
        <w:rPr>
          <w:rFonts w:ascii="Times New Roman" w:hAnsi="Times New Roman" w:cs="Times New Roman"/>
          <w:lang w:val="de-DE"/>
        </w:rPr>
        <w:t>5 Nebenwirkungen),</w:t>
      </w:r>
    </w:p>
    <w:p w14:paraId="54F33466" w14:textId="77777777" w:rsidR="00AF337C" w:rsidRPr="009737B5" w:rsidRDefault="00AF337C" w:rsidP="005F4D08">
      <w:pPr>
        <w:pStyle w:val="ListParagraph"/>
        <w:numPr>
          <w:ilvl w:val="0"/>
          <w:numId w:val="1"/>
        </w:numPr>
        <w:suppressAutoHyphens/>
        <w:spacing w:after="0" w:line="240" w:lineRule="auto"/>
        <w:ind w:left="567" w:hanging="567"/>
        <w:contextualSpacing w:val="0"/>
        <w:rPr>
          <w:rFonts w:ascii="Times New Roman" w:hAnsi="Times New Roman" w:cs="Times New Roman"/>
          <w:lang w:val="de-DE"/>
        </w:rPr>
      </w:pPr>
      <w:r w:rsidRPr="009737B5">
        <w:rPr>
          <w:rFonts w:ascii="Times New Roman" w:hAnsi="Times New Roman" w:cs="Times New Roman"/>
          <w:lang w:val="de-DE"/>
        </w:rPr>
        <w:t>Sicherheitsstudien nach der Markteinführung,</w:t>
      </w:r>
    </w:p>
    <w:p w14:paraId="112E0ACB" w14:textId="77777777" w:rsidR="00AF337C" w:rsidRPr="009737B5" w:rsidRDefault="00AF337C" w:rsidP="005F4D08">
      <w:pPr>
        <w:pStyle w:val="ListParagraph"/>
        <w:numPr>
          <w:ilvl w:val="0"/>
          <w:numId w:val="1"/>
        </w:numPr>
        <w:suppressAutoHyphens/>
        <w:spacing w:after="0" w:line="240" w:lineRule="auto"/>
        <w:ind w:left="567" w:hanging="567"/>
        <w:contextualSpacing w:val="0"/>
        <w:rPr>
          <w:rFonts w:ascii="Times New Roman" w:hAnsi="Times New Roman" w:cs="Times New Roman"/>
          <w:lang w:val="de-DE"/>
        </w:rPr>
      </w:pPr>
      <w:r w:rsidRPr="009737B5">
        <w:rPr>
          <w:rFonts w:ascii="Times New Roman" w:hAnsi="Times New Roman" w:cs="Times New Roman"/>
          <w:lang w:val="de-DE"/>
        </w:rPr>
        <w:t>Spontanberichte,</w:t>
      </w:r>
    </w:p>
    <w:p w14:paraId="2E60CA24" w14:textId="77777777" w:rsidR="00E5657A" w:rsidRPr="009737B5" w:rsidRDefault="00AF337C" w:rsidP="005F4D08">
      <w:pPr>
        <w:pStyle w:val="ListParagraph"/>
        <w:numPr>
          <w:ilvl w:val="0"/>
          <w:numId w:val="1"/>
        </w:numPr>
        <w:suppressAutoHyphens/>
        <w:spacing w:after="0" w:line="240" w:lineRule="auto"/>
        <w:ind w:left="567" w:hanging="567"/>
        <w:contextualSpacing w:val="0"/>
        <w:rPr>
          <w:rFonts w:ascii="Times New Roman" w:hAnsi="Times New Roman" w:cs="Times New Roman"/>
          <w:lang w:val="de-DE"/>
        </w:rPr>
      </w:pPr>
      <w:r w:rsidRPr="009737B5">
        <w:rPr>
          <w:rFonts w:ascii="Times New Roman" w:hAnsi="Times New Roman" w:cs="Times New Roman"/>
          <w:lang w:val="de-DE"/>
        </w:rPr>
        <w:t>epidemiologische Studien/nicht-interventionelle oder Beobachtungsstudien,</w:t>
      </w:r>
    </w:p>
    <w:p w14:paraId="523789FD" w14:textId="77777777" w:rsidR="00AF337C" w:rsidRPr="009737B5" w:rsidRDefault="00AF337C" w:rsidP="005F4D08">
      <w:pPr>
        <w:pStyle w:val="ListParagraph"/>
        <w:numPr>
          <w:ilvl w:val="0"/>
          <w:numId w:val="1"/>
        </w:numPr>
        <w:suppressAutoHyphens/>
        <w:spacing w:after="0" w:line="240" w:lineRule="auto"/>
        <w:ind w:left="567" w:hanging="567"/>
        <w:contextualSpacing w:val="0"/>
        <w:rPr>
          <w:rFonts w:ascii="Times New Roman" w:hAnsi="Times New Roman" w:cs="Times New Roman"/>
          <w:lang w:val="de-DE"/>
        </w:rPr>
      </w:pPr>
      <w:r w:rsidRPr="009737B5">
        <w:rPr>
          <w:rFonts w:ascii="Times New Roman" w:hAnsi="Times New Roman" w:cs="Times New Roman"/>
          <w:lang w:val="de-DE"/>
        </w:rPr>
        <w:t>oder durch eine Bewertung individueller Fallberichte.</w:t>
      </w:r>
    </w:p>
    <w:p w14:paraId="37B5909E" w14:textId="77777777" w:rsidR="00AF337C" w:rsidRPr="009737B5" w:rsidRDefault="00AF337C" w:rsidP="005F4D08">
      <w:pPr>
        <w:suppressAutoHyphens/>
        <w:spacing w:after="0" w:line="240" w:lineRule="auto"/>
        <w:rPr>
          <w:rFonts w:ascii="Times New Roman" w:hAnsi="Times New Roman" w:cs="Times New Roman"/>
          <w:lang w:val="de-DE"/>
        </w:rPr>
      </w:pPr>
    </w:p>
    <w:p w14:paraId="4B79D1D8" w14:textId="27CA4FA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Tabelle</w:t>
      </w:r>
      <w:r w:rsidR="003B57B4">
        <w:rPr>
          <w:rFonts w:ascii="Times New Roman" w:hAnsi="Times New Roman" w:cs="Times New Roman"/>
          <w:lang w:val="de-DE"/>
        </w:rPr>
        <w:t> </w:t>
      </w:r>
      <w:r w:rsidRPr="009737B5">
        <w:rPr>
          <w:rFonts w:ascii="Times New Roman" w:hAnsi="Times New Roman" w:cs="Times New Roman"/>
          <w:lang w:val="de-DE"/>
        </w:rPr>
        <w:t xml:space="preserve">2 enthält die Häufigkeiten von schweren Nebenwirkungen. Schwere Nebenwirkungen sind definiert als unerwünschte </w:t>
      </w:r>
      <w:r w:rsidR="003C0F14">
        <w:rPr>
          <w:rFonts w:ascii="Times New Roman" w:hAnsi="Times New Roman" w:cs="Times New Roman"/>
          <w:lang w:val="de-DE"/>
        </w:rPr>
        <w:t>Wirkungen</w:t>
      </w:r>
      <w:r w:rsidRPr="009737B5">
        <w:rPr>
          <w:rFonts w:ascii="Times New Roman" w:hAnsi="Times New Roman" w:cs="Times New Roman"/>
          <w:lang w:val="de-DE"/>
        </w:rPr>
        <w:t xml:space="preserve"> mit mindestens einer 2</w:t>
      </w:r>
      <w:r w:rsidR="00322E40" w:rsidRPr="009737B5">
        <w:rPr>
          <w:rFonts w:ascii="Times New Roman" w:hAnsi="Times New Roman" w:cs="Times New Roman"/>
          <w:lang w:val="de-DE"/>
        </w:rPr>
        <w:t> %</w:t>
      </w:r>
      <w:r w:rsidRPr="009737B5">
        <w:rPr>
          <w:rFonts w:ascii="Times New Roman" w:hAnsi="Times New Roman" w:cs="Times New Roman"/>
          <w:lang w:val="de-DE"/>
        </w:rPr>
        <w:t>igen Differenz verglichen zum Kontrollarm in klinischen Studien für NCI-CTCAE Grad</w:t>
      </w:r>
      <w:r w:rsidR="00D5199D">
        <w:rPr>
          <w:rFonts w:ascii="Times New Roman" w:hAnsi="Times New Roman" w:cs="Times New Roman"/>
          <w:lang w:val="de-DE"/>
        </w:rPr>
        <w:t> </w:t>
      </w:r>
      <w:r w:rsidRPr="009737B5">
        <w:rPr>
          <w:rFonts w:ascii="Times New Roman" w:hAnsi="Times New Roman" w:cs="Times New Roman"/>
          <w:lang w:val="de-DE"/>
        </w:rPr>
        <w:t>3</w:t>
      </w:r>
      <w:r w:rsidR="003B57B4">
        <w:rPr>
          <w:rFonts w:ascii="Times New Roman" w:hAnsi="Times New Roman" w:cs="Times New Roman"/>
          <w:lang w:val="de-DE"/>
        </w:rPr>
        <w:t> </w:t>
      </w:r>
      <w:r w:rsidRPr="009737B5">
        <w:rPr>
          <w:rFonts w:ascii="Times New Roman" w:hAnsi="Times New Roman" w:cs="Times New Roman"/>
          <w:lang w:val="de-DE"/>
        </w:rPr>
        <w:t>-</w:t>
      </w:r>
      <w:r w:rsidR="003B57B4">
        <w:rPr>
          <w:rFonts w:ascii="Times New Roman" w:hAnsi="Times New Roman" w:cs="Times New Roman"/>
          <w:lang w:val="de-DE"/>
        </w:rPr>
        <w:t> </w:t>
      </w:r>
      <w:r w:rsidRPr="009737B5">
        <w:rPr>
          <w:rFonts w:ascii="Times New Roman" w:hAnsi="Times New Roman" w:cs="Times New Roman"/>
          <w:lang w:val="de-DE"/>
        </w:rPr>
        <w:t>5 Nebenwirkungen. Tabelle</w:t>
      </w:r>
      <w:r w:rsidR="003B57B4">
        <w:rPr>
          <w:rFonts w:ascii="Times New Roman" w:hAnsi="Times New Roman" w:cs="Times New Roman"/>
          <w:lang w:val="de-DE"/>
        </w:rPr>
        <w:t> </w:t>
      </w:r>
      <w:r w:rsidRPr="009737B5">
        <w:rPr>
          <w:rFonts w:ascii="Times New Roman" w:hAnsi="Times New Roman" w:cs="Times New Roman"/>
          <w:lang w:val="de-DE"/>
        </w:rPr>
        <w:t>2 beinhaltet auch Nebenwirkungen, welche durch den Zulassungsinhaber als klinisch signifikant oder schwer erachtet werden.</w:t>
      </w:r>
    </w:p>
    <w:p w14:paraId="1B741A25" w14:textId="77777777" w:rsidR="00AF337C" w:rsidRPr="009737B5" w:rsidRDefault="00AF337C" w:rsidP="005F4D08">
      <w:pPr>
        <w:suppressAutoHyphens/>
        <w:spacing w:after="0" w:line="240" w:lineRule="auto"/>
        <w:rPr>
          <w:rFonts w:ascii="Times New Roman" w:hAnsi="Times New Roman" w:cs="Times New Roman"/>
          <w:lang w:val="de-DE"/>
        </w:rPr>
      </w:pPr>
    </w:p>
    <w:p w14:paraId="501BCCA4" w14:textId="6A6B9C41"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Nebenwirkungen nach Markteinführung sind in den beiden Tabellen</w:t>
      </w:r>
      <w:r w:rsidR="003B57B4">
        <w:rPr>
          <w:rFonts w:ascii="Times New Roman" w:hAnsi="Times New Roman" w:cs="Times New Roman"/>
          <w:lang w:val="de-DE"/>
        </w:rPr>
        <w:t> </w:t>
      </w:r>
      <w:r w:rsidRPr="009737B5">
        <w:rPr>
          <w:rFonts w:ascii="Times New Roman" w:hAnsi="Times New Roman" w:cs="Times New Roman"/>
          <w:lang w:val="de-DE"/>
        </w:rPr>
        <w:t>1 und 2 enthalten, wenn zutreffend. Detaillierte Informationen über diese Nebenwirkungen nach Markteinführung sind in Tabelle</w:t>
      </w:r>
      <w:r w:rsidR="003B57B4">
        <w:rPr>
          <w:rFonts w:ascii="Times New Roman" w:hAnsi="Times New Roman" w:cs="Times New Roman"/>
          <w:lang w:val="de-DE"/>
        </w:rPr>
        <w:t> </w:t>
      </w:r>
      <w:r w:rsidRPr="009737B5">
        <w:rPr>
          <w:rFonts w:ascii="Times New Roman" w:hAnsi="Times New Roman" w:cs="Times New Roman"/>
          <w:lang w:val="de-DE"/>
        </w:rPr>
        <w:t>3 enthalten.</w:t>
      </w:r>
    </w:p>
    <w:p w14:paraId="55868931" w14:textId="77777777" w:rsidR="00AF337C" w:rsidRPr="009737B5" w:rsidRDefault="00AF337C" w:rsidP="005F4D08">
      <w:pPr>
        <w:suppressAutoHyphens/>
        <w:spacing w:after="0" w:line="240" w:lineRule="auto"/>
        <w:rPr>
          <w:rFonts w:ascii="Times New Roman" w:hAnsi="Times New Roman" w:cs="Times New Roman"/>
          <w:lang w:val="de-DE"/>
        </w:rPr>
      </w:pPr>
    </w:p>
    <w:p w14:paraId="2549FFEF"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Entsprechend der größten Inzidenz in einer der Indikationen wurden die Nebenwirkungen der entsprechenden Häufigkeitskategorie zugeordnet.</w:t>
      </w:r>
    </w:p>
    <w:p w14:paraId="22EC3337" w14:textId="77777777" w:rsidR="00C9174A" w:rsidRPr="009737B5" w:rsidRDefault="00C9174A" w:rsidP="005F4D08">
      <w:pPr>
        <w:suppressAutoHyphens/>
        <w:spacing w:after="0" w:line="240" w:lineRule="auto"/>
        <w:rPr>
          <w:rFonts w:ascii="Times New Roman" w:hAnsi="Times New Roman" w:cs="Times New Roman"/>
          <w:lang w:val="de-DE"/>
        </w:rPr>
      </w:pPr>
    </w:p>
    <w:p w14:paraId="5A759215"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Innerhalb jeder Häufigkeitskategorie werden die Nebenwirkungen nach abnehmendem Schweregrad angegeben.</w:t>
      </w:r>
    </w:p>
    <w:p w14:paraId="6B7205F2" w14:textId="77777777" w:rsidR="00AF337C" w:rsidRPr="009737B5" w:rsidRDefault="00AF337C" w:rsidP="005F4D08">
      <w:pPr>
        <w:suppressAutoHyphens/>
        <w:spacing w:after="0" w:line="240" w:lineRule="auto"/>
        <w:rPr>
          <w:rFonts w:ascii="Times New Roman" w:hAnsi="Times New Roman" w:cs="Times New Roman"/>
          <w:lang w:val="de-DE"/>
        </w:rPr>
      </w:pPr>
    </w:p>
    <w:p w14:paraId="105AF859"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Einige Nebenwirkungen sind jene, die häufig unter Chemotherapie beobachtet werden; </w:t>
      </w:r>
      <w:r w:rsidR="00203E14" w:rsidRPr="009737B5">
        <w:rPr>
          <w:rFonts w:ascii="Times New Roman" w:hAnsi="Times New Roman" w:cs="Times New Roman"/>
          <w:lang w:val="de-DE"/>
        </w:rPr>
        <w:t>Bevacizumab</w:t>
      </w:r>
      <w:r w:rsidRPr="009737B5">
        <w:rPr>
          <w:rFonts w:ascii="Times New Roman" w:hAnsi="Times New Roman" w:cs="Times New Roman"/>
          <w:lang w:val="de-DE"/>
        </w:rPr>
        <w:t xml:space="preserve"> kann diese Reaktionen jedoch verschlimmern, wenn es mit chemotherapeutischen Substanzen kombiniert wird. Beispiele hierfür sind palmoplantares Erythrodysästhesie-Syndrom unter pegyliertem liposomalen Doxorubicin oder Capecitabin, periphere, sensorische Neuropathie unter Paclitaxel oder Oxaliplatin, Nagelerkrankungen oder Alopezie unter Paclitaxel und Paronychie unter Erlotinib.</w:t>
      </w:r>
    </w:p>
    <w:p w14:paraId="0CF6234F" w14:textId="77777777" w:rsidR="00AF337C" w:rsidRPr="009737B5" w:rsidRDefault="00AF337C" w:rsidP="005F4D08">
      <w:pPr>
        <w:suppressAutoHyphens/>
        <w:spacing w:after="0" w:line="240" w:lineRule="auto"/>
        <w:rPr>
          <w:rFonts w:ascii="Times New Roman" w:hAnsi="Times New Roman" w:cs="Times New Roman"/>
          <w:lang w:val="de-DE"/>
        </w:rPr>
      </w:pPr>
    </w:p>
    <w:p w14:paraId="59B55149" w14:textId="3D5650DD" w:rsidR="00AF337C" w:rsidRPr="009737B5" w:rsidRDefault="00AF337C" w:rsidP="00931F65">
      <w:pPr>
        <w:keepNext/>
        <w:keepLines/>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lastRenderedPageBreak/>
        <w:t>Tabelle</w:t>
      </w:r>
      <w:r w:rsidR="003B57B4">
        <w:rPr>
          <w:rFonts w:ascii="Times New Roman" w:hAnsi="Times New Roman" w:cs="Times New Roman"/>
          <w:b/>
          <w:lang w:val="de-DE"/>
        </w:rPr>
        <w:t> </w:t>
      </w:r>
      <w:r w:rsidRPr="009737B5">
        <w:rPr>
          <w:rFonts w:ascii="Times New Roman" w:hAnsi="Times New Roman" w:cs="Times New Roman"/>
          <w:b/>
          <w:lang w:val="de-DE"/>
        </w:rPr>
        <w:t>1</w:t>
      </w:r>
      <w:r w:rsidR="00E251E5" w:rsidRPr="009737B5">
        <w:rPr>
          <w:rFonts w:ascii="Times New Roman" w:hAnsi="Times New Roman" w:cs="Times New Roman"/>
          <w:b/>
          <w:lang w:val="de-DE"/>
        </w:rPr>
        <w:t>.</w:t>
      </w:r>
      <w:r w:rsidRPr="009737B5">
        <w:rPr>
          <w:rFonts w:ascii="Times New Roman" w:hAnsi="Times New Roman" w:cs="Times New Roman"/>
          <w:b/>
          <w:lang w:val="de-DE"/>
        </w:rPr>
        <w:t xml:space="preserve"> Nebenwirkungen nach Häufigkeit</w:t>
      </w:r>
    </w:p>
    <w:p w14:paraId="1BFC3138" w14:textId="77777777" w:rsidR="00287BFB" w:rsidRPr="009737B5" w:rsidRDefault="00287BFB" w:rsidP="00931F65">
      <w:pPr>
        <w:keepNext/>
        <w:keepLines/>
        <w:suppressAutoHyphens/>
        <w:spacing w:after="0" w:line="240" w:lineRule="auto"/>
        <w:rPr>
          <w:rFonts w:ascii="Times New Roman" w:hAnsi="Times New Roman" w:cs="Times New Roman"/>
          <w:lang w:val="de-DE"/>
        </w:rPr>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1442"/>
        <w:gridCol w:w="1761"/>
        <w:gridCol w:w="699"/>
        <w:gridCol w:w="1163"/>
        <w:gridCol w:w="1018"/>
        <w:gridCol w:w="1562"/>
      </w:tblGrid>
      <w:tr w:rsidR="00A12938" w:rsidRPr="00402720" w14:paraId="6B999A02" w14:textId="77777777" w:rsidTr="00E66954">
        <w:trPr>
          <w:trHeight w:val="23"/>
          <w:tblHeader/>
        </w:trPr>
        <w:tc>
          <w:tcPr>
            <w:tcW w:w="997" w:type="pct"/>
          </w:tcPr>
          <w:p w14:paraId="34F8E0B3" w14:textId="77777777" w:rsidR="005F4D08" w:rsidRPr="00402720" w:rsidRDefault="005F4D08" w:rsidP="00A16482">
            <w:pPr>
              <w:keepNext/>
              <w:keepLines/>
              <w:suppressAutoHyphens/>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Systemorganklasse</w:t>
            </w:r>
          </w:p>
        </w:tc>
        <w:tc>
          <w:tcPr>
            <w:tcW w:w="755" w:type="pct"/>
          </w:tcPr>
          <w:p w14:paraId="4AD10513" w14:textId="77777777" w:rsidR="005F4D08" w:rsidRPr="00402720" w:rsidRDefault="005F4D08" w:rsidP="00A16482">
            <w:pPr>
              <w:keepNext/>
              <w:keepLines/>
              <w:suppressAutoHyphens/>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Sehr häufig</w:t>
            </w:r>
          </w:p>
        </w:tc>
        <w:tc>
          <w:tcPr>
            <w:tcW w:w="922" w:type="pct"/>
          </w:tcPr>
          <w:p w14:paraId="4FBC7FC5" w14:textId="77777777" w:rsidR="005F4D08" w:rsidRPr="00402720" w:rsidRDefault="005F4D08" w:rsidP="00A16482">
            <w:pPr>
              <w:keepNext/>
              <w:keepLines/>
              <w:suppressAutoHyphens/>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Häufig</w:t>
            </w:r>
          </w:p>
        </w:tc>
        <w:tc>
          <w:tcPr>
            <w:tcW w:w="366" w:type="pct"/>
          </w:tcPr>
          <w:p w14:paraId="0D7E888E" w14:textId="4A659CF1" w:rsidR="005F4D08" w:rsidRPr="00402720" w:rsidRDefault="005F4D08" w:rsidP="00A16482">
            <w:pPr>
              <w:keepNext/>
              <w:keepLines/>
              <w:suppressAutoHyphens/>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Gele</w:t>
            </w:r>
            <w:r w:rsidR="0026792B">
              <w:rPr>
                <w:rFonts w:ascii="Times New Roman" w:hAnsi="Times New Roman" w:cs="Times New Roman"/>
                <w:b/>
                <w:sz w:val="18"/>
                <w:szCs w:val="18"/>
                <w:lang w:val="de-DE"/>
              </w:rPr>
              <w:t>-</w:t>
            </w:r>
            <w:r w:rsidRPr="00402720">
              <w:rPr>
                <w:rFonts w:ascii="Times New Roman" w:hAnsi="Times New Roman" w:cs="Times New Roman"/>
                <w:b/>
                <w:sz w:val="18"/>
                <w:szCs w:val="18"/>
                <w:lang w:val="de-DE"/>
              </w:rPr>
              <w:t>gent</w:t>
            </w:r>
            <w:r w:rsidR="00A12938">
              <w:rPr>
                <w:rFonts w:ascii="Times New Roman" w:hAnsi="Times New Roman" w:cs="Times New Roman"/>
                <w:b/>
                <w:sz w:val="18"/>
                <w:szCs w:val="18"/>
                <w:lang w:val="de-DE"/>
              </w:rPr>
              <w:t>-</w:t>
            </w:r>
            <w:r w:rsidRPr="00402720">
              <w:rPr>
                <w:rFonts w:ascii="Times New Roman" w:hAnsi="Times New Roman" w:cs="Times New Roman"/>
                <w:b/>
                <w:sz w:val="18"/>
                <w:szCs w:val="18"/>
                <w:lang w:val="de-DE"/>
              </w:rPr>
              <w:t>lich</w:t>
            </w:r>
          </w:p>
        </w:tc>
        <w:tc>
          <w:tcPr>
            <w:tcW w:w="609" w:type="pct"/>
          </w:tcPr>
          <w:p w14:paraId="4A4956D9" w14:textId="77777777" w:rsidR="005F4D08" w:rsidRPr="00402720" w:rsidRDefault="005F4D08" w:rsidP="00A16482">
            <w:pPr>
              <w:keepNext/>
              <w:keepLines/>
              <w:suppressAutoHyphens/>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Selten</w:t>
            </w:r>
          </w:p>
        </w:tc>
        <w:tc>
          <w:tcPr>
            <w:tcW w:w="533" w:type="pct"/>
          </w:tcPr>
          <w:p w14:paraId="7A95A390" w14:textId="77777777" w:rsidR="005F4D08" w:rsidRPr="00402720" w:rsidRDefault="005F4D08" w:rsidP="00A16482">
            <w:pPr>
              <w:keepNext/>
              <w:keepLines/>
              <w:suppressAutoHyphens/>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Sehr selten</w:t>
            </w:r>
          </w:p>
        </w:tc>
        <w:tc>
          <w:tcPr>
            <w:tcW w:w="818" w:type="pct"/>
          </w:tcPr>
          <w:p w14:paraId="59B0B842" w14:textId="77777777" w:rsidR="005F4D08" w:rsidRPr="00402720" w:rsidRDefault="005F4D08" w:rsidP="00A16482">
            <w:pPr>
              <w:keepNext/>
              <w:keepLines/>
              <w:suppressAutoHyphens/>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Häufigkeit nicht bekannt</w:t>
            </w:r>
          </w:p>
        </w:tc>
      </w:tr>
      <w:tr w:rsidR="00A12938" w:rsidRPr="00402720" w14:paraId="030C283D" w14:textId="77777777" w:rsidTr="00E66954">
        <w:trPr>
          <w:trHeight w:val="23"/>
        </w:trPr>
        <w:tc>
          <w:tcPr>
            <w:tcW w:w="997" w:type="pct"/>
          </w:tcPr>
          <w:p w14:paraId="7EB63D5A" w14:textId="77777777" w:rsidR="005F4D08" w:rsidRPr="00402720" w:rsidRDefault="005F4D08" w:rsidP="00A16482">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Infektionen und</w:t>
            </w:r>
            <w:r w:rsidR="00C9174A"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parasitäre</w:t>
            </w:r>
            <w:r w:rsidR="00C9174A"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 xml:space="preserve">Erkrankungen </w:t>
            </w:r>
          </w:p>
        </w:tc>
        <w:tc>
          <w:tcPr>
            <w:tcW w:w="755" w:type="pct"/>
          </w:tcPr>
          <w:p w14:paraId="305CA500" w14:textId="77777777" w:rsidR="005F4D08" w:rsidRPr="00402720" w:rsidRDefault="005F4D08" w:rsidP="00A16482">
            <w:pPr>
              <w:keepNext/>
              <w:keepLines/>
              <w:suppressAutoHyphens/>
              <w:spacing w:after="0" w:line="240" w:lineRule="auto"/>
              <w:rPr>
                <w:rFonts w:ascii="Times New Roman" w:hAnsi="Times New Roman" w:cs="Times New Roman"/>
                <w:sz w:val="18"/>
                <w:szCs w:val="18"/>
                <w:lang w:val="de-DE"/>
              </w:rPr>
            </w:pPr>
          </w:p>
        </w:tc>
        <w:tc>
          <w:tcPr>
            <w:tcW w:w="922" w:type="pct"/>
          </w:tcPr>
          <w:p w14:paraId="6D32BBDA" w14:textId="77777777" w:rsidR="005F4D08" w:rsidRPr="00402720" w:rsidRDefault="005F4D08" w:rsidP="00A16482">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Sepsis,</w:t>
            </w:r>
          </w:p>
          <w:p w14:paraId="4E5D85A4" w14:textId="77777777" w:rsidR="005F4D08" w:rsidRPr="00402720" w:rsidRDefault="005F4D08" w:rsidP="00A16482">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Abszess</w:t>
            </w:r>
            <w:r w:rsidRPr="00402720">
              <w:rPr>
                <w:rFonts w:ascii="Times New Roman" w:hAnsi="Times New Roman" w:cs="Times New Roman"/>
                <w:sz w:val="18"/>
                <w:szCs w:val="18"/>
                <w:vertAlign w:val="superscript"/>
                <w:lang w:val="de-DE"/>
              </w:rPr>
              <w:t>b,</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d</w:t>
            </w:r>
            <w:r w:rsidRPr="00402720">
              <w:rPr>
                <w:rFonts w:ascii="Times New Roman" w:hAnsi="Times New Roman" w:cs="Times New Roman"/>
                <w:sz w:val="18"/>
                <w:szCs w:val="18"/>
                <w:lang w:val="de-DE"/>
              </w:rPr>
              <w:t>,</w:t>
            </w:r>
          </w:p>
          <w:p w14:paraId="74DCD0B2" w14:textId="77777777" w:rsidR="005F4D08" w:rsidRPr="00402720" w:rsidRDefault="005F4D08" w:rsidP="00A16482">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Zellulitis,</w:t>
            </w:r>
          </w:p>
          <w:p w14:paraId="563F40FD" w14:textId="77777777" w:rsidR="005F4D08" w:rsidRPr="00402720" w:rsidRDefault="005F4D08" w:rsidP="00A16482">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Infektion,</w:t>
            </w:r>
          </w:p>
          <w:p w14:paraId="53ACFB5B" w14:textId="77777777" w:rsidR="005F4D08" w:rsidRPr="00402720" w:rsidRDefault="00472D8C" w:rsidP="00A16482">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Harnwegsinfekt</w:t>
            </w:r>
          </w:p>
        </w:tc>
        <w:tc>
          <w:tcPr>
            <w:tcW w:w="366" w:type="pct"/>
          </w:tcPr>
          <w:p w14:paraId="2E33BCE8" w14:textId="77777777" w:rsidR="005F4D08" w:rsidRPr="00402720" w:rsidRDefault="005F4D08" w:rsidP="00A16482">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609" w:type="pct"/>
          </w:tcPr>
          <w:p w14:paraId="11E2EADF" w14:textId="79F8B492" w:rsidR="005F4D08" w:rsidRPr="00402720" w:rsidRDefault="001574B1" w:rsidP="00A16482">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n</w:t>
            </w:r>
            <w:r w:rsidR="00C9174A" w:rsidRPr="00402720">
              <w:rPr>
                <w:rFonts w:ascii="Times New Roman" w:hAnsi="Times New Roman" w:cs="Times New Roman"/>
                <w:sz w:val="18"/>
                <w:szCs w:val="18"/>
                <w:lang w:val="de-DE"/>
              </w:rPr>
              <w:t>ekroti</w:t>
            </w:r>
            <w:r w:rsidRPr="00402720">
              <w:rPr>
                <w:rFonts w:ascii="Times New Roman" w:hAnsi="Times New Roman" w:cs="Times New Roman"/>
                <w:sz w:val="18"/>
                <w:szCs w:val="18"/>
                <w:lang w:val="de-DE"/>
              </w:rPr>
              <w:t>-</w:t>
            </w:r>
            <w:r w:rsidR="005F4D08" w:rsidRPr="00402720">
              <w:rPr>
                <w:rFonts w:ascii="Times New Roman" w:hAnsi="Times New Roman" w:cs="Times New Roman"/>
                <w:sz w:val="18"/>
                <w:szCs w:val="18"/>
                <w:lang w:val="de-DE"/>
              </w:rPr>
              <w:t>sierende</w:t>
            </w:r>
            <w:r w:rsidR="00905DBC" w:rsidRPr="00402720">
              <w:rPr>
                <w:rFonts w:ascii="Times New Roman" w:hAnsi="Times New Roman" w:cs="Times New Roman"/>
                <w:sz w:val="18"/>
                <w:szCs w:val="18"/>
                <w:lang w:val="de-DE"/>
              </w:rPr>
              <w:t xml:space="preserve"> </w:t>
            </w:r>
            <w:r w:rsidR="005F4D08" w:rsidRPr="00402720">
              <w:rPr>
                <w:rFonts w:ascii="Times New Roman" w:hAnsi="Times New Roman" w:cs="Times New Roman"/>
                <w:sz w:val="18"/>
                <w:szCs w:val="18"/>
                <w:lang w:val="de-DE"/>
              </w:rPr>
              <w:t>Fasziitis</w:t>
            </w:r>
            <w:r w:rsidR="005F4D08" w:rsidRPr="00402720">
              <w:rPr>
                <w:rFonts w:ascii="Times New Roman" w:hAnsi="Times New Roman" w:cs="Times New Roman"/>
                <w:sz w:val="18"/>
                <w:szCs w:val="18"/>
                <w:vertAlign w:val="superscript"/>
                <w:lang w:val="de-DE"/>
              </w:rPr>
              <w:t>a</w:t>
            </w:r>
            <w:r w:rsidR="005F4D08" w:rsidRPr="00402720">
              <w:rPr>
                <w:rFonts w:ascii="Times New Roman" w:hAnsi="Times New Roman" w:cs="Times New Roman"/>
                <w:sz w:val="18"/>
                <w:szCs w:val="18"/>
                <w:lang w:val="de-DE"/>
              </w:rPr>
              <w:t xml:space="preserve"> </w:t>
            </w:r>
          </w:p>
        </w:tc>
        <w:tc>
          <w:tcPr>
            <w:tcW w:w="533" w:type="pct"/>
          </w:tcPr>
          <w:p w14:paraId="495937A4" w14:textId="77777777" w:rsidR="005F4D08" w:rsidRPr="00402720" w:rsidRDefault="005F4D08" w:rsidP="00A16482">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818" w:type="pct"/>
          </w:tcPr>
          <w:p w14:paraId="7EB8651E" w14:textId="77777777" w:rsidR="005F4D08" w:rsidRPr="00402720" w:rsidRDefault="005F4D08" w:rsidP="00A16482">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r>
      <w:tr w:rsidR="00A12938" w:rsidRPr="00402720" w14:paraId="6F35F67B"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047054DA" w14:textId="77777777" w:rsidR="005F4D08" w:rsidRPr="00402720" w:rsidRDefault="005F4D08" w:rsidP="00931F65">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des</w:t>
            </w:r>
            <w:r w:rsidR="00472D8C"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 xml:space="preserve">Blutes und des Lymphsystems </w:t>
            </w:r>
          </w:p>
        </w:tc>
        <w:tc>
          <w:tcPr>
            <w:tcW w:w="755" w:type="pct"/>
            <w:tcBorders>
              <w:top w:val="single" w:sz="4" w:space="0" w:color="000000"/>
              <w:left w:val="single" w:sz="4" w:space="0" w:color="000000"/>
              <w:bottom w:val="single" w:sz="4" w:space="0" w:color="000000"/>
              <w:right w:val="single" w:sz="4" w:space="0" w:color="000000"/>
            </w:tcBorders>
          </w:tcPr>
          <w:p w14:paraId="4AAC8198" w14:textId="16E23917" w:rsidR="005F4D08" w:rsidRPr="00402720" w:rsidRDefault="005F4D08" w:rsidP="00931F65">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febrile</w:t>
            </w:r>
            <w:r w:rsidR="0011232C"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Neutropenie,</w:t>
            </w:r>
          </w:p>
          <w:p w14:paraId="56F470DF" w14:textId="77777777" w:rsidR="005F4D08" w:rsidRPr="00402720" w:rsidRDefault="005F4D08" w:rsidP="00931F65">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Leukopenie,</w:t>
            </w:r>
          </w:p>
          <w:p w14:paraId="7A9AEDE1" w14:textId="77777777" w:rsidR="005F4D08" w:rsidRPr="00402720" w:rsidRDefault="005F4D08" w:rsidP="00931F65">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Neutropenie</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w:t>
            </w:r>
          </w:p>
          <w:p w14:paraId="24A4CCE5" w14:textId="77777777" w:rsidR="005F4D08" w:rsidRPr="00402720" w:rsidRDefault="005F4D08" w:rsidP="00931F65">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Thrombozyto</w:t>
            </w:r>
            <w:r w:rsidR="00203E14"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 xml:space="preserve">penie </w:t>
            </w:r>
          </w:p>
        </w:tc>
        <w:tc>
          <w:tcPr>
            <w:tcW w:w="922" w:type="pct"/>
            <w:tcBorders>
              <w:top w:val="single" w:sz="4" w:space="0" w:color="000000"/>
              <w:left w:val="single" w:sz="4" w:space="0" w:color="000000"/>
              <w:bottom w:val="single" w:sz="4" w:space="0" w:color="000000"/>
              <w:right w:val="single" w:sz="4" w:space="0" w:color="000000"/>
            </w:tcBorders>
          </w:tcPr>
          <w:p w14:paraId="61554648" w14:textId="77777777" w:rsidR="00472D8C" w:rsidRPr="00402720" w:rsidRDefault="005F4D08" w:rsidP="00931F65">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Anämie,</w:t>
            </w:r>
          </w:p>
          <w:p w14:paraId="1F7610E0" w14:textId="77777777" w:rsidR="005F4D08" w:rsidRPr="00402720" w:rsidRDefault="00472D8C" w:rsidP="00931F65">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Lymphopenie</w:t>
            </w:r>
          </w:p>
        </w:tc>
        <w:tc>
          <w:tcPr>
            <w:tcW w:w="366" w:type="pct"/>
          </w:tcPr>
          <w:p w14:paraId="0F721740" w14:textId="77777777" w:rsidR="005F4D08" w:rsidRPr="00402720" w:rsidRDefault="005F4D08" w:rsidP="00931F65">
            <w:pPr>
              <w:keepNext/>
              <w:keepLines/>
              <w:suppressAutoHyphens/>
              <w:spacing w:after="0" w:line="240" w:lineRule="auto"/>
              <w:rPr>
                <w:rFonts w:ascii="Times New Roman" w:hAnsi="Times New Roman" w:cs="Times New Roman"/>
                <w:sz w:val="18"/>
                <w:szCs w:val="18"/>
                <w:lang w:val="de-DE"/>
              </w:rPr>
            </w:pPr>
          </w:p>
        </w:tc>
        <w:tc>
          <w:tcPr>
            <w:tcW w:w="609" w:type="pct"/>
          </w:tcPr>
          <w:p w14:paraId="26F2BCBB" w14:textId="77777777" w:rsidR="005F4D08" w:rsidRPr="00402720" w:rsidRDefault="005F4D08" w:rsidP="00931F65">
            <w:pPr>
              <w:keepNext/>
              <w:keepLines/>
              <w:suppressAutoHyphens/>
              <w:spacing w:after="0" w:line="240" w:lineRule="auto"/>
              <w:rPr>
                <w:rFonts w:ascii="Times New Roman" w:hAnsi="Times New Roman" w:cs="Times New Roman"/>
                <w:sz w:val="18"/>
                <w:szCs w:val="18"/>
                <w:lang w:val="de-DE"/>
              </w:rPr>
            </w:pPr>
          </w:p>
        </w:tc>
        <w:tc>
          <w:tcPr>
            <w:tcW w:w="533" w:type="pct"/>
          </w:tcPr>
          <w:p w14:paraId="493F1A8A" w14:textId="77777777" w:rsidR="005F4D08" w:rsidRPr="00402720" w:rsidRDefault="005F4D08" w:rsidP="00931F65">
            <w:pPr>
              <w:keepNext/>
              <w:keepLines/>
              <w:suppressAutoHyphens/>
              <w:spacing w:after="0" w:line="240" w:lineRule="auto"/>
              <w:rPr>
                <w:rFonts w:ascii="Times New Roman" w:hAnsi="Times New Roman" w:cs="Times New Roman"/>
                <w:sz w:val="18"/>
                <w:szCs w:val="18"/>
                <w:lang w:val="de-DE"/>
              </w:rPr>
            </w:pPr>
          </w:p>
        </w:tc>
        <w:tc>
          <w:tcPr>
            <w:tcW w:w="818" w:type="pct"/>
          </w:tcPr>
          <w:p w14:paraId="14E9FA59" w14:textId="77777777" w:rsidR="005F4D08" w:rsidRPr="00402720" w:rsidRDefault="005F4D08" w:rsidP="00931F65">
            <w:pPr>
              <w:keepNext/>
              <w:keepLines/>
              <w:suppressAutoHyphens/>
              <w:spacing w:after="0" w:line="240" w:lineRule="auto"/>
              <w:rPr>
                <w:rFonts w:ascii="Times New Roman" w:hAnsi="Times New Roman" w:cs="Times New Roman"/>
                <w:sz w:val="18"/>
                <w:szCs w:val="18"/>
                <w:lang w:val="de-DE"/>
              </w:rPr>
            </w:pPr>
          </w:p>
        </w:tc>
      </w:tr>
      <w:tr w:rsidR="00A12938" w:rsidRPr="00A12938" w14:paraId="4DDA43D8"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043DB7D6" w14:textId="77777777" w:rsidR="005F4D08" w:rsidRPr="00402720" w:rsidRDefault="00905DBC"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des Immun</w:t>
            </w:r>
            <w:r w:rsidR="005F4D08" w:rsidRPr="00402720">
              <w:rPr>
                <w:rFonts w:ascii="Times New Roman" w:hAnsi="Times New Roman" w:cs="Times New Roman"/>
                <w:sz w:val="18"/>
                <w:szCs w:val="18"/>
                <w:lang w:val="de-DE"/>
              </w:rPr>
              <w:t xml:space="preserve">systems </w:t>
            </w:r>
          </w:p>
        </w:tc>
        <w:tc>
          <w:tcPr>
            <w:tcW w:w="755" w:type="pct"/>
            <w:tcBorders>
              <w:top w:val="single" w:sz="4" w:space="0" w:color="000000"/>
              <w:left w:val="single" w:sz="4" w:space="0" w:color="000000"/>
              <w:bottom w:val="single" w:sz="4" w:space="0" w:color="000000"/>
              <w:right w:val="single" w:sz="4" w:space="0" w:color="000000"/>
            </w:tcBorders>
          </w:tcPr>
          <w:p w14:paraId="4EC236A0"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922" w:type="pct"/>
            <w:tcBorders>
              <w:top w:val="single" w:sz="4" w:space="0" w:color="000000"/>
              <w:left w:val="single" w:sz="4" w:space="0" w:color="000000"/>
              <w:bottom w:val="single" w:sz="4" w:space="0" w:color="000000"/>
              <w:right w:val="single" w:sz="4" w:space="0" w:color="000000"/>
            </w:tcBorders>
          </w:tcPr>
          <w:p w14:paraId="7CB37156" w14:textId="77777777" w:rsidR="00934C3E" w:rsidRDefault="00485902"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Überemp</w:t>
            </w:r>
            <w:r w:rsidR="001574B1"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findlichkeit,</w:t>
            </w:r>
          </w:p>
          <w:p w14:paraId="74555ED6" w14:textId="175E6F2B" w:rsidR="005F4D08" w:rsidRPr="00402720" w:rsidRDefault="00485902"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infusions</w:t>
            </w:r>
            <w:r w:rsidR="005F4D08" w:rsidRPr="00402720">
              <w:rPr>
                <w:rFonts w:ascii="Times New Roman" w:hAnsi="Times New Roman" w:cs="Times New Roman"/>
                <w:sz w:val="18"/>
                <w:szCs w:val="18"/>
                <w:lang w:val="de-DE"/>
              </w:rPr>
              <w:t>bedingte</w:t>
            </w:r>
            <w:r w:rsidR="00C50FFF" w:rsidRPr="00402720">
              <w:rPr>
                <w:rFonts w:ascii="Times New Roman" w:hAnsi="Times New Roman" w:cs="Times New Roman"/>
                <w:sz w:val="18"/>
                <w:szCs w:val="18"/>
                <w:lang w:val="de-DE"/>
              </w:rPr>
              <w:t xml:space="preserve"> </w:t>
            </w:r>
            <w:r w:rsidR="005F4D08" w:rsidRPr="00402720">
              <w:rPr>
                <w:rFonts w:ascii="Times New Roman" w:hAnsi="Times New Roman" w:cs="Times New Roman"/>
                <w:sz w:val="18"/>
                <w:szCs w:val="18"/>
                <w:lang w:val="de-DE"/>
              </w:rPr>
              <w:t>Reaktionen</w:t>
            </w:r>
            <w:r w:rsidR="005F4D08" w:rsidRPr="00402720">
              <w:rPr>
                <w:rFonts w:ascii="Times New Roman" w:hAnsi="Times New Roman" w:cs="Times New Roman"/>
                <w:sz w:val="18"/>
                <w:szCs w:val="18"/>
                <w:vertAlign w:val="superscript"/>
                <w:lang w:val="de-DE"/>
              </w:rPr>
              <w:t>a,</w:t>
            </w:r>
            <w:r w:rsidR="00B207B4" w:rsidRPr="00402720">
              <w:rPr>
                <w:rFonts w:ascii="Times New Roman" w:hAnsi="Times New Roman" w:cs="Times New Roman"/>
                <w:sz w:val="18"/>
                <w:szCs w:val="18"/>
                <w:vertAlign w:val="superscript"/>
                <w:lang w:val="de-DE"/>
              </w:rPr>
              <w:t xml:space="preserve"> </w:t>
            </w:r>
            <w:r w:rsidR="005F4D08" w:rsidRPr="00402720">
              <w:rPr>
                <w:rFonts w:ascii="Times New Roman" w:hAnsi="Times New Roman" w:cs="Times New Roman"/>
                <w:sz w:val="18"/>
                <w:szCs w:val="18"/>
                <w:vertAlign w:val="superscript"/>
                <w:lang w:val="de-DE"/>
              </w:rPr>
              <w:t>b,</w:t>
            </w:r>
            <w:r w:rsidR="00B207B4" w:rsidRPr="00402720">
              <w:rPr>
                <w:rFonts w:ascii="Times New Roman" w:hAnsi="Times New Roman" w:cs="Times New Roman"/>
                <w:sz w:val="18"/>
                <w:szCs w:val="18"/>
                <w:vertAlign w:val="superscript"/>
                <w:lang w:val="de-DE"/>
              </w:rPr>
              <w:t xml:space="preserve"> </w:t>
            </w:r>
            <w:r w:rsidR="005F4D08" w:rsidRPr="00402720">
              <w:rPr>
                <w:rFonts w:ascii="Times New Roman" w:hAnsi="Times New Roman" w:cs="Times New Roman"/>
                <w:sz w:val="18"/>
                <w:szCs w:val="18"/>
                <w:vertAlign w:val="superscript"/>
                <w:lang w:val="de-DE"/>
              </w:rPr>
              <w:t>d</w:t>
            </w:r>
            <w:r w:rsidR="005F4D08" w:rsidRPr="00402720">
              <w:rPr>
                <w:rFonts w:ascii="Times New Roman" w:hAnsi="Times New Roman" w:cs="Times New Roman"/>
                <w:sz w:val="18"/>
                <w:szCs w:val="18"/>
                <w:lang w:val="de-DE"/>
              </w:rPr>
              <w:t xml:space="preserve"> </w:t>
            </w:r>
          </w:p>
        </w:tc>
        <w:tc>
          <w:tcPr>
            <w:tcW w:w="366" w:type="pct"/>
          </w:tcPr>
          <w:p w14:paraId="0A2422BE"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609" w:type="pct"/>
          </w:tcPr>
          <w:p w14:paraId="27559530" w14:textId="742803AE" w:rsidR="005F4D08" w:rsidRPr="00402720" w:rsidRDefault="00A12938" w:rsidP="00A12938">
            <w:pPr>
              <w:suppressAutoHyphens/>
              <w:spacing w:after="0" w:line="240" w:lineRule="auto"/>
              <w:rPr>
                <w:rFonts w:ascii="Times New Roman" w:hAnsi="Times New Roman" w:cs="Times New Roman"/>
                <w:sz w:val="18"/>
                <w:szCs w:val="18"/>
                <w:lang w:val="de-DE"/>
              </w:rPr>
            </w:pPr>
            <w:r>
              <w:rPr>
                <w:rFonts w:ascii="Times New Roman" w:hAnsi="Times New Roman" w:cs="Times New Roman"/>
                <w:sz w:val="18"/>
                <w:szCs w:val="18"/>
                <w:lang w:val="de-DE"/>
              </w:rPr>
              <w:t>anaphy-laktischer Schock</w:t>
            </w:r>
          </w:p>
        </w:tc>
        <w:tc>
          <w:tcPr>
            <w:tcW w:w="533" w:type="pct"/>
          </w:tcPr>
          <w:p w14:paraId="194914D4"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818" w:type="pct"/>
          </w:tcPr>
          <w:p w14:paraId="23B0B9F2"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r>
      <w:tr w:rsidR="00A12938" w:rsidRPr="00402720" w14:paraId="5370A537"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49698185"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Stoffwechsel- und</w:t>
            </w:r>
            <w:r w:rsidR="00472D8C"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 xml:space="preserve">Ernährungsstörungen </w:t>
            </w:r>
          </w:p>
        </w:tc>
        <w:tc>
          <w:tcPr>
            <w:tcW w:w="755" w:type="pct"/>
            <w:tcBorders>
              <w:top w:val="single" w:sz="4" w:space="0" w:color="000000"/>
              <w:left w:val="single" w:sz="4" w:space="0" w:color="000000"/>
              <w:bottom w:val="single" w:sz="4" w:space="0" w:color="000000"/>
              <w:right w:val="single" w:sz="4" w:space="0" w:color="000000"/>
            </w:tcBorders>
          </w:tcPr>
          <w:p w14:paraId="649BD494" w14:textId="77777777" w:rsidR="00C50FFF"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Anorexie,</w:t>
            </w:r>
          </w:p>
          <w:p w14:paraId="6F9AB32A" w14:textId="5A32F86B"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Hypo</w:t>
            </w:r>
            <w:r w:rsidR="00203E14"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magnesiämie,</w:t>
            </w:r>
          </w:p>
          <w:p w14:paraId="1CD84906"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Hyponatriämie</w:t>
            </w:r>
          </w:p>
        </w:tc>
        <w:tc>
          <w:tcPr>
            <w:tcW w:w="922" w:type="pct"/>
            <w:tcBorders>
              <w:top w:val="single" w:sz="4" w:space="0" w:color="000000"/>
              <w:left w:val="single" w:sz="4" w:space="0" w:color="000000"/>
              <w:bottom w:val="single" w:sz="4" w:space="0" w:color="000000"/>
              <w:right w:val="single" w:sz="4" w:space="0" w:color="000000"/>
            </w:tcBorders>
          </w:tcPr>
          <w:p w14:paraId="30761AE9"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Dehydratation </w:t>
            </w:r>
          </w:p>
        </w:tc>
        <w:tc>
          <w:tcPr>
            <w:tcW w:w="366" w:type="pct"/>
          </w:tcPr>
          <w:p w14:paraId="3DF32B2B"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609" w:type="pct"/>
          </w:tcPr>
          <w:p w14:paraId="34CBF83F"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533" w:type="pct"/>
          </w:tcPr>
          <w:p w14:paraId="0FFF6ABF"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818" w:type="pct"/>
          </w:tcPr>
          <w:p w14:paraId="54AEDD67"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r>
      <w:tr w:rsidR="00A12938" w:rsidRPr="00402720" w14:paraId="777DB55C"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237EFEEE"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Erkrankungen des Nervensystems </w:t>
            </w:r>
          </w:p>
        </w:tc>
        <w:tc>
          <w:tcPr>
            <w:tcW w:w="755" w:type="pct"/>
            <w:tcBorders>
              <w:top w:val="single" w:sz="4" w:space="0" w:color="000000"/>
              <w:left w:val="single" w:sz="4" w:space="0" w:color="000000"/>
              <w:bottom w:val="single" w:sz="4" w:space="0" w:color="000000"/>
              <w:right w:val="single" w:sz="4" w:space="0" w:color="000000"/>
            </w:tcBorders>
          </w:tcPr>
          <w:p w14:paraId="5A06C308"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periphere,</w:t>
            </w:r>
          </w:p>
          <w:p w14:paraId="30491CF0" w14:textId="7071020D"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sensorische</w:t>
            </w:r>
            <w:r w:rsidR="00C50FFF"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Neuropathie</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w:t>
            </w:r>
          </w:p>
          <w:p w14:paraId="7FE7F36F"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Dysarthrie,</w:t>
            </w:r>
          </w:p>
          <w:p w14:paraId="0072D7C6" w14:textId="77777777" w:rsidR="005F4D08" w:rsidRPr="00402720" w:rsidRDefault="00706C16"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Kopfschmer</w:t>
            </w:r>
            <w:r w:rsidR="005F4D08" w:rsidRPr="00402720">
              <w:rPr>
                <w:rFonts w:ascii="Times New Roman" w:hAnsi="Times New Roman" w:cs="Times New Roman"/>
                <w:sz w:val="18"/>
                <w:szCs w:val="18"/>
                <w:lang w:val="de-DE"/>
              </w:rPr>
              <w:t>zen,</w:t>
            </w:r>
          </w:p>
          <w:p w14:paraId="50CC7084"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Dysgeusie </w:t>
            </w:r>
          </w:p>
        </w:tc>
        <w:tc>
          <w:tcPr>
            <w:tcW w:w="922" w:type="pct"/>
            <w:tcBorders>
              <w:top w:val="single" w:sz="4" w:space="0" w:color="000000"/>
              <w:left w:val="single" w:sz="4" w:space="0" w:color="000000"/>
              <w:bottom w:val="single" w:sz="4" w:space="0" w:color="000000"/>
              <w:right w:val="single" w:sz="4" w:space="0" w:color="000000"/>
            </w:tcBorders>
          </w:tcPr>
          <w:p w14:paraId="4E054A86"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Apoplex,</w:t>
            </w:r>
          </w:p>
          <w:p w14:paraId="3C08E26D"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Synkope,</w:t>
            </w:r>
          </w:p>
          <w:p w14:paraId="3BE35114"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Schläfrigkeit </w:t>
            </w:r>
          </w:p>
        </w:tc>
        <w:tc>
          <w:tcPr>
            <w:tcW w:w="366" w:type="pct"/>
            <w:tcBorders>
              <w:top w:val="single" w:sz="4" w:space="0" w:color="000000"/>
              <w:left w:val="single" w:sz="4" w:space="0" w:color="000000"/>
              <w:bottom w:val="single" w:sz="4" w:space="0" w:color="000000"/>
              <w:right w:val="single" w:sz="4" w:space="0" w:color="000000"/>
            </w:tcBorders>
          </w:tcPr>
          <w:p w14:paraId="1AAA522C"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609" w:type="pct"/>
            <w:tcBorders>
              <w:top w:val="single" w:sz="4" w:space="0" w:color="000000"/>
              <w:left w:val="single" w:sz="4" w:space="0" w:color="000000"/>
              <w:bottom w:val="single" w:sz="4" w:space="0" w:color="000000"/>
              <w:right w:val="single" w:sz="4" w:space="0" w:color="000000"/>
            </w:tcBorders>
          </w:tcPr>
          <w:p w14:paraId="2AB51F79" w14:textId="3A689D1E" w:rsidR="005F4D08" w:rsidRPr="00402720" w:rsidRDefault="005F4D08" w:rsidP="00402720">
            <w:pPr>
              <w:suppressAutoHyphens/>
              <w:spacing w:after="0" w:line="240" w:lineRule="auto"/>
              <w:rPr>
                <w:rFonts w:ascii="Times New Roman" w:hAnsi="Times New Roman" w:cs="Times New Roman"/>
                <w:sz w:val="18"/>
                <w:szCs w:val="18"/>
                <w:lang w:val="fr-FR"/>
              </w:rPr>
            </w:pPr>
            <w:r w:rsidRPr="00402720">
              <w:rPr>
                <w:rFonts w:ascii="Times New Roman" w:hAnsi="Times New Roman" w:cs="Times New Roman"/>
                <w:sz w:val="18"/>
                <w:szCs w:val="18"/>
                <w:lang w:val="fr-FR"/>
              </w:rPr>
              <w:t>posteriores reversibles</w:t>
            </w:r>
            <w:r w:rsidR="00031E0C" w:rsidRPr="00402720">
              <w:rPr>
                <w:rFonts w:ascii="Times New Roman" w:hAnsi="Times New Roman" w:cs="Times New Roman"/>
                <w:sz w:val="18"/>
                <w:szCs w:val="18"/>
                <w:lang w:val="fr-FR"/>
              </w:rPr>
              <w:t xml:space="preserve"> </w:t>
            </w:r>
            <w:r w:rsidR="00472D8C" w:rsidRPr="00402720">
              <w:rPr>
                <w:rFonts w:ascii="Times New Roman" w:hAnsi="Times New Roman" w:cs="Times New Roman"/>
                <w:sz w:val="18"/>
                <w:szCs w:val="18"/>
                <w:lang w:val="fr-FR"/>
              </w:rPr>
              <w:t>Enzephalo</w:t>
            </w:r>
            <w:r w:rsidR="001574B1" w:rsidRPr="00402720">
              <w:rPr>
                <w:rFonts w:ascii="Times New Roman" w:hAnsi="Times New Roman" w:cs="Times New Roman"/>
                <w:sz w:val="18"/>
                <w:szCs w:val="18"/>
                <w:lang w:val="fr-FR"/>
              </w:rPr>
              <w:t>-</w:t>
            </w:r>
            <w:r w:rsidR="00472D8C" w:rsidRPr="00402720">
              <w:rPr>
                <w:rFonts w:ascii="Times New Roman" w:hAnsi="Times New Roman" w:cs="Times New Roman"/>
                <w:sz w:val="18"/>
                <w:szCs w:val="18"/>
                <w:lang w:val="fr-FR"/>
              </w:rPr>
              <w:t>pathie</w:t>
            </w:r>
            <w:r w:rsidR="0052278F" w:rsidRPr="00402720">
              <w:rPr>
                <w:rFonts w:ascii="Times New Roman" w:hAnsi="Times New Roman" w:cs="Times New Roman"/>
                <w:sz w:val="18"/>
                <w:szCs w:val="18"/>
                <w:lang w:val="fr-FR"/>
              </w:rPr>
              <w:t>-</w:t>
            </w:r>
            <w:r w:rsidRPr="00402720">
              <w:rPr>
                <w:rFonts w:ascii="Times New Roman" w:hAnsi="Times New Roman" w:cs="Times New Roman"/>
                <w:sz w:val="18"/>
                <w:szCs w:val="18"/>
                <w:lang w:val="fr-FR"/>
              </w:rPr>
              <w:t>Syndrom</w:t>
            </w:r>
            <w:r w:rsidRPr="00402720">
              <w:rPr>
                <w:rFonts w:ascii="Times New Roman" w:hAnsi="Times New Roman" w:cs="Times New Roman"/>
                <w:sz w:val="18"/>
                <w:szCs w:val="18"/>
                <w:vertAlign w:val="superscript"/>
                <w:lang w:val="fr-FR"/>
              </w:rPr>
              <w:t>a,b,d</w:t>
            </w:r>
          </w:p>
        </w:tc>
        <w:tc>
          <w:tcPr>
            <w:tcW w:w="533" w:type="pct"/>
            <w:tcBorders>
              <w:top w:val="single" w:sz="4" w:space="0" w:color="000000"/>
              <w:left w:val="single" w:sz="4" w:space="0" w:color="000000"/>
              <w:bottom w:val="single" w:sz="4" w:space="0" w:color="000000"/>
              <w:right w:val="single" w:sz="4" w:space="0" w:color="000000"/>
            </w:tcBorders>
          </w:tcPr>
          <w:p w14:paraId="6B93DA26" w14:textId="06779145" w:rsidR="005F4D08" w:rsidRPr="00402720" w:rsidRDefault="00C96009" w:rsidP="00402720">
            <w:pPr>
              <w:suppressAutoHyphens/>
              <w:spacing w:after="0" w:line="240" w:lineRule="auto"/>
              <w:rPr>
                <w:rFonts w:ascii="Times New Roman" w:hAnsi="Times New Roman" w:cs="Times New Roman"/>
                <w:sz w:val="18"/>
                <w:szCs w:val="18"/>
                <w:lang w:val="de-DE"/>
              </w:rPr>
            </w:pPr>
            <w:r>
              <w:rPr>
                <w:rFonts w:ascii="Times New Roman" w:hAnsi="Times New Roman" w:cs="Times New Roman"/>
                <w:sz w:val="18"/>
                <w:szCs w:val="18"/>
                <w:lang w:val="de-DE"/>
              </w:rPr>
              <w:t>h</w:t>
            </w:r>
            <w:r w:rsidR="00B207B4" w:rsidRPr="00402720">
              <w:rPr>
                <w:rFonts w:ascii="Times New Roman" w:hAnsi="Times New Roman" w:cs="Times New Roman"/>
                <w:sz w:val="18"/>
                <w:szCs w:val="18"/>
                <w:lang w:val="de-DE"/>
              </w:rPr>
              <w:t>yper</w:t>
            </w:r>
            <w:r w:rsidR="00997D6D" w:rsidRPr="00402720">
              <w:rPr>
                <w:rFonts w:ascii="Times New Roman" w:hAnsi="Times New Roman" w:cs="Times New Roman"/>
                <w:sz w:val="18"/>
                <w:szCs w:val="18"/>
                <w:lang w:val="de-DE"/>
              </w:rPr>
              <w:t>-</w:t>
            </w:r>
            <w:r w:rsidR="00B207B4" w:rsidRPr="00402720">
              <w:rPr>
                <w:rFonts w:ascii="Times New Roman" w:hAnsi="Times New Roman" w:cs="Times New Roman"/>
                <w:sz w:val="18"/>
                <w:szCs w:val="18"/>
                <w:lang w:val="de-DE"/>
              </w:rPr>
              <w:t>ten</w:t>
            </w:r>
            <w:r w:rsidR="005F4D08" w:rsidRPr="00402720">
              <w:rPr>
                <w:rFonts w:ascii="Times New Roman" w:hAnsi="Times New Roman" w:cs="Times New Roman"/>
                <w:sz w:val="18"/>
                <w:szCs w:val="18"/>
                <w:lang w:val="de-DE"/>
              </w:rPr>
              <w:t>sive</w:t>
            </w:r>
            <w:r w:rsidR="00031E0C" w:rsidRPr="00402720">
              <w:rPr>
                <w:rFonts w:ascii="Times New Roman" w:hAnsi="Times New Roman" w:cs="Times New Roman"/>
                <w:sz w:val="18"/>
                <w:szCs w:val="18"/>
                <w:lang w:val="de-DE"/>
              </w:rPr>
              <w:t xml:space="preserve"> </w:t>
            </w:r>
            <w:r w:rsidR="005F4D08" w:rsidRPr="00402720">
              <w:rPr>
                <w:rFonts w:ascii="Times New Roman" w:hAnsi="Times New Roman" w:cs="Times New Roman"/>
                <w:sz w:val="18"/>
                <w:szCs w:val="18"/>
                <w:lang w:val="de-DE"/>
              </w:rPr>
              <w:t>Enzepha</w:t>
            </w:r>
            <w:r w:rsidR="001574B1" w:rsidRPr="00402720">
              <w:rPr>
                <w:rFonts w:ascii="Times New Roman" w:hAnsi="Times New Roman" w:cs="Times New Roman"/>
                <w:sz w:val="18"/>
                <w:szCs w:val="18"/>
                <w:lang w:val="de-DE"/>
              </w:rPr>
              <w:t>-</w:t>
            </w:r>
            <w:r w:rsidR="005F4D08" w:rsidRPr="00402720">
              <w:rPr>
                <w:rFonts w:ascii="Times New Roman" w:hAnsi="Times New Roman" w:cs="Times New Roman"/>
                <w:sz w:val="18"/>
                <w:szCs w:val="18"/>
                <w:lang w:val="de-DE"/>
              </w:rPr>
              <w:t>lopathie</w:t>
            </w:r>
            <w:r w:rsidR="005F4D08" w:rsidRPr="00402720">
              <w:rPr>
                <w:rFonts w:ascii="Times New Roman" w:hAnsi="Times New Roman" w:cs="Times New Roman"/>
                <w:sz w:val="18"/>
                <w:szCs w:val="18"/>
                <w:vertAlign w:val="superscript"/>
                <w:lang w:val="de-DE"/>
              </w:rPr>
              <w:t xml:space="preserve">a </w:t>
            </w:r>
          </w:p>
        </w:tc>
        <w:tc>
          <w:tcPr>
            <w:tcW w:w="818" w:type="pct"/>
          </w:tcPr>
          <w:p w14:paraId="2224C3F1"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r>
      <w:tr w:rsidR="00A12938" w:rsidRPr="00402720" w14:paraId="74EE00B4"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2CA38F32"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Augenerkrankungen </w:t>
            </w:r>
          </w:p>
        </w:tc>
        <w:tc>
          <w:tcPr>
            <w:tcW w:w="755" w:type="pct"/>
            <w:tcBorders>
              <w:top w:val="single" w:sz="4" w:space="0" w:color="000000"/>
              <w:left w:val="single" w:sz="4" w:space="0" w:color="000000"/>
              <w:bottom w:val="single" w:sz="4" w:space="0" w:color="000000"/>
              <w:right w:val="single" w:sz="4" w:space="0" w:color="000000"/>
            </w:tcBorders>
          </w:tcPr>
          <w:p w14:paraId="19B945E9"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Augenerkran</w:t>
            </w:r>
            <w:r w:rsidR="00203E14"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kung,</w:t>
            </w:r>
          </w:p>
          <w:p w14:paraId="04BB0D19" w14:textId="3B79050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erhöhter</w:t>
            </w:r>
            <w:r w:rsidR="00031E0C"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 xml:space="preserve">Tränenfluss </w:t>
            </w:r>
          </w:p>
        </w:tc>
        <w:tc>
          <w:tcPr>
            <w:tcW w:w="922" w:type="pct"/>
          </w:tcPr>
          <w:p w14:paraId="16F22CE9"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366" w:type="pct"/>
          </w:tcPr>
          <w:p w14:paraId="63B19C4B"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609" w:type="pct"/>
          </w:tcPr>
          <w:p w14:paraId="2FC5C52F"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533" w:type="pct"/>
          </w:tcPr>
          <w:p w14:paraId="512A710B"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818" w:type="pct"/>
          </w:tcPr>
          <w:p w14:paraId="643F8C15"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r>
      <w:tr w:rsidR="00A12938" w:rsidRPr="00B83674" w14:paraId="60E73D65"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699DFBFD"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Herzerkrankungen </w:t>
            </w:r>
          </w:p>
        </w:tc>
        <w:tc>
          <w:tcPr>
            <w:tcW w:w="755" w:type="pct"/>
            <w:tcBorders>
              <w:top w:val="single" w:sz="4" w:space="0" w:color="000000"/>
              <w:left w:val="single" w:sz="4" w:space="0" w:color="000000"/>
              <w:bottom w:val="single" w:sz="4" w:space="0" w:color="000000"/>
              <w:right w:val="single" w:sz="4" w:space="0" w:color="000000"/>
            </w:tcBorders>
          </w:tcPr>
          <w:p w14:paraId="6CD909D3"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922" w:type="pct"/>
            <w:tcBorders>
              <w:top w:val="single" w:sz="4" w:space="0" w:color="000000"/>
              <w:left w:val="single" w:sz="4" w:space="0" w:color="000000"/>
              <w:bottom w:val="single" w:sz="4" w:space="0" w:color="000000"/>
              <w:right w:val="single" w:sz="4" w:space="0" w:color="000000"/>
            </w:tcBorders>
          </w:tcPr>
          <w:p w14:paraId="5D5AD997"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kongestive</w:t>
            </w:r>
          </w:p>
          <w:p w14:paraId="015A4C1A" w14:textId="61243161"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Herzinsuffizienz</w:t>
            </w:r>
            <w:r w:rsidRPr="00402720">
              <w:rPr>
                <w:rFonts w:ascii="Times New Roman" w:hAnsi="Times New Roman" w:cs="Times New Roman"/>
                <w:sz w:val="18"/>
                <w:szCs w:val="18"/>
                <w:vertAlign w:val="superscript"/>
                <w:lang w:val="de-DE"/>
              </w:rPr>
              <w:t>b,</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d</w:t>
            </w:r>
            <w:r w:rsidRPr="00402720">
              <w:rPr>
                <w:rFonts w:ascii="Times New Roman" w:hAnsi="Times New Roman" w:cs="Times New Roman"/>
                <w:sz w:val="18"/>
                <w:szCs w:val="18"/>
                <w:lang w:val="de-DE"/>
              </w:rPr>
              <w:t>,</w:t>
            </w:r>
          </w:p>
          <w:p w14:paraId="552DAEE1" w14:textId="09510C4C" w:rsidR="005F4D08" w:rsidRPr="00402720" w:rsidRDefault="00905DBC"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supraven</w:t>
            </w:r>
            <w:r w:rsidR="005F4D08" w:rsidRPr="00402720">
              <w:rPr>
                <w:rFonts w:ascii="Times New Roman" w:hAnsi="Times New Roman" w:cs="Times New Roman"/>
                <w:sz w:val="18"/>
                <w:szCs w:val="18"/>
                <w:lang w:val="de-DE"/>
              </w:rPr>
              <w:t>trikuläre</w:t>
            </w:r>
            <w:r w:rsidR="00031E0C" w:rsidRPr="00402720">
              <w:rPr>
                <w:rFonts w:ascii="Times New Roman" w:hAnsi="Times New Roman" w:cs="Times New Roman"/>
                <w:sz w:val="18"/>
                <w:szCs w:val="18"/>
                <w:lang w:val="de-DE"/>
              </w:rPr>
              <w:t xml:space="preserve"> </w:t>
            </w:r>
            <w:r w:rsidR="005F4D08" w:rsidRPr="00402720">
              <w:rPr>
                <w:rFonts w:ascii="Times New Roman" w:hAnsi="Times New Roman" w:cs="Times New Roman"/>
                <w:sz w:val="18"/>
                <w:szCs w:val="18"/>
                <w:lang w:val="de-DE"/>
              </w:rPr>
              <w:t xml:space="preserve">Tachykardie </w:t>
            </w:r>
          </w:p>
        </w:tc>
        <w:tc>
          <w:tcPr>
            <w:tcW w:w="366" w:type="pct"/>
          </w:tcPr>
          <w:p w14:paraId="549ADBD8"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609" w:type="pct"/>
          </w:tcPr>
          <w:p w14:paraId="53F0C356"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533" w:type="pct"/>
          </w:tcPr>
          <w:p w14:paraId="56829A39"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818" w:type="pct"/>
          </w:tcPr>
          <w:p w14:paraId="6B6370B2"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r>
      <w:tr w:rsidR="00A12938" w:rsidRPr="004C3788" w14:paraId="014E735C"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222B38B7" w14:textId="77777777" w:rsidR="005F4D08" w:rsidRPr="00402720" w:rsidRDefault="005F4D08" w:rsidP="00402720">
            <w:pPr>
              <w:keepNext/>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Gefäßerkrankungen </w:t>
            </w:r>
          </w:p>
        </w:tc>
        <w:tc>
          <w:tcPr>
            <w:tcW w:w="755" w:type="pct"/>
            <w:tcBorders>
              <w:top w:val="single" w:sz="4" w:space="0" w:color="000000"/>
              <w:left w:val="single" w:sz="4" w:space="0" w:color="000000"/>
              <w:bottom w:val="single" w:sz="4" w:space="0" w:color="000000"/>
              <w:right w:val="single" w:sz="4" w:space="0" w:color="000000"/>
            </w:tcBorders>
          </w:tcPr>
          <w:p w14:paraId="6F2B82F8" w14:textId="77777777" w:rsidR="005F4D08" w:rsidRPr="00402720" w:rsidRDefault="005F4D08" w:rsidP="00402720">
            <w:pPr>
              <w:keepNext/>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Hypertonie</w:t>
            </w:r>
            <w:r w:rsidRPr="00402720">
              <w:rPr>
                <w:rFonts w:ascii="Times New Roman" w:hAnsi="Times New Roman" w:cs="Times New Roman"/>
                <w:sz w:val="18"/>
                <w:szCs w:val="18"/>
                <w:vertAlign w:val="superscript"/>
                <w:lang w:val="de-DE"/>
              </w:rPr>
              <w:t>b,</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d</w:t>
            </w:r>
            <w:r w:rsidRPr="00402720">
              <w:rPr>
                <w:rFonts w:ascii="Times New Roman" w:hAnsi="Times New Roman" w:cs="Times New Roman"/>
                <w:sz w:val="18"/>
                <w:szCs w:val="18"/>
                <w:lang w:val="de-DE"/>
              </w:rPr>
              <w:t>,</w:t>
            </w:r>
            <w:r w:rsidR="00956EA1"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(venöse)</w:t>
            </w:r>
          </w:p>
          <w:p w14:paraId="734C50A9" w14:textId="77777777" w:rsidR="005F4D08" w:rsidRPr="00402720" w:rsidRDefault="005F4D08" w:rsidP="00402720">
            <w:pPr>
              <w:keepNext/>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Thromboem</w:t>
            </w:r>
            <w:r w:rsidR="00203E14"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bolie</w:t>
            </w:r>
            <w:r w:rsidRPr="00402720">
              <w:rPr>
                <w:rFonts w:ascii="Times New Roman" w:hAnsi="Times New Roman" w:cs="Times New Roman"/>
                <w:sz w:val="18"/>
                <w:szCs w:val="18"/>
                <w:vertAlign w:val="superscript"/>
                <w:lang w:val="de-DE"/>
              </w:rPr>
              <w:t>b,</w:t>
            </w:r>
            <w:r w:rsidR="00886BE0"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 xml:space="preserve">d </w:t>
            </w:r>
          </w:p>
        </w:tc>
        <w:tc>
          <w:tcPr>
            <w:tcW w:w="922" w:type="pct"/>
            <w:tcBorders>
              <w:top w:val="single" w:sz="4" w:space="0" w:color="000000"/>
              <w:left w:val="single" w:sz="4" w:space="0" w:color="000000"/>
              <w:bottom w:val="single" w:sz="4" w:space="0" w:color="000000"/>
              <w:right w:val="single" w:sz="4" w:space="0" w:color="000000"/>
            </w:tcBorders>
          </w:tcPr>
          <w:p w14:paraId="3781E923" w14:textId="3E221CED" w:rsidR="005F4D08" w:rsidRPr="00402720" w:rsidRDefault="005F4D08" w:rsidP="00402720">
            <w:pPr>
              <w:keepNext/>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(arterielle)</w:t>
            </w:r>
            <w:r w:rsidR="003F24E6" w:rsidRPr="00402720">
              <w:rPr>
                <w:rFonts w:ascii="Times New Roman" w:hAnsi="Times New Roman" w:cs="Times New Roman"/>
                <w:sz w:val="18"/>
                <w:szCs w:val="18"/>
                <w:lang w:val="de-DE"/>
              </w:rPr>
              <w:t xml:space="preserve"> </w:t>
            </w:r>
            <w:r w:rsidR="00905DBC" w:rsidRPr="00402720">
              <w:rPr>
                <w:rFonts w:ascii="Times New Roman" w:hAnsi="Times New Roman" w:cs="Times New Roman"/>
                <w:sz w:val="18"/>
                <w:szCs w:val="18"/>
                <w:lang w:val="de-DE"/>
              </w:rPr>
              <w:t>Thrombo</w:t>
            </w:r>
            <w:r w:rsidRPr="00402720">
              <w:rPr>
                <w:rFonts w:ascii="Times New Roman" w:hAnsi="Times New Roman" w:cs="Times New Roman"/>
                <w:sz w:val="18"/>
                <w:szCs w:val="18"/>
                <w:lang w:val="de-DE"/>
              </w:rPr>
              <w:t>embolie</w:t>
            </w:r>
            <w:r w:rsidRPr="00402720">
              <w:rPr>
                <w:rFonts w:ascii="Times New Roman" w:hAnsi="Times New Roman" w:cs="Times New Roman"/>
                <w:sz w:val="18"/>
                <w:szCs w:val="18"/>
                <w:vertAlign w:val="superscript"/>
                <w:lang w:val="de-DE"/>
              </w:rPr>
              <w:t>b,</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d</w:t>
            </w:r>
            <w:r w:rsidRPr="00402720">
              <w:rPr>
                <w:rFonts w:ascii="Times New Roman" w:hAnsi="Times New Roman" w:cs="Times New Roman"/>
                <w:sz w:val="18"/>
                <w:szCs w:val="18"/>
                <w:lang w:val="de-DE"/>
              </w:rPr>
              <w:t>,</w:t>
            </w:r>
          </w:p>
          <w:p w14:paraId="0DD9C5B9" w14:textId="77777777" w:rsidR="00956EA1" w:rsidRPr="00402720" w:rsidRDefault="005F4D08" w:rsidP="00402720">
            <w:pPr>
              <w:keepNext/>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Blutungen</w:t>
            </w:r>
            <w:r w:rsidRPr="00402720">
              <w:rPr>
                <w:rFonts w:ascii="Times New Roman" w:hAnsi="Times New Roman" w:cs="Times New Roman"/>
                <w:sz w:val="18"/>
                <w:szCs w:val="18"/>
                <w:vertAlign w:val="superscript"/>
                <w:lang w:val="de-DE"/>
              </w:rPr>
              <w:t>b,</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d</w:t>
            </w:r>
            <w:r w:rsidR="00956EA1" w:rsidRPr="00402720">
              <w:rPr>
                <w:rFonts w:ascii="Times New Roman" w:hAnsi="Times New Roman" w:cs="Times New Roman"/>
                <w:sz w:val="18"/>
                <w:szCs w:val="18"/>
                <w:lang w:val="de-DE"/>
              </w:rPr>
              <w:t>,</w:t>
            </w:r>
          </w:p>
          <w:p w14:paraId="76831429" w14:textId="77777777" w:rsidR="005F4D08" w:rsidRPr="00402720" w:rsidRDefault="005F4D08" w:rsidP="00402720">
            <w:pPr>
              <w:keepNext/>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tiefe Venen</w:t>
            </w:r>
            <w:r w:rsidR="001574B1"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 xml:space="preserve">thrombose </w:t>
            </w:r>
          </w:p>
        </w:tc>
        <w:tc>
          <w:tcPr>
            <w:tcW w:w="366" w:type="pct"/>
            <w:tcBorders>
              <w:top w:val="single" w:sz="4" w:space="0" w:color="000000"/>
              <w:left w:val="single" w:sz="4" w:space="0" w:color="000000"/>
              <w:bottom w:val="single" w:sz="4" w:space="0" w:color="000000"/>
              <w:right w:val="single" w:sz="4" w:space="0" w:color="000000"/>
            </w:tcBorders>
          </w:tcPr>
          <w:p w14:paraId="1DA94D73" w14:textId="77777777" w:rsidR="005F4D08" w:rsidRPr="00402720" w:rsidRDefault="005F4D08" w:rsidP="00402720">
            <w:pPr>
              <w:keepNext/>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609" w:type="pct"/>
            <w:tcBorders>
              <w:top w:val="single" w:sz="4" w:space="0" w:color="000000"/>
              <w:left w:val="single" w:sz="4" w:space="0" w:color="000000"/>
              <w:bottom w:val="single" w:sz="4" w:space="0" w:color="000000"/>
              <w:right w:val="single" w:sz="4" w:space="0" w:color="000000"/>
            </w:tcBorders>
          </w:tcPr>
          <w:p w14:paraId="030D05A1" w14:textId="77777777" w:rsidR="005F4D08" w:rsidRPr="00402720" w:rsidRDefault="005F4D08" w:rsidP="00402720">
            <w:pPr>
              <w:keepNext/>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533" w:type="pct"/>
            <w:tcBorders>
              <w:top w:val="single" w:sz="4" w:space="0" w:color="000000"/>
              <w:left w:val="single" w:sz="4" w:space="0" w:color="000000"/>
              <w:bottom w:val="single" w:sz="4" w:space="0" w:color="000000"/>
              <w:right w:val="single" w:sz="4" w:space="0" w:color="000000"/>
            </w:tcBorders>
          </w:tcPr>
          <w:p w14:paraId="259DA497" w14:textId="77777777" w:rsidR="005F4D08" w:rsidRPr="00402720" w:rsidRDefault="005F4D08" w:rsidP="00402720">
            <w:pPr>
              <w:keepNext/>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818" w:type="pct"/>
            <w:tcBorders>
              <w:top w:val="single" w:sz="4" w:space="0" w:color="000000"/>
              <w:left w:val="single" w:sz="4" w:space="0" w:color="000000"/>
              <w:bottom w:val="single" w:sz="4" w:space="0" w:color="000000"/>
              <w:right w:val="single" w:sz="4" w:space="0" w:color="000000"/>
            </w:tcBorders>
          </w:tcPr>
          <w:p w14:paraId="7AA534AD" w14:textId="340CC10F" w:rsidR="00290CB0" w:rsidRPr="00402720" w:rsidRDefault="00C96009" w:rsidP="00402720">
            <w:pPr>
              <w:keepNext/>
              <w:suppressAutoHyphens/>
              <w:spacing w:after="0" w:line="240" w:lineRule="auto"/>
              <w:rPr>
                <w:rFonts w:ascii="Times New Roman" w:hAnsi="Times New Roman" w:cs="Times New Roman"/>
                <w:sz w:val="18"/>
                <w:szCs w:val="18"/>
                <w:lang w:val="de-DE"/>
              </w:rPr>
            </w:pPr>
            <w:r>
              <w:rPr>
                <w:rFonts w:ascii="Times New Roman" w:hAnsi="Times New Roman" w:cs="Times New Roman"/>
                <w:sz w:val="18"/>
                <w:szCs w:val="18"/>
                <w:lang w:val="de-DE"/>
              </w:rPr>
              <w:t>r</w:t>
            </w:r>
            <w:r w:rsidR="005F4D08" w:rsidRPr="00402720">
              <w:rPr>
                <w:rFonts w:ascii="Times New Roman" w:hAnsi="Times New Roman" w:cs="Times New Roman"/>
                <w:sz w:val="18"/>
                <w:szCs w:val="18"/>
                <w:lang w:val="de-DE"/>
              </w:rPr>
              <w:t>enale</w:t>
            </w:r>
            <w:r w:rsidR="00905DBC" w:rsidRPr="00402720">
              <w:rPr>
                <w:rFonts w:ascii="Times New Roman" w:hAnsi="Times New Roman" w:cs="Times New Roman"/>
                <w:sz w:val="18"/>
                <w:szCs w:val="18"/>
                <w:lang w:val="de-DE"/>
              </w:rPr>
              <w:t xml:space="preserve"> </w:t>
            </w:r>
            <w:r w:rsidR="005F4D08" w:rsidRPr="00402720">
              <w:rPr>
                <w:rFonts w:ascii="Times New Roman" w:hAnsi="Times New Roman" w:cs="Times New Roman"/>
                <w:sz w:val="18"/>
                <w:szCs w:val="18"/>
                <w:lang w:val="de-DE"/>
              </w:rPr>
              <w:t>thrombotische</w:t>
            </w:r>
            <w:r w:rsidR="00905DBC" w:rsidRPr="00402720">
              <w:rPr>
                <w:rFonts w:ascii="Times New Roman" w:hAnsi="Times New Roman" w:cs="Times New Roman"/>
                <w:sz w:val="18"/>
                <w:szCs w:val="18"/>
                <w:lang w:val="de-DE"/>
              </w:rPr>
              <w:t xml:space="preserve"> Mikroan</w:t>
            </w:r>
            <w:r w:rsidR="001574B1" w:rsidRPr="00402720">
              <w:rPr>
                <w:rFonts w:ascii="Times New Roman" w:hAnsi="Times New Roman" w:cs="Times New Roman"/>
                <w:sz w:val="18"/>
                <w:szCs w:val="18"/>
                <w:lang w:val="de-DE"/>
              </w:rPr>
              <w:t>-</w:t>
            </w:r>
            <w:r w:rsidR="005F4D08" w:rsidRPr="00402720">
              <w:rPr>
                <w:rFonts w:ascii="Times New Roman" w:hAnsi="Times New Roman" w:cs="Times New Roman"/>
                <w:sz w:val="18"/>
                <w:szCs w:val="18"/>
                <w:lang w:val="de-DE"/>
              </w:rPr>
              <w:t>giopathie</w:t>
            </w:r>
            <w:r w:rsidR="005F4D08" w:rsidRPr="00402720">
              <w:rPr>
                <w:rFonts w:ascii="Times New Roman" w:hAnsi="Times New Roman" w:cs="Times New Roman"/>
                <w:sz w:val="18"/>
                <w:szCs w:val="18"/>
                <w:vertAlign w:val="superscript"/>
                <w:lang w:val="de-DE"/>
              </w:rPr>
              <w:t>a,</w:t>
            </w:r>
            <w:r w:rsidR="00B207B4" w:rsidRPr="00402720">
              <w:rPr>
                <w:rFonts w:ascii="Times New Roman" w:hAnsi="Times New Roman" w:cs="Times New Roman"/>
                <w:sz w:val="18"/>
                <w:szCs w:val="18"/>
                <w:vertAlign w:val="superscript"/>
                <w:lang w:val="de-DE"/>
              </w:rPr>
              <w:t xml:space="preserve"> </w:t>
            </w:r>
            <w:r w:rsidR="005F4D08" w:rsidRPr="00402720">
              <w:rPr>
                <w:rFonts w:ascii="Times New Roman" w:hAnsi="Times New Roman" w:cs="Times New Roman"/>
                <w:sz w:val="18"/>
                <w:szCs w:val="18"/>
                <w:vertAlign w:val="superscript"/>
                <w:lang w:val="de-DE"/>
              </w:rPr>
              <w:t>b</w:t>
            </w:r>
            <w:r w:rsidR="00290CB0" w:rsidRPr="00402720">
              <w:rPr>
                <w:rFonts w:ascii="Times New Roman" w:hAnsi="Times New Roman" w:cs="Times New Roman"/>
                <w:sz w:val="18"/>
                <w:szCs w:val="18"/>
                <w:lang w:val="de-DE"/>
              </w:rPr>
              <w:t>,</w:t>
            </w:r>
          </w:p>
          <w:p w14:paraId="2BC00A0E" w14:textId="23B78F3D" w:rsidR="005F4D08" w:rsidRPr="00402720" w:rsidRDefault="00290CB0" w:rsidP="00402720">
            <w:pPr>
              <w:keepNext/>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Aneurysmen und Arterien</w:t>
            </w:r>
            <w:r w:rsidR="00997D6D"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dissektionen</w:t>
            </w:r>
          </w:p>
        </w:tc>
      </w:tr>
      <w:tr w:rsidR="00A12938" w:rsidRPr="002A434E" w14:paraId="47BC2016"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39AC53B5"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der</w:t>
            </w:r>
          </w:p>
          <w:p w14:paraId="231424F1"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Atemwege, des Brust-</w:t>
            </w:r>
          </w:p>
          <w:p w14:paraId="56D9FCDA"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raums und</w:t>
            </w:r>
          </w:p>
          <w:p w14:paraId="03C62618"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Mediastinums </w:t>
            </w:r>
          </w:p>
        </w:tc>
        <w:tc>
          <w:tcPr>
            <w:tcW w:w="755" w:type="pct"/>
            <w:tcBorders>
              <w:top w:val="single" w:sz="4" w:space="0" w:color="000000"/>
              <w:left w:val="single" w:sz="4" w:space="0" w:color="000000"/>
              <w:bottom w:val="single" w:sz="4" w:space="0" w:color="000000"/>
              <w:right w:val="single" w:sz="4" w:space="0" w:color="000000"/>
            </w:tcBorders>
          </w:tcPr>
          <w:p w14:paraId="63B01399"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Dyspnoe,</w:t>
            </w:r>
          </w:p>
          <w:p w14:paraId="74ECCD37"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Rhinitis,</w:t>
            </w:r>
          </w:p>
          <w:p w14:paraId="3B89A1C1" w14:textId="77777777" w:rsidR="00956EA1" w:rsidRPr="00402720" w:rsidRDefault="00956EA1"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Epistaxis,</w:t>
            </w:r>
          </w:p>
          <w:p w14:paraId="2A0F3CCF"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Husten </w:t>
            </w:r>
          </w:p>
        </w:tc>
        <w:tc>
          <w:tcPr>
            <w:tcW w:w="922" w:type="pct"/>
            <w:tcBorders>
              <w:top w:val="single" w:sz="4" w:space="0" w:color="000000"/>
              <w:left w:val="single" w:sz="4" w:space="0" w:color="000000"/>
              <w:bottom w:val="single" w:sz="4" w:space="0" w:color="000000"/>
              <w:right w:val="single" w:sz="4" w:space="0" w:color="000000"/>
            </w:tcBorders>
          </w:tcPr>
          <w:p w14:paraId="05BC576C" w14:textId="3DBC8D89"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Lungeneinblutung</w:t>
            </w:r>
            <w:r w:rsidR="00B9697F"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w:t>
            </w:r>
            <w:r w:rsidR="00B9697F"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Bluthusten</w:t>
            </w:r>
            <w:r w:rsidRPr="00402720">
              <w:rPr>
                <w:rFonts w:ascii="Times New Roman" w:hAnsi="Times New Roman" w:cs="Times New Roman"/>
                <w:sz w:val="18"/>
                <w:szCs w:val="18"/>
                <w:vertAlign w:val="superscript"/>
                <w:lang w:val="de-DE"/>
              </w:rPr>
              <w:t>b,</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d</w:t>
            </w:r>
            <w:r w:rsidRPr="00402720">
              <w:rPr>
                <w:rFonts w:ascii="Times New Roman" w:hAnsi="Times New Roman" w:cs="Times New Roman"/>
                <w:sz w:val="18"/>
                <w:szCs w:val="18"/>
                <w:lang w:val="de-DE"/>
              </w:rPr>
              <w:t>,</w:t>
            </w:r>
          </w:p>
          <w:p w14:paraId="257279BE"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Lungenembolie,</w:t>
            </w:r>
          </w:p>
          <w:p w14:paraId="33B527A5"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Hypoxie,</w:t>
            </w:r>
          </w:p>
          <w:p w14:paraId="47BEB291"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Dysphonie</w:t>
            </w:r>
            <w:r w:rsidRPr="00402720">
              <w:rPr>
                <w:rFonts w:ascii="Times New Roman" w:hAnsi="Times New Roman" w:cs="Times New Roman"/>
                <w:sz w:val="18"/>
                <w:szCs w:val="18"/>
                <w:vertAlign w:val="superscript"/>
                <w:lang w:val="de-DE"/>
              </w:rPr>
              <w:t>a</w:t>
            </w:r>
            <w:r w:rsidRPr="00402720">
              <w:rPr>
                <w:rFonts w:ascii="Times New Roman" w:hAnsi="Times New Roman" w:cs="Times New Roman"/>
                <w:sz w:val="18"/>
                <w:szCs w:val="18"/>
                <w:lang w:val="de-DE"/>
              </w:rPr>
              <w:t xml:space="preserve"> </w:t>
            </w:r>
          </w:p>
        </w:tc>
        <w:tc>
          <w:tcPr>
            <w:tcW w:w="366" w:type="pct"/>
            <w:tcBorders>
              <w:top w:val="single" w:sz="4" w:space="0" w:color="000000"/>
              <w:left w:val="single" w:sz="4" w:space="0" w:color="000000"/>
              <w:bottom w:val="single" w:sz="4" w:space="0" w:color="000000"/>
              <w:right w:val="single" w:sz="4" w:space="0" w:color="000000"/>
            </w:tcBorders>
          </w:tcPr>
          <w:p w14:paraId="79D54568"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609" w:type="pct"/>
            <w:tcBorders>
              <w:top w:val="single" w:sz="4" w:space="0" w:color="000000"/>
              <w:left w:val="single" w:sz="4" w:space="0" w:color="000000"/>
              <w:bottom w:val="single" w:sz="4" w:space="0" w:color="000000"/>
              <w:right w:val="single" w:sz="4" w:space="0" w:color="000000"/>
            </w:tcBorders>
          </w:tcPr>
          <w:p w14:paraId="05D493BB"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533" w:type="pct"/>
            <w:tcBorders>
              <w:top w:val="single" w:sz="4" w:space="0" w:color="000000"/>
              <w:left w:val="single" w:sz="4" w:space="0" w:color="000000"/>
              <w:bottom w:val="single" w:sz="4" w:space="0" w:color="000000"/>
              <w:right w:val="single" w:sz="4" w:space="0" w:color="000000"/>
            </w:tcBorders>
          </w:tcPr>
          <w:p w14:paraId="4734249B"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818" w:type="pct"/>
            <w:tcBorders>
              <w:top w:val="single" w:sz="4" w:space="0" w:color="000000"/>
              <w:left w:val="single" w:sz="4" w:space="0" w:color="000000"/>
              <w:bottom w:val="single" w:sz="4" w:space="0" w:color="000000"/>
              <w:right w:val="single" w:sz="4" w:space="0" w:color="000000"/>
            </w:tcBorders>
          </w:tcPr>
          <w:p w14:paraId="146DAE32" w14:textId="2D931ACD"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pulmonale</w:t>
            </w:r>
            <w:r w:rsidR="003F24E6"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Hypertonie</w:t>
            </w:r>
            <w:r w:rsidRPr="00402720">
              <w:rPr>
                <w:rFonts w:ascii="Times New Roman" w:hAnsi="Times New Roman" w:cs="Times New Roman"/>
                <w:sz w:val="18"/>
                <w:szCs w:val="18"/>
                <w:vertAlign w:val="superscript"/>
                <w:lang w:val="de-DE"/>
              </w:rPr>
              <w:t>a</w:t>
            </w:r>
            <w:r w:rsidRPr="00402720">
              <w:rPr>
                <w:rFonts w:ascii="Times New Roman" w:hAnsi="Times New Roman" w:cs="Times New Roman"/>
                <w:sz w:val="18"/>
                <w:szCs w:val="18"/>
                <w:lang w:val="de-DE"/>
              </w:rPr>
              <w:t>,</w:t>
            </w:r>
          </w:p>
          <w:p w14:paraId="4EC07101" w14:textId="7254FF51" w:rsidR="005F4D08" w:rsidRPr="00402720" w:rsidRDefault="00905DBC"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Perforation der Nasen</w:t>
            </w:r>
            <w:r w:rsidR="005F4D08" w:rsidRPr="00402720">
              <w:rPr>
                <w:rFonts w:ascii="Times New Roman" w:hAnsi="Times New Roman" w:cs="Times New Roman"/>
                <w:sz w:val="18"/>
                <w:szCs w:val="18"/>
                <w:lang w:val="de-DE"/>
              </w:rPr>
              <w:t>scheide</w:t>
            </w:r>
            <w:r w:rsidR="00997D6D" w:rsidRPr="00402720">
              <w:rPr>
                <w:rFonts w:ascii="Times New Roman" w:hAnsi="Times New Roman" w:cs="Times New Roman"/>
                <w:sz w:val="18"/>
                <w:szCs w:val="18"/>
                <w:lang w:val="de-DE"/>
              </w:rPr>
              <w:t>-</w:t>
            </w:r>
            <w:r w:rsidR="005F4D08" w:rsidRPr="00402720">
              <w:rPr>
                <w:rFonts w:ascii="Times New Roman" w:hAnsi="Times New Roman" w:cs="Times New Roman"/>
                <w:sz w:val="18"/>
                <w:szCs w:val="18"/>
                <w:lang w:val="de-DE"/>
              </w:rPr>
              <w:t>wand</w:t>
            </w:r>
            <w:r w:rsidR="005F4D08" w:rsidRPr="00402720">
              <w:rPr>
                <w:rFonts w:ascii="Times New Roman" w:hAnsi="Times New Roman" w:cs="Times New Roman"/>
                <w:sz w:val="18"/>
                <w:szCs w:val="18"/>
                <w:vertAlign w:val="superscript"/>
                <w:lang w:val="de-DE"/>
              </w:rPr>
              <w:t>a</w:t>
            </w:r>
          </w:p>
        </w:tc>
      </w:tr>
      <w:tr w:rsidR="00A12938" w:rsidRPr="00402720" w14:paraId="1B5FCE01"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1727B4FA"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des</w:t>
            </w:r>
            <w:r w:rsidR="00905DBC"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 xml:space="preserve">Gastrointestinaltrakts </w:t>
            </w:r>
          </w:p>
        </w:tc>
        <w:tc>
          <w:tcPr>
            <w:tcW w:w="755" w:type="pct"/>
            <w:tcBorders>
              <w:top w:val="single" w:sz="4" w:space="0" w:color="000000"/>
              <w:left w:val="single" w:sz="4" w:space="0" w:color="000000"/>
              <w:bottom w:val="single" w:sz="4" w:space="0" w:color="000000"/>
              <w:right w:val="single" w:sz="4" w:space="0" w:color="000000"/>
            </w:tcBorders>
          </w:tcPr>
          <w:p w14:paraId="69568B26"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Rektalblutung,</w:t>
            </w:r>
          </w:p>
          <w:p w14:paraId="382510B7"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Stomatitis,</w:t>
            </w:r>
          </w:p>
          <w:p w14:paraId="00FF0324"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Verstopfung,</w:t>
            </w:r>
          </w:p>
          <w:p w14:paraId="52283A91"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Diarrhö,</w:t>
            </w:r>
          </w:p>
          <w:p w14:paraId="6C5BB93F"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Übelkeit,</w:t>
            </w:r>
          </w:p>
          <w:p w14:paraId="15DE92C3"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Erbrechen,</w:t>
            </w:r>
          </w:p>
          <w:p w14:paraId="16B0F379"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Bauch</w:t>
            </w:r>
            <w:r w:rsidR="00203E14"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 xml:space="preserve">schmerzen </w:t>
            </w:r>
          </w:p>
        </w:tc>
        <w:tc>
          <w:tcPr>
            <w:tcW w:w="922" w:type="pct"/>
            <w:tcBorders>
              <w:top w:val="single" w:sz="4" w:space="0" w:color="000000"/>
              <w:left w:val="single" w:sz="4" w:space="0" w:color="000000"/>
              <w:bottom w:val="single" w:sz="4" w:space="0" w:color="000000"/>
              <w:right w:val="single" w:sz="4" w:space="0" w:color="000000"/>
            </w:tcBorders>
          </w:tcPr>
          <w:p w14:paraId="1D791804" w14:textId="77777777" w:rsidR="005F4D08" w:rsidRPr="00E66954" w:rsidRDefault="005F4D08" w:rsidP="00402720">
            <w:pPr>
              <w:suppressAutoHyphens/>
              <w:spacing w:after="0" w:line="240" w:lineRule="auto"/>
              <w:rPr>
                <w:rFonts w:ascii="Times New Roman" w:hAnsi="Times New Roman" w:cs="Times New Roman"/>
                <w:sz w:val="18"/>
                <w:szCs w:val="18"/>
                <w:lang w:val="da-DK"/>
              </w:rPr>
            </w:pPr>
            <w:r w:rsidRPr="00E66954">
              <w:rPr>
                <w:rFonts w:ascii="Times New Roman" w:hAnsi="Times New Roman" w:cs="Times New Roman"/>
                <w:sz w:val="18"/>
                <w:szCs w:val="18"/>
                <w:lang w:val="da-DK"/>
              </w:rPr>
              <w:t>Magen-Darm-Perforation</w:t>
            </w:r>
            <w:r w:rsidRPr="00E66954">
              <w:rPr>
                <w:rFonts w:ascii="Times New Roman" w:hAnsi="Times New Roman" w:cs="Times New Roman"/>
                <w:sz w:val="18"/>
                <w:szCs w:val="18"/>
                <w:vertAlign w:val="superscript"/>
                <w:lang w:val="da-DK"/>
              </w:rPr>
              <w:t>b,</w:t>
            </w:r>
            <w:r w:rsidR="00B207B4" w:rsidRPr="00E66954">
              <w:rPr>
                <w:rFonts w:ascii="Times New Roman" w:hAnsi="Times New Roman" w:cs="Times New Roman"/>
                <w:sz w:val="18"/>
                <w:szCs w:val="18"/>
                <w:vertAlign w:val="superscript"/>
                <w:lang w:val="da-DK"/>
              </w:rPr>
              <w:t xml:space="preserve"> </w:t>
            </w:r>
            <w:r w:rsidRPr="00E66954">
              <w:rPr>
                <w:rFonts w:ascii="Times New Roman" w:hAnsi="Times New Roman" w:cs="Times New Roman"/>
                <w:sz w:val="18"/>
                <w:szCs w:val="18"/>
                <w:vertAlign w:val="superscript"/>
                <w:lang w:val="da-DK"/>
              </w:rPr>
              <w:t>d</w:t>
            </w:r>
            <w:r w:rsidRPr="00E66954">
              <w:rPr>
                <w:rFonts w:ascii="Times New Roman" w:hAnsi="Times New Roman" w:cs="Times New Roman"/>
                <w:sz w:val="18"/>
                <w:szCs w:val="18"/>
                <w:lang w:val="da-DK"/>
              </w:rPr>
              <w:t>,</w:t>
            </w:r>
          </w:p>
          <w:p w14:paraId="499B07A0" w14:textId="77777777" w:rsidR="005F4D08" w:rsidRPr="00E66954" w:rsidRDefault="005F4D08" w:rsidP="00402720">
            <w:pPr>
              <w:suppressAutoHyphens/>
              <w:spacing w:after="0" w:line="240" w:lineRule="auto"/>
              <w:rPr>
                <w:rFonts w:ascii="Times New Roman" w:hAnsi="Times New Roman" w:cs="Times New Roman"/>
                <w:sz w:val="18"/>
                <w:szCs w:val="18"/>
                <w:lang w:val="da-DK"/>
              </w:rPr>
            </w:pPr>
            <w:r w:rsidRPr="00E66954">
              <w:rPr>
                <w:rFonts w:ascii="Times New Roman" w:hAnsi="Times New Roman" w:cs="Times New Roman"/>
                <w:sz w:val="18"/>
                <w:szCs w:val="18"/>
                <w:lang w:val="da-DK"/>
              </w:rPr>
              <w:t>Darm-Perforation,</w:t>
            </w:r>
          </w:p>
          <w:p w14:paraId="5B806B7A" w14:textId="77777777" w:rsidR="005F5D90" w:rsidRPr="00402720" w:rsidRDefault="005F5D90"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Ileus,</w:t>
            </w:r>
          </w:p>
          <w:p w14:paraId="44CBE50C" w14:textId="44874129" w:rsidR="004B4070" w:rsidRPr="00402720" w:rsidRDefault="00CA0A38" w:rsidP="00402720">
            <w:pPr>
              <w:suppressAutoHyphens/>
              <w:spacing w:after="0" w:line="240" w:lineRule="auto"/>
              <w:rPr>
                <w:rFonts w:ascii="Times New Roman" w:hAnsi="Times New Roman" w:cs="Times New Roman"/>
                <w:sz w:val="18"/>
                <w:szCs w:val="18"/>
                <w:lang w:val="de-DE"/>
              </w:rPr>
            </w:pPr>
            <w:r>
              <w:rPr>
                <w:rFonts w:ascii="Times New Roman" w:hAnsi="Times New Roman" w:cs="Times New Roman"/>
                <w:sz w:val="18"/>
                <w:szCs w:val="18"/>
                <w:lang w:val="de-DE"/>
              </w:rPr>
              <w:t>i</w:t>
            </w:r>
            <w:r w:rsidR="005F4D08" w:rsidRPr="00402720">
              <w:rPr>
                <w:rFonts w:ascii="Times New Roman" w:hAnsi="Times New Roman" w:cs="Times New Roman"/>
                <w:sz w:val="18"/>
                <w:szCs w:val="18"/>
                <w:lang w:val="de-DE"/>
              </w:rPr>
              <w:t>ntestinale</w:t>
            </w:r>
            <w:r w:rsidR="005F5D90" w:rsidRPr="00402720">
              <w:rPr>
                <w:rFonts w:ascii="Times New Roman" w:hAnsi="Times New Roman" w:cs="Times New Roman"/>
                <w:sz w:val="18"/>
                <w:szCs w:val="18"/>
                <w:lang w:val="de-DE"/>
              </w:rPr>
              <w:t xml:space="preserve"> </w:t>
            </w:r>
            <w:r w:rsidR="005F4D08" w:rsidRPr="00402720">
              <w:rPr>
                <w:rFonts w:ascii="Times New Roman" w:hAnsi="Times New Roman" w:cs="Times New Roman"/>
                <w:sz w:val="18"/>
                <w:szCs w:val="18"/>
                <w:lang w:val="de-DE"/>
              </w:rPr>
              <w:t>Obstruktion,</w:t>
            </w:r>
          </w:p>
          <w:p w14:paraId="68A805CD" w14:textId="7F77F912"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rektovaginale Fisteln</w:t>
            </w:r>
            <w:r w:rsidRPr="00402720">
              <w:rPr>
                <w:rFonts w:ascii="Times New Roman" w:hAnsi="Times New Roman" w:cs="Times New Roman"/>
                <w:sz w:val="18"/>
                <w:szCs w:val="18"/>
                <w:vertAlign w:val="superscript"/>
                <w:lang w:val="de-DE"/>
              </w:rPr>
              <w:t>d,</w:t>
            </w:r>
            <w:r w:rsidR="00886BE0"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e</w:t>
            </w:r>
            <w:r w:rsidRPr="00402720">
              <w:rPr>
                <w:rFonts w:ascii="Times New Roman" w:hAnsi="Times New Roman" w:cs="Times New Roman"/>
                <w:sz w:val="18"/>
                <w:szCs w:val="18"/>
                <w:lang w:val="de-DE"/>
              </w:rPr>
              <w:t>,</w:t>
            </w:r>
          </w:p>
          <w:p w14:paraId="10F38B8D"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 des</w:t>
            </w:r>
            <w:r w:rsidR="00905DBC"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Gastrointes</w:t>
            </w:r>
            <w:r w:rsidR="001574B1"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tinaltrakts,</w:t>
            </w:r>
          </w:p>
          <w:p w14:paraId="6A3D6049" w14:textId="77777777" w:rsidR="005F4D08" w:rsidRPr="00402720" w:rsidRDefault="003A4E2E"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Proktalgie</w:t>
            </w:r>
          </w:p>
        </w:tc>
        <w:tc>
          <w:tcPr>
            <w:tcW w:w="366" w:type="pct"/>
            <w:tcBorders>
              <w:top w:val="single" w:sz="4" w:space="0" w:color="000000"/>
              <w:left w:val="single" w:sz="4" w:space="0" w:color="000000"/>
              <w:bottom w:val="single" w:sz="4" w:space="0" w:color="000000"/>
              <w:right w:val="single" w:sz="4" w:space="0" w:color="000000"/>
            </w:tcBorders>
          </w:tcPr>
          <w:p w14:paraId="4FA3B5F9"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609" w:type="pct"/>
            <w:tcBorders>
              <w:top w:val="single" w:sz="4" w:space="0" w:color="000000"/>
              <w:left w:val="single" w:sz="4" w:space="0" w:color="000000"/>
              <w:bottom w:val="single" w:sz="4" w:space="0" w:color="000000"/>
              <w:right w:val="single" w:sz="4" w:space="0" w:color="000000"/>
            </w:tcBorders>
          </w:tcPr>
          <w:p w14:paraId="5688E90C"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533" w:type="pct"/>
            <w:tcBorders>
              <w:top w:val="single" w:sz="4" w:space="0" w:color="000000"/>
              <w:left w:val="single" w:sz="4" w:space="0" w:color="000000"/>
              <w:bottom w:val="single" w:sz="4" w:space="0" w:color="000000"/>
              <w:right w:val="single" w:sz="4" w:space="0" w:color="000000"/>
            </w:tcBorders>
          </w:tcPr>
          <w:p w14:paraId="5D615829"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818" w:type="pct"/>
            <w:tcBorders>
              <w:top w:val="single" w:sz="4" w:space="0" w:color="000000"/>
              <w:left w:val="single" w:sz="4" w:space="0" w:color="000000"/>
              <w:bottom w:val="single" w:sz="4" w:space="0" w:color="000000"/>
              <w:right w:val="single" w:sz="4" w:space="0" w:color="000000"/>
            </w:tcBorders>
          </w:tcPr>
          <w:p w14:paraId="7A7FFED3"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Magen</w:t>
            </w:r>
            <w:r w:rsidR="00033DAC"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Darm-Ulzera</w:t>
            </w:r>
            <w:r w:rsidRPr="00402720">
              <w:rPr>
                <w:rFonts w:ascii="Times New Roman" w:hAnsi="Times New Roman" w:cs="Times New Roman"/>
                <w:sz w:val="18"/>
                <w:szCs w:val="18"/>
                <w:vertAlign w:val="superscript"/>
                <w:lang w:val="de-DE"/>
              </w:rPr>
              <w:t>a</w:t>
            </w:r>
            <w:r w:rsidRPr="00402720">
              <w:rPr>
                <w:rFonts w:ascii="Times New Roman" w:hAnsi="Times New Roman" w:cs="Times New Roman"/>
                <w:sz w:val="18"/>
                <w:szCs w:val="18"/>
                <w:lang w:val="de-DE"/>
              </w:rPr>
              <w:t xml:space="preserve"> </w:t>
            </w:r>
          </w:p>
        </w:tc>
      </w:tr>
      <w:tr w:rsidR="00A12938" w:rsidRPr="00402720" w14:paraId="33070BAA"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456EBED3"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Leber- und</w:t>
            </w:r>
            <w:r w:rsidR="00905DBC"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 xml:space="preserve">Gallenerkrankungen </w:t>
            </w:r>
          </w:p>
        </w:tc>
        <w:tc>
          <w:tcPr>
            <w:tcW w:w="755" w:type="pct"/>
            <w:tcBorders>
              <w:top w:val="single" w:sz="4" w:space="0" w:color="000000"/>
              <w:left w:val="single" w:sz="4" w:space="0" w:color="000000"/>
              <w:bottom w:val="single" w:sz="4" w:space="0" w:color="000000"/>
              <w:right w:val="single" w:sz="4" w:space="0" w:color="000000"/>
            </w:tcBorders>
          </w:tcPr>
          <w:p w14:paraId="449B82EA"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922" w:type="pct"/>
            <w:tcBorders>
              <w:top w:val="single" w:sz="4" w:space="0" w:color="000000"/>
              <w:left w:val="single" w:sz="4" w:space="0" w:color="000000"/>
              <w:bottom w:val="single" w:sz="4" w:space="0" w:color="000000"/>
              <w:right w:val="single" w:sz="4" w:space="0" w:color="000000"/>
            </w:tcBorders>
          </w:tcPr>
          <w:p w14:paraId="1CFA11D1"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366" w:type="pct"/>
            <w:tcBorders>
              <w:top w:val="single" w:sz="4" w:space="0" w:color="000000"/>
              <w:left w:val="single" w:sz="4" w:space="0" w:color="000000"/>
              <w:bottom w:val="single" w:sz="4" w:space="0" w:color="000000"/>
              <w:right w:val="single" w:sz="4" w:space="0" w:color="000000"/>
            </w:tcBorders>
          </w:tcPr>
          <w:p w14:paraId="408A4B5A"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609" w:type="pct"/>
            <w:tcBorders>
              <w:top w:val="single" w:sz="4" w:space="0" w:color="000000"/>
              <w:left w:val="single" w:sz="4" w:space="0" w:color="000000"/>
              <w:bottom w:val="single" w:sz="4" w:space="0" w:color="000000"/>
              <w:right w:val="single" w:sz="4" w:space="0" w:color="000000"/>
            </w:tcBorders>
          </w:tcPr>
          <w:p w14:paraId="1479A007"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533" w:type="pct"/>
            <w:tcBorders>
              <w:top w:val="single" w:sz="4" w:space="0" w:color="000000"/>
              <w:left w:val="single" w:sz="4" w:space="0" w:color="000000"/>
              <w:bottom w:val="single" w:sz="4" w:space="0" w:color="000000"/>
              <w:right w:val="single" w:sz="4" w:space="0" w:color="000000"/>
            </w:tcBorders>
          </w:tcPr>
          <w:p w14:paraId="18FCE857"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818" w:type="pct"/>
            <w:tcBorders>
              <w:top w:val="single" w:sz="4" w:space="0" w:color="000000"/>
              <w:left w:val="single" w:sz="4" w:space="0" w:color="000000"/>
              <w:bottom w:val="single" w:sz="4" w:space="0" w:color="000000"/>
              <w:right w:val="single" w:sz="4" w:space="0" w:color="000000"/>
            </w:tcBorders>
          </w:tcPr>
          <w:p w14:paraId="396A0322" w14:textId="72F99182"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Gallenblasen</w:t>
            </w:r>
            <w:r w:rsidR="00997D6D"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perforation</w:t>
            </w:r>
            <w:r w:rsidRPr="00402720">
              <w:rPr>
                <w:rFonts w:ascii="Times New Roman" w:hAnsi="Times New Roman" w:cs="Times New Roman"/>
                <w:sz w:val="18"/>
                <w:szCs w:val="18"/>
                <w:vertAlign w:val="superscript"/>
                <w:lang w:val="de-DE"/>
              </w:rPr>
              <w:t>a,</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 xml:space="preserve"> </w:t>
            </w:r>
          </w:p>
        </w:tc>
      </w:tr>
      <w:tr w:rsidR="00A12938" w:rsidRPr="00402720" w14:paraId="733E6F66"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30574A35" w14:textId="058E87A8" w:rsidR="005F4D08" w:rsidRPr="00402720" w:rsidRDefault="005F4D08" w:rsidP="00F841A9">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lastRenderedPageBreak/>
              <w:t>Erkrankungen der Haut und des</w:t>
            </w:r>
            <w:r w:rsidR="003A4E2E"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 xml:space="preserve">Unterhautgewebes </w:t>
            </w:r>
          </w:p>
        </w:tc>
        <w:tc>
          <w:tcPr>
            <w:tcW w:w="755" w:type="pct"/>
            <w:tcBorders>
              <w:top w:val="single" w:sz="4" w:space="0" w:color="000000"/>
              <w:left w:val="single" w:sz="4" w:space="0" w:color="000000"/>
              <w:bottom w:val="single" w:sz="4" w:space="0" w:color="000000"/>
              <w:right w:val="single" w:sz="4" w:space="0" w:color="000000"/>
            </w:tcBorders>
          </w:tcPr>
          <w:p w14:paraId="1FC697BE" w14:textId="77777777" w:rsidR="00577E49" w:rsidRPr="00402720" w:rsidRDefault="0038118F" w:rsidP="00F841A9">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Wundheilungs</w:t>
            </w:r>
            <w:r w:rsidR="00203E14" w:rsidRPr="00402720">
              <w:rPr>
                <w:rFonts w:ascii="Times New Roman" w:hAnsi="Times New Roman" w:cs="Times New Roman"/>
                <w:sz w:val="18"/>
                <w:szCs w:val="18"/>
                <w:lang w:val="de-DE"/>
              </w:rPr>
              <w:t>-</w:t>
            </w:r>
            <w:r w:rsidR="005F4D08" w:rsidRPr="00402720">
              <w:rPr>
                <w:rFonts w:ascii="Times New Roman" w:hAnsi="Times New Roman" w:cs="Times New Roman"/>
                <w:sz w:val="18"/>
                <w:szCs w:val="18"/>
                <w:lang w:val="de-DE"/>
              </w:rPr>
              <w:t>störungen</w:t>
            </w:r>
            <w:r w:rsidR="005F4D08" w:rsidRPr="00402720">
              <w:rPr>
                <w:rFonts w:ascii="Times New Roman" w:hAnsi="Times New Roman" w:cs="Times New Roman"/>
                <w:sz w:val="18"/>
                <w:szCs w:val="18"/>
                <w:vertAlign w:val="superscript"/>
                <w:lang w:val="de-DE"/>
              </w:rPr>
              <w:t>b,</w:t>
            </w:r>
            <w:r w:rsidR="00B207B4" w:rsidRPr="00402720">
              <w:rPr>
                <w:rFonts w:ascii="Times New Roman" w:hAnsi="Times New Roman" w:cs="Times New Roman"/>
                <w:sz w:val="18"/>
                <w:szCs w:val="18"/>
                <w:vertAlign w:val="superscript"/>
                <w:lang w:val="de-DE"/>
              </w:rPr>
              <w:t xml:space="preserve"> </w:t>
            </w:r>
            <w:r w:rsidR="005F4D08" w:rsidRPr="00402720">
              <w:rPr>
                <w:rFonts w:ascii="Times New Roman" w:hAnsi="Times New Roman" w:cs="Times New Roman"/>
                <w:sz w:val="18"/>
                <w:szCs w:val="18"/>
                <w:vertAlign w:val="superscript"/>
                <w:lang w:val="de-DE"/>
              </w:rPr>
              <w:t>d</w:t>
            </w:r>
            <w:r w:rsidR="00577E49" w:rsidRPr="00402720">
              <w:rPr>
                <w:rFonts w:ascii="Times New Roman" w:hAnsi="Times New Roman" w:cs="Times New Roman"/>
                <w:sz w:val="18"/>
                <w:szCs w:val="18"/>
                <w:lang w:val="de-DE"/>
              </w:rPr>
              <w:t>,</w:t>
            </w:r>
          </w:p>
          <w:p w14:paraId="4F2149E1" w14:textId="389B1622" w:rsidR="00577E49" w:rsidRPr="00402720" w:rsidRDefault="005F4D08" w:rsidP="00F841A9">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exfoliative</w:t>
            </w:r>
            <w:r w:rsidR="001316BF" w:rsidRPr="00402720">
              <w:rPr>
                <w:rFonts w:ascii="Times New Roman" w:hAnsi="Times New Roman" w:cs="Times New Roman"/>
                <w:sz w:val="18"/>
                <w:szCs w:val="18"/>
                <w:lang w:val="de-DE"/>
              </w:rPr>
              <w:t xml:space="preserve"> </w:t>
            </w:r>
            <w:r w:rsidR="00577E49" w:rsidRPr="00402720">
              <w:rPr>
                <w:rFonts w:ascii="Times New Roman" w:hAnsi="Times New Roman" w:cs="Times New Roman"/>
                <w:sz w:val="18"/>
                <w:szCs w:val="18"/>
                <w:lang w:val="de-DE"/>
              </w:rPr>
              <w:t>Dermatitis,</w:t>
            </w:r>
          </w:p>
          <w:p w14:paraId="4B1C1348" w14:textId="77777777" w:rsidR="005F4D08" w:rsidRPr="00402720" w:rsidRDefault="005F4D08" w:rsidP="00F841A9">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trockene Haut,</w:t>
            </w:r>
          </w:p>
          <w:p w14:paraId="0F1C8322" w14:textId="77777777" w:rsidR="005F4D08" w:rsidRPr="00402720" w:rsidRDefault="005F4D08" w:rsidP="00F841A9">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Hautverfärbung </w:t>
            </w:r>
          </w:p>
        </w:tc>
        <w:tc>
          <w:tcPr>
            <w:tcW w:w="922" w:type="pct"/>
            <w:tcBorders>
              <w:top w:val="single" w:sz="4" w:space="0" w:color="000000"/>
              <w:left w:val="single" w:sz="4" w:space="0" w:color="000000"/>
              <w:bottom w:val="single" w:sz="4" w:space="0" w:color="000000"/>
              <w:right w:val="single" w:sz="4" w:space="0" w:color="000000"/>
            </w:tcBorders>
          </w:tcPr>
          <w:p w14:paraId="53DF57E3" w14:textId="77777777" w:rsidR="005F4D08" w:rsidRPr="00402720" w:rsidRDefault="005F4D08" w:rsidP="00E66954">
            <w:pPr>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palmoplantares</w:t>
            </w:r>
          </w:p>
          <w:p w14:paraId="3A3B8392" w14:textId="47F6E510" w:rsidR="005F4D08" w:rsidRPr="00402720" w:rsidRDefault="005F4D08" w:rsidP="00E66954">
            <w:pPr>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Erythrodysästhesie</w:t>
            </w:r>
            <w:r w:rsidR="00B207B4" w:rsidRPr="00402720">
              <w:rPr>
                <w:rFonts w:ascii="Times New Roman" w:hAnsi="Times New Roman" w:cs="Times New Roman"/>
                <w:sz w:val="18"/>
                <w:szCs w:val="18"/>
                <w:lang w:val="de-DE"/>
              </w:rPr>
              <w:t>-</w:t>
            </w:r>
            <w:r w:rsidR="009436DB"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Syndrom</w:t>
            </w:r>
          </w:p>
        </w:tc>
        <w:tc>
          <w:tcPr>
            <w:tcW w:w="366" w:type="pct"/>
          </w:tcPr>
          <w:p w14:paraId="1833454B" w14:textId="77777777" w:rsidR="005F4D08" w:rsidRPr="00402720" w:rsidRDefault="005F4D08" w:rsidP="00E66954">
            <w:pPr>
              <w:keepLines/>
              <w:suppressAutoHyphens/>
              <w:spacing w:after="0" w:line="240" w:lineRule="auto"/>
              <w:rPr>
                <w:rFonts w:ascii="Times New Roman" w:hAnsi="Times New Roman" w:cs="Times New Roman"/>
                <w:sz w:val="18"/>
                <w:szCs w:val="18"/>
                <w:lang w:val="de-DE"/>
              </w:rPr>
            </w:pPr>
          </w:p>
        </w:tc>
        <w:tc>
          <w:tcPr>
            <w:tcW w:w="609" w:type="pct"/>
          </w:tcPr>
          <w:p w14:paraId="01F60C24" w14:textId="77777777" w:rsidR="005F4D08" w:rsidRPr="00402720" w:rsidRDefault="005F4D08" w:rsidP="00E66954">
            <w:pPr>
              <w:keepLines/>
              <w:suppressAutoHyphens/>
              <w:spacing w:after="0" w:line="240" w:lineRule="auto"/>
              <w:rPr>
                <w:rFonts w:ascii="Times New Roman" w:hAnsi="Times New Roman" w:cs="Times New Roman"/>
                <w:sz w:val="18"/>
                <w:szCs w:val="18"/>
                <w:lang w:val="de-DE"/>
              </w:rPr>
            </w:pPr>
          </w:p>
        </w:tc>
        <w:tc>
          <w:tcPr>
            <w:tcW w:w="533" w:type="pct"/>
          </w:tcPr>
          <w:p w14:paraId="573C75E7" w14:textId="77777777" w:rsidR="005F4D08" w:rsidRPr="00402720" w:rsidRDefault="005F4D08" w:rsidP="00E66954">
            <w:pPr>
              <w:keepLines/>
              <w:suppressAutoHyphens/>
              <w:spacing w:after="0" w:line="240" w:lineRule="auto"/>
              <w:rPr>
                <w:rFonts w:ascii="Times New Roman" w:hAnsi="Times New Roman" w:cs="Times New Roman"/>
                <w:sz w:val="18"/>
                <w:szCs w:val="18"/>
                <w:lang w:val="de-DE"/>
              </w:rPr>
            </w:pPr>
          </w:p>
        </w:tc>
        <w:tc>
          <w:tcPr>
            <w:tcW w:w="818" w:type="pct"/>
          </w:tcPr>
          <w:p w14:paraId="4583FAEF" w14:textId="77777777" w:rsidR="005F4D08" w:rsidRPr="00402720" w:rsidRDefault="005F4D08" w:rsidP="00E66954">
            <w:pPr>
              <w:keepLines/>
              <w:suppressAutoHyphens/>
              <w:spacing w:after="0" w:line="240" w:lineRule="auto"/>
              <w:rPr>
                <w:rFonts w:ascii="Times New Roman" w:hAnsi="Times New Roman" w:cs="Times New Roman"/>
                <w:sz w:val="18"/>
                <w:szCs w:val="18"/>
                <w:lang w:val="de-DE"/>
              </w:rPr>
            </w:pPr>
          </w:p>
        </w:tc>
      </w:tr>
      <w:tr w:rsidR="00A12938" w:rsidRPr="002A434E" w14:paraId="2453AD42"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3D448E52"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Skelettmuskulatur-,</w:t>
            </w:r>
            <w:r w:rsidR="00033961"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Binde</w:t>
            </w:r>
            <w:r w:rsidR="00033961" w:rsidRPr="00402720">
              <w:rPr>
                <w:rFonts w:ascii="Times New Roman" w:hAnsi="Times New Roman" w:cs="Times New Roman"/>
                <w:sz w:val="18"/>
                <w:szCs w:val="18"/>
                <w:lang w:val="de-DE"/>
              </w:rPr>
              <w:t>gewebs- und Knochenerkrankungen</w:t>
            </w:r>
          </w:p>
        </w:tc>
        <w:tc>
          <w:tcPr>
            <w:tcW w:w="755" w:type="pct"/>
            <w:tcBorders>
              <w:top w:val="single" w:sz="4" w:space="0" w:color="000000"/>
              <w:left w:val="single" w:sz="4" w:space="0" w:color="000000"/>
              <w:bottom w:val="single" w:sz="4" w:space="0" w:color="000000"/>
              <w:right w:val="single" w:sz="4" w:space="0" w:color="000000"/>
            </w:tcBorders>
          </w:tcPr>
          <w:p w14:paraId="0A14B9C8" w14:textId="77777777" w:rsidR="00555372" w:rsidRPr="00402720" w:rsidRDefault="00555372"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Arthralgie,</w:t>
            </w:r>
          </w:p>
          <w:p w14:paraId="5827E6E6"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Myalgie</w:t>
            </w:r>
          </w:p>
        </w:tc>
        <w:tc>
          <w:tcPr>
            <w:tcW w:w="922" w:type="pct"/>
            <w:tcBorders>
              <w:top w:val="single" w:sz="4" w:space="0" w:color="000000"/>
              <w:left w:val="single" w:sz="4" w:space="0" w:color="000000"/>
              <w:bottom w:val="single" w:sz="4" w:space="0" w:color="000000"/>
              <w:right w:val="single" w:sz="4" w:space="0" w:color="000000"/>
            </w:tcBorders>
          </w:tcPr>
          <w:p w14:paraId="0DD1FD12"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Fisteln</w:t>
            </w:r>
            <w:r w:rsidRPr="00402720">
              <w:rPr>
                <w:rFonts w:ascii="Times New Roman" w:hAnsi="Times New Roman" w:cs="Times New Roman"/>
                <w:sz w:val="18"/>
                <w:szCs w:val="18"/>
                <w:vertAlign w:val="superscript"/>
                <w:lang w:val="de-DE"/>
              </w:rPr>
              <w:t>b,</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d</w:t>
            </w:r>
            <w:r w:rsidRPr="00402720">
              <w:rPr>
                <w:rFonts w:ascii="Times New Roman" w:hAnsi="Times New Roman" w:cs="Times New Roman"/>
                <w:sz w:val="18"/>
                <w:szCs w:val="18"/>
                <w:lang w:val="de-DE"/>
              </w:rPr>
              <w:t>,</w:t>
            </w:r>
          </w:p>
          <w:p w14:paraId="4BE64426" w14:textId="38FF3558"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Muskelschwäche,</w:t>
            </w:r>
          </w:p>
          <w:p w14:paraId="5BD150E0" w14:textId="31AE3382"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Rückenschmerzen</w:t>
            </w:r>
          </w:p>
        </w:tc>
        <w:tc>
          <w:tcPr>
            <w:tcW w:w="366" w:type="pct"/>
            <w:tcBorders>
              <w:top w:val="single" w:sz="4" w:space="0" w:color="000000"/>
              <w:left w:val="single" w:sz="4" w:space="0" w:color="000000"/>
              <w:bottom w:val="single" w:sz="4" w:space="0" w:color="000000"/>
              <w:right w:val="single" w:sz="4" w:space="0" w:color="000000"/>
            </w:tcBorders>
          </w:tcPr>
          <w:p w14:paraId="081890DF"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609" w:type="pct"/>
            <w:tcBorders>
              <w:top w:val="single" w:sz="4" w:space="0" w:color="000000"/>
              <w:left w:val="single" w:sz="4" w:space="0" w:color="000000"/>
              <w:bottom w:val="single" w:sz="4" w:space="0" w:color="000000"/>
              <w:right w:val="single" w:sz="4" w:space="0" w:color="000000"/>
            </w:tcBorders>
          </w:tcPr>
          <w:p w14:paraId="317A7947"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533" w:type="pct"/>
            <w:tcBorders>
              <w:top w:val="single" w:sz="4" w:space="0" w:color="000000"/>
              <w:left w:val="single" w:sz="4" w:space="0" w:color="000000"/>
              <w:bottom w:val="single" w:sz="4" w:space="0" w:color="000000"/>
              <w:right w:val="single" w:sz="4" w:space="0" w:color="000000"/>
            </w:tcBorders>
          </w:tcPr>
          <w:p w14:paraId="428B7076"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818" w:type="pct"/>
            <w:tcBorders>
              <w:top w:val="single" w:sz="4" w:space="0" w:color="000000"/>
              <w:left w:val="single" w:sz="4" w:space="0" w:color="000000"/>
              <w:bottom w:val="single" w:sz="4" w:space="0" w:color="000000"/>
              <w:right w:val="single" w:sz="4" w:space="0" w:color="000000"/>
            </w:tcBorders>
          </w:tcPr>
          <w:p w14:paraId="7A662645" w14:textId="13DBA374" w:rsidR="00555372"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Kiefernekrose</w:t>
            </w:r>
            <w:r w:rsidRPr="00402720">
              <w:rPr>
                <w:rFonts w:ascii="Times New Roman" w:hAnsi="Times New Roman" w:cs="Times New Roman"/>
                <w:sz w:val="18"/>
                <w:szCs w:val="18"/>
                <w:vertAlign w:val="superscript"/>
                <w:lang w:val="de-DE"/>
              </w:rPr>
              <w:t>a,</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r w:rsidR="00555372" w:rsidRPr="00402720">
              <w:rPr>
                <w:rFonts w:ascii="Times New Roman" w:hAnsi="Times New Roman" w:cs="Times New Roman"/>
                <w:sz w:val="18"/>
                <w:szCs w:val="18"/>
                <w:lang w:val="de-DE"/>
              </w:rPr>
              <w:t>,</w:t>
            </w:r>
          </w:p>
          <w:p w14:paraId="4855F2E2" w14:textId="3E1F8ED5"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nicht-mandibuläre</w:t>
            </w:r>
            <w:r w:rsidR="00476E54"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Osteonekrose</w:t>
            </w:r>
            <w:r w:rsidRPr="00402720">
              <w:rPr>
                <w:rFonts w:ascii="Times New Roman" w:hAnsi="Times New Roman" w:cs="Times New Roman"/>
                <w:sz w:val="18"/>
                <w:szCs w:val="18"/>
                <w:vertAlign w:val="superscript"/>
                <w:lang w:val="de-DE"/>
              </w:rPr>
              <w:t>a,</w:t>
            </w:r>
            <w:r w:rsidR="00886BE0"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f</w:t>
            </w:r>
          </w:p>
        </w:tc>
      </w:tr>
      <w:tr w:rsidR="00A12938" w:rsidRPr="00402720" w14:paraId="21534360"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392A78B2" w14:textId="77777777" w:rsidR="005F4D08" w:rsidRPr="00402720" w:rsidRDefault="005F4D08" w:rsidP="00D10D80">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der</w:t>
            </w:r>
          </w:p>
          <w:p w14:paraId="2D651597" w14:textId="77777777" w:rsidR="005F4D08" w:rsidRPr="00402720" w:rsidRDefault="005F4D08" w:rsidP="00D10D80">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Nieren und</w:t>
            </w:r>
          </w:p>
          <w:p w14:paraId="19F9FBED" w14:textId="77777777" w:rsidR="005F4D08" w:rsidRPr="00402720" w:rsidRDefault="005F4D08" w:rsidP="00D10D80">
            <w:pPr>
              <w:keepNext/>
              <w:keepLines/>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Harnwege </w:t>
            </w:r>
          </w:p>
        </w:tc>
        <w:tc>
          <w:tcPr>
            <w:tcW w:w="755" w:type="pct"/>
            <w:tcBorders>
              <w:top w:val="single" w:sz="4" w:space="0" w:color="000000"/>
              <w:left w:val="single" w:sz="4" w:space="0" w:color="000000"/>
              <w:bottom w:val="single" w:sz="4" w:space="0" w:color="000000"/>
              <w:right w:val="single" w:sz="4" w:space="0" w:color="000000"/>
            </w:tcBorders>
          </w:tcPr>
          <w:p w14:paraId="2642842C"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Proteinurie</w:t>
            </w:r>
            <w:r w:rsidRPr="00402720">
              <w:rPr>
                <w:rFonts w:ascii="Times New Roman" w:hAnsi="Times New Roman" w:cs="Times New Roman"/>
                <w:sz w:val="18"/>
                <w:szCs w:val="18"/>
                <w:vertAlign w:val="superscript"/>
                <w:lang w:val="de-DE"/>
              </w:rPr>
              <w:t>b,</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d</w:t>
            </w:r>
          </w:p>
        </w:tc>
        <w:tc>
          <w:tcPr>
            <w:tcW w:w="922" w:type="pct"/>
          </w:tcPr>
          <w:p w14:paraId="60D553FD"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366" w:type="pct"/>
          </w:tcPr>
          <w:p w14:paraId="7304001A"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609" w:type="pct"/>
          </w:tcPr>
          <w:p w14:paraId="7B84D490"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533" w:type="pct"/>
          </w:tcPr>
          <w:p w14:paraId="31DB808A"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818" w:type="pct"/>
          </w:tcPr>
          <w:p w14:paraId="4CDEFB15"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r>
      <w:tr w:rsidR="00A12938" w:rsidRPr="00402720" w14:paraId="0A48CCA7"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124C7F30"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der</w:t>
            </w:r>
          </w:p>
          <w:p w14:paraId="1BB80897"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Geschlechtsorgane und der</w:t>
            </w:r>
            <w:r w:rsidR="00C378F8"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 xml:space="preserve">Brustdrüse </w:t>
            </w:r>
          </w:p>
        </w:tc>
        <w:tc>
          <w:tcPr>
            <w:tcW w:w="755" w:type="pct"/>
            <w:tcBorders>
              <w:top w:val="single" w:sz="4" w:space="0" w:color="000000"/>
              <w:left w:val="single" w:sz="4" w:space="0" w:color="000000"/>
              <w:bottom w:val="single" w:sz="4" w:space="0" w:color="000000"/>
              <w:right w:val="single" w:sz="4" w:space="0" w:color="000000"/>
            </w:tcBorders>
          </w:tcPr>
          <w:p w14:paraId="7E2E4C83" w14:textId="77777777" w:rsidR="005F4D08" w:rsidRPr="00402720" w:rsidRDefault="00184A10"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Ovarialin</w:t>
            </w:r>
            <w:r w:rsidR="00203E14" w:rsidRPr="00402720">
              <w:rPr>
                <w:rFonts w:ascii="Times New Roman" w:hAnsi="Times New Roman" w:cs="Times New Roman"/>
                <w:sz w:val="18"/>
                <w:szCs w:val="18"/>
                <w:lang w:val="de-DE"/>
              </w:rPr>
              <w:t>-</w:t>
            </w:r>
            <w:r w:rsidR="005F4D08" w:rsidRPr="00402720">
              <w:rPr>
                <w:rFonts w:ascii="Times New Roman" w:hAnsi="Times New Roman" w:cs="Times New Roman"/>
                <w:sz w:val="18"/>
                <w:szCs w:val="18"/>
                <w:lang w:val="de-DE"/>
              </w:rPr>
              <w:t>suffizienz</w:t>
            </w:r>
            <w:r w:rsidR="005F4D08" w:rsidRPr="00402720">
              <w:rPr>
                <w:rFonts w:ascii="Times New Roman" w:hAnsi="Times New Roman" w:cs="Times New Roman"/>
                <w:sz w:val="18"/>
                <w:szCs w:val="18"/>
                <w:vertAlign w:val="superscript"/>
                <w:lang w:val="de-DE"/>
              </w:rPr>
              <w:t>b,</w:t>
            </w:r>
            <w:r w:rsidR="00B207B4" w:rsidRPr="00402720">
              <w:rPr>
                <w:rFonts w:ascii="Times New Roman" w:hAnsi="Times New Roman" w:cs="Times New Roman"/>
                <w:sz w:val="18"/>
                <w:szCs w:val="18"/>
                <w:vertAlign w:val="superscript"/>
                <w:lang w:val="de-DE"/>
              </w:rPr>
              <w:t xml:space="preserve"> </w:t>
            </w:r>
            <w:r w:rsidR="005F4D08" w:rsidRPr="00402720">
              <w:rPr>
                <w:rFonts w:ascii="Times New Roman" w:hAnsi="Times New Roman" w:cs="Times New Roman"/>
                <w:sz w:val="18"/>
                <w:szCs w:val="18"/>
                <w:vertAlign w:val="superscript"/>
                <w:lang w:val="de-DE"/>
              </w:rPr>
              <w:t>c,</w:t>
            </w:r>
            <w:r w:rsidR="00B207B4" w:rsidRPr="00402720">
              <w:rPr>
                <w:rFonts w:ascii="Times New Roman" w:hAnsi="Times New Roman" w:cs="Times New Roman"/>
                <w:sz w:val="18"/>
                <w:szCs w:val="18"/>
                <w:vertAlign w:val="superscript"/>
                <w:lang w:val="de-DE"/>
              </w:rPr>
              <w:t xml:space="preserve"> </w:t>
            </w:r>
            <w:r w:rsidR="005F4D08" w:rsidRPr="00402720">
              <w:rPr>
                <w:rFonts w:ascii="Times New Roman" w:hAnsi="Times New Roman" w:cs="Times New Roman"/>
                <w:sz w:val="18"/>
                <w:szCs w:val="18"/>
                <w:vertAlign w:val="superscript"/>
                <w:lang w:val="de-DE"/>
              </w:rPr>
              <w:t xml:space="preserve">d </w:t>
            </w:r>
          </w:p>
        </w:tc>
        <w:tc>
          <w:tcPr>
            <w:tcW w:w="922" w:type="pct"/>
            <w:tcBorders>
              <w:top w:val="single" w:sz="4" w:space="0" w:color="000000"/>
              <w:left w:val="single" w:sz="4" w:space="0" w:color="000000"/>
              <w:bottom w:val="single" w:sz="4" w:space="0" w:color="000000"/>
              <w:right w:val="single" w:sz="4" w:space="0" w:color="000000"/>
            </w:tcBorders>
          </w:tcPr>
          <w:p w14:paraId="513A3E9E"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Schmerzen im Becken</w:t>
            </w:r>
          </w:p>
        </w:tc>
        <w:tc>
          <w:tcPr>
            <w:tcW w:w="366" w:type="pct"/>
          </w:tcPr>
          <w:p w14:paraId="42810525"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609" w:type="pct"/>
          </w:tcPr>
          <w:p w14:paraId="6AAF3CCC"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533" w:type="pct"/>
          </w:tcPr>
          <w:p w14:paraId="5FBC4E93"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818" w:type="pct"/>
          </w:tcPr>
          <w:p w14:paraId="561F4FE4"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r>
      <w:tr w:rsidR="00A12938" w:rsidRPr="00402720" w14:paraId="50AE305C"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25DFC895"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Kongenitale, familiäre und genetische</w:t>
            </w:r>
          </w:p>
          <w:p w14:paraId="151ED286"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Erkrankungen </w:t>
            </w:r>
          </w:p>
        </w:tc>
        <w:tc>
          <w:tcPr>
            <w:tcW w:w="755" w:type="pct"/>
            <w:tcBorders>
              <w:top w:val="single" w:sz="4" w:space="0" w:color="000000"/>
              <w:left w:val="single" w:sz="4" w:space="0" w:color="000000"/>
              <w:bottom w:val="single" w:sz="4" w:space="0" w:color="000000"/>
              <w:right w:val="single" w:sz="4" w:space="0" w:color="000000"/>
            </w:tcBorders>
          </w:tcPr>
          <w:p w14:paraId="5A7F22B7"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922" w:type="pct"/>
            <w:tcBorders>
              <w:top w:val="single" w:sz="4" w:space="0" w:color="000000"/>
              <w:left w:val="single" w:sz="4" w:space="0" w:color="000000"/>
              <w:bottom w:val="single" w:sz="4" w:space="0" w:color="000000"/>
              <w:right w:val="single" w:sz="4" w:space="0" w:color="000000"/>
            </w:tcBorders>
          </w:tcPr>
          <w:p w14:paraId="5A639D9F"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366" w:type="pct"/>
            <w:tcBorders>
              <w:top w:val="single" w:sz="4" w:space="0" w:color="000000"/>
              <w:left w:val="single" w:sz="4" w:space="0" w:color="000000"/>
              <w:bottom w:val="single" w:sz="4" w:space="0" w:color="000000"/>
              <w:right w:val="single" w:sz="4" w:space="0" w:color="000000"/>
            </w:tcBorders>
          </w:tcPr>
          <w:p w14:paraId="3AA2C01E"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609" w:type="pct"/>
            <w:tcBorders>
              <w:top w:val="single" w:sz="4" w:space="0" w:color="000000"/>
              <w:left w:val="single" w:sz="4" w:space="0" w:color="000000"/>
              <w:bottom w:val="single" w:sz="4" w:space="0" w:color="000000"/>
              <w:right w:val="single" w:sz="4" w:space="0" w:color="000000"/>
            </w:tcBorders>
          </w:tcPr>
          <w:p w14:paraId="10B11332"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533" w:type="pct"/>
            <w:tcBorders>
              <w:top w:val="single" w:sz="4" w:space="0" w:color="000000"/>
              <w:left w:val="single" w:sz="4" w:space="0" w:color="000000"/>
              <w:bottom w:val="single" w:sz="4" w:space="0" w:color="000000"/>
              <w:right w:val="single" w:sz="4" w:space="0" w:color="000000"/>
            </w:tcBorders>
          </w:tcPr>
          <w:p w14:paraId="743A25E6"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818" w:type="pct"/>
            <w:tcBorders>
              <w:top w:val="single" w:sz="4" w:space="0" w:color="000000"/>
              <w:left w:val="single" w:sz="4" w:space="0" w:color="000000"/>
              <w:bottom w:val="single" w:sz="4" w:space="0" w:color="000000"/>
              <w:right w:val="single" w:sz="4" w:space="0" w:color="000000"/>
            </w:tcBorders>
          </w:tcPr>
          <w:p w14:paraId="75CCE65B" w14:textId="5BB768DA"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Fetale Anomalien</w:t>
            </w:r>
            <w:r w:rsidRPr="00402720">
              <w:rPr>
                <w:rFonts w:ascii="Times New Roman" w:hAnsi="Times New Roman" w:cs="Times New Roman"/>
                <w:sz w:val="18"/>
                <w:szCs w:val="18"/>
                <w:vertAlign w:val="superscript"/>
                <w:lang w:val="de-DE"/>
              </w:rPr>
              <w:t>a,</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 xml:space="preserve"> </w:t>
            </w:r>
          </w:p>
        </w:tc>
      </w:tr>
      <w:tr w:rsidR="00A12938" w:rsidRPr="00402720" w14:paraId="37DC31EF"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45822AA3"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Allgemeine</w:t>
            </w:r>
          </w:p>
          <w:p w14:paraId="2DAA9AAA"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und Beschwerden am Verabreichungsort</w:t>
            </w:r>
          </w:p>
        </w:tc>
        <w:tc>
          <w:tcPr>
            <w:tcW w:w="755" w:type="pct"/>
            <w:tcBorders>
              <w:top w:val="single" w:sz="4" w:space="0" w:color="000000"/>
              <w:left w:val="single" w:sz="4" w:space="0" w:color="000000"/>
              <w:bottom w:val="single" w:sz="4" w:space="0" w:color="000000"/>
              <w:right w:val="single" w:sz="4" w:space="0" w:color="000000"/>
            </w:tcBorders>
          </w:tcPr>
          <w:p w14:paraId="04FC315F"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Asthenie,</w:t>
            </w:r>
          </w:p>
          <w:p w14:paraId="59FEB32C"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Fatigue,</w:t>
            </w:r>
          </w:p>
          <w:p w14:paraId="1B2C7887"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Pyrexie,</w:t>
            </w:r>
          </w:p>
          <w:p w14:paraId="141888D8"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Schmerzen,</w:t>
            </w:r>
          </w:p>
          <w:p w14:paraId="0C4689FC"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Schleimhaut</w:t>
            </w:r>
            <w:r w:rsidR="00203E14"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 xml:space="preserve">entzündung </w:t>
            </w:r>
          </w:p>
        </w:tc>
        <w:tc>
          <w:tcPr>
            <w:tcW w:w="922" w:type="pct"/>
            <w:tcBorders>
              <w:top w:val="single" w:sz="4" w:space="0" w:color="000000"/>
              <w:left w:val="single" w:sz="4" w:space="0" w:color="000000"/>
              <w:bottom w:val="single" w:sz="4" w:space="0" w:color="000000"/>
              <w:right w:val="single" w:sz="4" w:space="0" w:color="000000"/>
            </w:tcBorders>
          </w:tcPr>
          <w:p w14:paraId="09282EEA"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Lethargie</w:t>
            </w:r>
          </w:p>
        </w:tc>
        <w:tc>
          <w:tcPr>
            <w:tcW w:w="366" w:type="pct"/>
          </w:tcPr>
          <w:p w14:paraId="659C7A7B"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609" w:type="pct"/>
          </w:tcPr>
          <w:p w14:paraId="3F13B8B8"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533" w:type="pct"/>
          </w:tcPr>
          <w:p w14:paraId="72A2443B"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818" w:type="pct"/>
          </w:tcPr>
          <w:p w14:paraId="56208005"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r>
      <w:tr w:rsidR="00A12938" w:rsidRPr="00402720" w14:paraId="3AA7314E" w14:textId="77777777" w:rsidTr="00E66954">
        <w:trPr>
          <w:trHeight w:val="23"/>
        </w:trPr>
        <w:tc>
          <w:tcPr>
            <w:tcW w:w="997" w:type="pct"/>
            <w:tcBorders>
              <w:top w:val="single" w:sz="4" w:space="0" w:color="000000"/>
              <w:left w:val="single" w:sz="4" w:space="0" w:color="000000"/>
              <w:bottom w:val="single" w:sz="4" w:space="0" w:color="000000"/>
              <w:right w:val="single" w:sz="4" w:space="0" w:color="000000"/>
            </w:tcBorders>
          </w:tcPr>
          <w:p w14:paraId="157469CE"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Untersuchungen </w:t>
            </w:r>
          </w:p>
        </w:tc>
        <w:tc>
          <w:tcPr>
            <w:tcW w:w="755" w:type="pct"/>
            <w:tcBorders>
              <w:top w:val="single" w:sz="4" w:space="0" w:color="000000"/>
              <w:left w:val="single" w:sz="4" w:space="0" w:color="000000"/>
              <w:bottom w:val="single" w:sz="4" w:space="0" w:color="000000"/>
              <w:right w:val="single" w:sz="4" w:space="0" w:color="000000"/>
            </w:tcBorders>
          </w:tcPr>
          <w:p w14:paraId="2E0BBE5B"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Gewichts</w:t>
            </w:r>
            <w:r w:rsidR="00203E14"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 xml:space="preserve">abnahme </w:t>
            </w:r>
          </w:p>
        </w:tc>
        <w:tc>
          <w:tcPr>
            <w:tcW w:w="922" w:type="pct"/>
          </w:tcPr>
          <w:p w14:paraId="13927D95"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366" w:type="pct"/>
          </w:tcPr>
          <w:p w14:paraId="75E86C68"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609" w:type="pct"/>
          </w:tcPr>
          <w:p w14:paraId="7093C338"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533" w:type="pct"/>
          </w:tcPr>
          <w:p w14:paraId="6FB53BD8"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c>
          <w:tcPr>
            <w:tcW w:w="818" w:type="pct"/>
          </w:tcPr>
          <w:p w14:paraId="16C5BB17" w14:textId="77777777" w:rsidR="005F4D08" w:rsidRPr="00402720" w:rsidRDefault="005F4D08" w:rsidP="00402720">
            <w:pPr>
              <w:suppressAutoHyphens/>
              <w:spacing w:after="0" w:line="240" w:lineRule="auto"/>
              <w:rPr>
                <w:rFonts w:ascii="Times New Roman" w:hAnsi="Times New Roman" w:cs="Times New Roman"/>
                <w:sz w:val="18"/>
                <w:szCs w:val="18"/>
                <w:lang w:val="de-DE"/>
              </w:rPr>
            </w:pPr>
          </w:p>
        </w:tc>
      </w:tr>
    </w:tbl>
    <w:p w14:paraId="3B1B4FE8" w14:textId="77777777" w:rsidR="00AF337C" w:rsidRPr="009737B5" w:rsidRDefault="00AF337C" w:rsidP="005F4D08">
      <w:pPr>
        <w:suppressAutoHyphens/>
        <w:spacing w:after="0" w:line="240" w:lineRule="auto"/>
        <w:rPr>
          <w:rFonts w:ascii="Times New Roman" w:hAnsi="Times New Roman" w:cs="Times New Roman"/>
          <w:szCs w:val="20"/>
          <w:lang w:val="de-DE"/>
        </w:rPr>
      </w:pPr>
    </w:p>
    <w:p w14:paraId="21D55791" w14:textId="4ACA6B28" w:rsidR="00AF337C" w:rsidRPr="009737B5" w:rsidRDefault="00AF337C" w:rsidP="005F4D08">
      <w:pPr>
        <w:suppressAutoHyphens/>
        <w:spacing w:after="0" w:line="240" w:lineRule="auto"/>
        <w:rPr>
          <w:rFonts w:ascii="Times New Roman" w:hAnsi="Times New Roman" w:cs="Times New Roman"/>
          <w:sz w:val="20"/>
          <w:szCs w:val="20"/>
          <w:lang w:val="de-DE"/>
        </w:rPr>
      </w:pPr>
      <w:r w:rsidRPr="009737B5">
        <w:rPr>
          <w:rFonts w:ascii="Times New Roman" w:hAnsi="Times New Roman" w:cs="Times New Roman"/>
          <w:sz w:val="20"/>
          <w:szCs w:val="20"/>
          <w:lang w:val="de-DE"/>
        </w:rPr>
        <w:t>Wurden Ereignisse sowohl für alle Grade als auch als Grad</w:t>
      </w:r>
      <w:r w:rsidR="00D5199D">
        <w:rPr>
          <w:rFonts w:ascii="Times New Roman" w:hAnsi="Times New Roman" w:cs="Times New Roman"/>
          <w:sz w:val="20"/>
          <w:szCs w:val="20"/>
          <w:lang w:val="de-DE"/>
        </w:rPr>
        <w:t> </w:t>
      </w:r>
      <w:r w:rsidRPr="009737B5">
        <w:rPr>
          <w:rFonts w:ascii="Times New Roman" w:hAnsi="Times New Roman" w:cs="Times New Roman"/>
          <w:sz w:val="20"/>
          <w:szCs w:val="20"/>
          <w:lang w:val="de-DE"/>
        </w:rPr>
        <w:t>3</w:t>
      </w:r>
      <w:r w:rsidR="003B57B4">
        <w:rPr>
          <w:rFonts w:ascii="Times New Roman" w:hAnsi="Times New Roman" w:cs="Times New Roman"/>
          <w:sz w:val="20"/>
          <w:szCs w:val="20"/>
          <w:lang w:val="de-DE"/>
        </w:rPr>
        <w:t> </w:t>
      </w:r>
      <w:r w:rsidRPr="009737B5">
        <w:rPr>
          <w:rFonts w:ascii="Times New Roman" w:hAnsi="Times New Roman" w:cs="Times New Roman"/>
          <w:sz w:val="20"/>
          <w:szCs w:val="20"/>
          <w:lang w:val="de-DE"/>
        </w:rPr>
        <w:t>-</w:t>
      </w:r>
      <w:r w:rsidR="003B57B4">
        <w:rPr>
          <w:rFonts w:ascii="Times New Roman" w:hAnsi="Times New Roman" w:cs="Times New Roman"/>
          <w:sz w:val="20"/>
          <w:szCs w:val="20"/>
          <w:lang w:val="de-DE"/>
        </w:rPr>
        <w:t> </w:t>
      </w:r>
      <w:r w:rsidRPr="009737B5">
        <w:rPr>
          <w:rFonts w:ascii="Times New Roman" w:hAnsi="Times New Roman" w:cs="Times New Roman"/>
          <w:sz w:val="20"/>
          <w:szCs w:val="20"/>
          <w:lang w:val="de-DE"/>
        </w:rPr>
        <w:t>5 Nebenwirkungen in klinischen Studien vermerkt, dann wurde die höchste bei den Patienten beobachtete Häufigkeit berichtet. Die unterschiedliche Behandlungszeit ist in diesen Daten nicht berücksichtigt.</w:t>
      </w:r>
    </w:p>
    <w:p w14:paraId="108D18D1" w14:textId="77777777" w:rsidR="00C378F8" w:rsidRPr="009737B5" w:rsidRDefault="00C378F8" w:rsidP="005F4D08">
      <w:pPr>
        <w:suppressAutoHyphens/>
        <w:spacing w:after="0" w:line="240" w:lineRule="auto"/>
        <w:rPr>
          <w:rFonts w:ascii="Times New Roman" w:hAnsi="Times New Roman" w:cs="Times New Roman"/>
          <w:sz w:val="20"/>
          <w:szCs w:val="20"/>
          <w:lang w:val="de-DE"/>
        </w:rPr>
      </w:pPr>
    </w:p>
    <w:p w14:paraId="0FFDB3D0" w14:textId="527DBE30" w:rsidR="00AF337C" w:rsidRPr="009737B5" w:rsidRDefault="00AF337C" w:rsidP="005F4D08">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a</w:t>
      </w:r>
      <w:r w:rsidRPr="009737B5">
        <w:rPr>
          <w:rFonts w:ascii="Times New Roman" w:hAnsi="Times New Roman" w:cs="Times New Roman"/>
          <w:sz w:val="20"/>
          <w:szCs w:val="20"/>
          <w:lang w:val="de-DE"/>
        </w:rPr>
        <w:tab/>
        <w:t>Für weitere Informationen siehe Tabelle</w:t>
      </w:r>
      <w:r w:rsidR="003B57B4">
        <w:rPr>
          <w:rFonts w:ascii="Times New Roman" w:hAnsi="Times New Roman" w:cs="Times New Roman"/>
          <w:sz w:val="20"/>
          <w:szCs w:val="20"/>
          <w:lang w:val="de-DE"/>
        </w:rPr>
        <w:t> </w:t>
      </w:r>
      <w:r w:rsidRPr="009737B5">
        <w:rPr>
          <w:rFonts w:ascii="Times New Roman" w:hAnsi="Times New Roman" w:cs="Times New Roman"/>
          <w:sz w:val="20"/>
          <w:szCs w:val="20"/>
          <w:lang w:val="de-DE"/>
        </w:rPr>
        <w:t>3 „Nebenwirkungen aus dem Spontanmeldesystem nach der Markteinführung“.</w:t>
      </w:r>
    </w:p>
    <w:p w14:paraId="12E7FAA6" w14:textId="3CF61D6A" w:rsidR="00AF337C" w:rsidRPr="009737B5" w:rsidRDefault="00AF337C" w:rsidP="005F4D08">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b</w:t>
      </w:r>
      <w:r w:rsidRPr="009737B5">
        <w:rPr>
          <w:rFonts w:ascii="Times New Roman" w:hAnsi="Times New Roman" w:cs="Times New Roman"/>
          <w:sz w:val="20"/>
          <w:szCs w:val="20"/>
          <w:lang w:val="de-DE"/>
        </w:rPr>
        <w:tab/>
        <w:t>Die verwendeten Begriffe stellen eine Gruppe von Ereignissen dar, die eher ein medizinisches Krankheitsbild beschreiben als einen einzelnen Zustand oder einen MedDRA (</w:t>
      </w:r>
      <w:r w:rsidRPr="009737B5">
        <w:rPr>
          <w:rFonts w:ascii="Times New Roman" w:hAnsi="Times New Roman" w:cs="Times New Roman"/>
          <w:i/>
          <w:sz w:val="20"/>
          <w:szCs w:val="20"/>
          <w:lang w:val="de-DE"/>
        </w:rPr>
        <w:t>Medical Dictionary for Regulatory Activities</w:t>
      </w:r>
      <w:r w:rsidRPr="009737B5">
        <w:rPr>
          <w:rFonts w:ascii="Times New Roman" w:hAnsi="Times New Roman" w:cs="Times New Roman"/>
          <w:sz w:val="20"/>
          <w:szCs w:val="20"/>
          <w:lang w:val="de-DE"/>
        </w:rPr>
        <w:t>) Fachbegriff. Diese Gruppe medizinischer Begriffe kann dieselbe zugrunde liegende Pathophysiologie beinhalten (z.</w:t>
      </w:r>
      <w:r w:rsidR="00905FDC">
        <w:rPr>
          <w:rFonts w:ascii="Times New Roman" w:hAnsi="Times New Roman" w:cs="Times New Roman"/>
          <w:sz w:val="20"/>
          <w:szCs w:val="20"/>
          <w:lang w:val="de-DE"/>
        </w:rPr>
        <w:t> </w:t>
      </w:r>
      <w:r w:rsidRPr="009737B5">
        <w:rPr>
          <w:rFonts w:ascii="Times New Roman" w:hAnsi="Times New Roman" w:cs="Times New Roman"/>
          <w:sz w:val="20"/>
          <w:szCs w:val="20"/>
          <w:lang w:val="de-DE"/>
        </w:rPr>
        <w:t>B. arterielle thromboembolische Nebenwirkungen schließen Schlaganfall, Myokardinfarkt, transitorische ischämische Attacke und andere arterielle thromboembolische Nebenwirkungen ein).</w:t>
      </w:r>
    </w:p>
    <w:p w14:paraId="68875BBD" w14:textId="6D518AE8" w:rsidR="00AF337C" w:rsidRPr="009737B5" w:rsidRDefault="005F4D08" w:rsidP="005F4D08">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c</w:t>
      </w:r>
      <w:r w:rsidR="00AF337C" w:rsidRPr="009737B5">
        <w:rPr>
          <w:rFonts w:ascii="Times New Roman" w:hAnsi="Times New Roman" w:cs="Times New Roman"/>
          <w:sz w:val="20"/>
          <w:szCs w:val="20"/>
          <w:lang w:val="de-DE"/>
        </w:rPr>
        <w:tab/>
        <w:t>Basierend auf einer Substudie der Studie NSABP</w:t>
      </w:r>
      <w:r w:rsidR="003B57B4">
        <w:rPr>
          <w:rFonts w:ascii="Times New Roman" w:hAnsi="Times New Roman" w:cs="Times New Roman"/>
          <w:sz w:val="20"/>
          <w:szCs w:val="20"/>
          <w:lang w:val="de-DE"/>
        </w:rPr>
        <w:t> </w:t>
      </w:r>
      <w:r w:rsidR="00AF337C" w:rsidRPr="009737B5">
        <w:rPr>
          <w:rFonts w:ascii="Times New Roman" w:hAnsi="Times New Roman" w:cs="Times New Roman"/>
          <w:sz w:val="20"/>
          <w:szCs w:val="20"/>
          <w:lang w:val="de-DE"/>
        </w:rPr>
        <w:t>C-08 mit 295</w:t>
      </w:r>
      <w:r w:rsidR="003B57B4">
        <w:rPr>
          <w:rFonts w:ascii="Times New Roman" w:hAnsi="Times New Roman" w:cs="Times New Roman"/>
          <w:sz w:val="20"/>
          <w:szCs w:val="20"/>
          <w:lang w:val="de-DE"/>
        </w:rPr>
        <w:t> </w:t>
      </w:r>
      <w:r w:rsidR="00AF337C" w:rsidRPr="009737B5">
        <w:rPr>
          <w:rFonts w:ascii="Times New Roman" w:hAnsi="Times New Roman" w:cs="Times New Roman"/>
          <w:sz w:val="20"/>
          <w:szCs w:val="20"/>
          <w:lang w:val="de-DE"/>
        </w:rPr>
        <w:t>Patienten.</w:t>
      </w:r>
    </w:p>
    <w:p w14:paraId="2BD74CA9" w14:textId="77777777" w:rsidR="00AF337C" w:rsidRPr="009737B5" w:rsidRDefault="00AF337C" w:rsidP="005F4D08">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d</w:t>
      </w:r>
      <w:r w:rsidRPr="009737B5">
        <w:rPr>
          <w:rFonts w:ascii="Times New Roman" w:hAnsi="Times New Roman" w:cs="Times New Roman"/>
          <w:sz w:val="20"/>
          <w:szCs w:val="20"/>
          <w:lang w:val="de-DE"/>
        </w:rPr>
        <w:tab/>
        <w:t>Für weitere Informationen siehe unten in Abschnitt „</w:t>
      </w:r>
      <w:r w:rsidR="004C438C" w:rsidRPr="009737B5">
        <w:rPr>
          <w:rFonts w:ascii="Times New Roman" w:hAnsi="Times New Roman" w:cs="Times New Roman"/>
          <w:sz w:val="20"/>
          <w:szCs w:val="20"/>
          <w:lang w:val="de-DE"/>
        </w:rPr>
        <w:t>Beschreibung von</w:t>
      </w:r>
      <w:r w:rsidRPr="009737B5">
        <w:rPr>
          <w:rFonts w:ascii="Times New Roman" w:hAnsi="Times New Roman" w:cs="Times New Roman"/>
          <w:sz w:val="20"/>
          <w:szCs w:val="20"/>
          <w:lang w:val="de-DE"/>
        </w:rPr>
        <w:t xml:space="preserve"> ausgewählten schwerwiegenden Nebenwirkungen“.</w:t>
      </w:r>
    </w:p>
    <w:p w14:paraId="7DA4B18E" w14:textId="77777777" w:rsidR="00AF337C" w:rsidRPr="009737B5" w:rsidRDefault="00AF337C" w:rsidP="005F4D08">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e</w:t>
      </w:r>
      <w:r w:rsidRPr="009737B5">
        <w:rPr>
          <w:rFonts w:ascii="Times New Roman" w:hAnsi="Times New Roman" w:cs="Times New Roman"/>
          <w:sz w:val="20"/>
          <w:szCs w:val="20"/>
          <w:lang w:val="de-DE"/>
        </w:rPr>
        <w:tab/>
        <w:t>Rektovaginale Fisteln sind die häufigsten Fisteln in der Kategorie der GI-vaginalen Fisteln.</w:t>
      </w:r>
    </w:p>
    <w:p w14:paraId="323C7D56" w14:textId="77777777" w:rsidR="00AF337C" w:rsidRPr="009737B5" w:rsidRDefault="00AF337C" w:rsidP="005F4D08">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f</w:t>
      </w:r>
      <w:r w:rsidRPr="009737B5">
        <w:rPr>
          <w:rFonts w:ascii="Times New Roman" w:hAnsi="Times New Roman" w:cs="Times New Roman"/>
          <w:sz w:val="20"/>
          <w:szCs w:val="20"/>
          <w:lang w:val="de-DE"/>
        </w:rPr>
        <w:tab/>
        <w:t>Wurde nur bei Kindern und Jugendlichen beobachtet.</w:t>
      </w:r>
    </w:p>
    <w:p w14:paraId="55A123AF" w14:textId="77777777" w:rsidR="005F4D08" w:rsidRPr="009737B5" w:rsidRDefault="005F4D08" w:rsidP="005F4D08">
      <w:pPr>
        <w:suppressAutoHyphens/>
        <w:spacing w:after="0" w:line="240" w:lineRule="auto"/>
        <w:rPr>
          <w:rFonts w:ascii="Times New Roman" w:hAnsi="Times New Roman" w:cs="Times New Roman"/>
          <w:szCs w:val="20"/>
          <w:lang w:val="de-DE"/>
        </w:rPr>
      </w:pPr>
    </w:p>
    <w:p w14:paraId="21E2C971" w14:textId="6C4ACAD5" w:rsidR="005F4D08" w:rsidRPr="009737B5" w:rsidRDefault="00D8414F" w:rsidP="0052278F">
      <w:pPr>
        <w:keepNext/>
        <w:suppressAutoHyphens/>
        <w:spacing w:after="0" w:line="240" w:lineRule="auto"/>
        <w:rPr>
          <w:rFonts w:ascii="Times New Roman" w:hAnsi="Times New Roman" w:cs="Times New Roman"/>
          <w:b/>
          <w:sz w:val="20"/>
          <w:szCs w:val="20"/>
          <w:lang w:val="de-DE"/>
        </w:rPr>
      </w:pPr>
      <w:r w:rsidRPr="009737B5">
        <w:rPr>
          <w:rFonts w:ascii="Times New Roman" w:hAnsi="Times New Roman" w:cs="Times New Roman"/>
          <w:b/>
          <w:sz w:val="20"/>
          <w:szCs w:val="20"/>
          <w:lang w:val="de-DE"/>
        </w:rPr>
        <w:t>Tabelle</w:t>
      </w:r>
      <w:r w:rsidR="003B57B4">
        <w:rPr>
          <w:rFonts w:ascii="Times New Roman" w:hAnsi="Times New Roman" w:cs="Times New Roman"/>
          <w:b/>
          <w:sz w:val="20"/>
          <w:szCs w:val="20"/>
          <w:lang w:val="de-DE"/>
        </w:rPr>
        <w:t> </w:t>
      </w:r>
      <w:r w:rsidRPr="009737B5">
        <w:rPr>
          <w:rFonts w:ascii="Times New Roman" w:hAnsi="Times New Roman" w:cs="Times New Roman"/>
          <w:b/>
          <w:sz w:val="20"/>
          <w:szCs w:val="20"/>
          <w:lang w:val="de-DE"/>
        </w:rPr>
        <w:t>2</w:t>
      </w:r>
      <w:r w:rsidR="00E251E5" w:rsidRPr="009737B5">
        <w:rPr>
          <w:rFonts w:ascii="Times New Roman" w:hAnsi="Times New Roman" w:cs="Times New Roman"/>
          <w:b/>
          <w:sz w:val="20"/>
          <w:szCs w:val="20"/>
          <w:lang w:val="de-DE"/>
        </w:rPr>
        <w:t>.</w:t>
      </w:r>
      <w:r w:rsidRPr="009737B5">
        <w:rPr>
          <w:rFonts w:ascii="Times New Roman" w:hAnsi="Times New Roman" w:cs="Times New Roman"/>
          <w:b/>
          <w:sz w:val="20"/>
          <w:szCs w:val="20"/>
          <w:lang w:val="de-DE"/>
        </w:rPr>
        <w:t xml:space="preserve"> Schwere Nebenwirkungen nach Häufigkeit</w:t>
      </w:r>
    </w:p>
    <w:p w14:paraId="1456B7DD" w14:textId="77777777" w:rsidR="00D8414F" w:rsidRPr="009737B5" w:rsidRDefault="00D8414F" w:rsidP="0052278F">
      <w:pPr>
        <w:keepNext/>
        <w:suppressAutoHyphens/>
        <w:spacing w:after="0" w:line="240" w:lineRule="auto"/>
        <w:rPr>
          <w:rFonts w:ascii="Times New Roman" w:hAnsi="Times New Roman" w:cs="Times New Roman"/>
          <w:sz w:val="20"/>
          <w:szCs w:val="20"/>
          <w:lang w:val="de-D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50"/>
        <w:gridCol w:w="1983"/>
        <w:gridCol w:w="723"/>
        <w:gridCol w:w="1020"/>
        <w:gridCol w:w="725"/>
        <w:gridCol w:w="1890"/>
      </w:tblGrid>
      <w:tr w:rsidR="00A12938" w:rsidRPr="00402720" w14:paraId="2BEEB868" w14:textId="77777777" w:rsidTr="00E66954">
        <w:trPr>
          <w:trHeight w:val="20"/>
          <w:tblHeader/>
        </w:trPr>
        <w:tc>
          <w:tcPr>
            <w:tcW w:w="967" w:type="pct"/>
          </w:tcPr>
          <w:p w14:paraId="5DD85B85" w14:textId="77777777" w:rsidR="009B0445" w:rsidRPr="00402720" w:rsidRDefault="009B0445" w:rsidP="00402720">
            <w:pPr>
              <w:keepNext/>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Systemorganklasse</w:t>
            </w:r>
          </w:p>
        </w:tc>
        <w:tc>
          <w:tcPr>
            <w:tcW w:w="708" w:type="pct"/>
          </w:tcPr>
          <w:p w14:paraId="503BED09" w14:textId="77777777" w:rsidR="009B0445" w:rsidRPr="00402720" w:rsidRDefault="009B0445" w:rsidP="00402720">
            <w:pPr>
              <w:keepNext/>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Sehr häufig</w:t>
            </w:r>
          </w:p>
        </w:tc>
        <w:tc>
          <w:tcPr>
            <w:tcW w:w="1040" w:type="pct"/>
          </w:tcPr>
          <w:p w14:paraId="26014571" w14:textId="77777777" w:rsidR="009B0445" w:rsidRPr="00402720" w:rsidRDefault="009B0445" w:rsidP="00402720">
            <w:pPr>
              <w:keepNext/>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Häufig</w:t>
            </w:r>
          </w:p>
        </w:tc>
        <w:tc>
          <w:tcPr>
            <w:tcW w:w="379" w:type="pct"/>
          </w:tcPr>
          <w:p w14:paraId="19D1CB5B" w14:textId="3FD8EB75" w:rsidR="009B0445" w:rsidRPr="00402720" w:rsidRDefault="009B0445" w:rsidP="00402720">
            <w:pPr>
              <w:keepNext/>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Gele</w:t>
            </w:r>
            <w:r w:rsidR="00A12938">
              <w:rPr>
                <w:rFonts w:ascii="Times New Roman" w:hAnsi="Times New Roman" w:cs="Times New Roman"/>
                <w:b/>
                <w:sz w:val="18"/>
                <w:szCs w:val="18"/>
                <w:lang w:val="de-DE"/>
              </w:rPr>
              <w:t>-</w:t>
            </w:r>
            <w:r w:rsidRPr="00402720">
              <w:rPr>
                <w:rFonts w:ascii="Times New Roman" w:hAnsi="Times New Roman" w:cs="Times New Roman"/>
                <w:b/>
                <w:sz w:val="18"/>
                <w:szCs w:val="18"/>
                <w:lang w:val="de-DE"/>
              </w:rPr>
              <w:t>gent</w:t>
            </w:r>
            <w:r w:rsidR="00A12938">
              <w:rPr>
                <w:rFonts w:ascii="Times New Roman" w:hAnsi="Times New Roman" w:cs="Times New Roman"/>
                <w:b/>
                <w:sz w:val="18"/>
                <w:szCs w:val="18"/>
                <w:lang w:val="de-DE"/>
              </w:rPr>
              <w:t>-</w:t>
            </w:r>
            <w:r w:rsidRPr="00402720">
              <w:rPr>
                <w:rFonts w:ascii="Times New Roman" w:hAnsi="Times New Roman" w:cs="Times New Roman"/>
                <w:b/>
                <w:sz w:val="18"/>
                <w:szCs w:val="18"/>
                <w:lang w:val="de-DE"/>
              </w:rPr>
              <w:t>lich</w:t>
            </w:r>
          </w:p>
        </w:tc>
        <w:tc>
          <w:tcPr>
            <w:tcW w:w="535" w:type="pct"/>
          </w:tcPr>
          <w:p w14:paraId="20732A97" w14:textId="77777777" w:rsidR="009B0445" w:rsidRPr="00402720" w:rsidRDefault="009B0445" w:rsidP="00402720">
            <w:pPr>
              <w:keepNext/>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Selten</w:t>
            </w:r>
          </w:p>
        </w:tc>
        <w:tc>
          <w:tcPr>
            <w:tcW w:w="380" w:type="pct"/>
          </w:tcPr>
          <w:p w14:paraId="7D35B619" w14:textId="77777777" w:rsidR="009B0445" w:rsidRPr="00402720" w:rsidRDefault="009B0445" w:rsidP="00402720">
            <w:pPr>
              <w:keepNext/>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Sehr selten</w:t>
            </w:r>
          </w:p>
        </w:tc>
        <w:tc>
          <w:tcPr>
            <w:tcW w:w="991" w:type="pct"/>
          </w:tcPr>
          <w:p w14:paraId="1097D5B8" w14:textId="77777777" w:rsidR="009B0445" w:rsidRPr="00402720" w:rsidRDefault="009B0445" w:rsidP="00402720">
            <w:pPr>
              <w:keepNext/>
              <w:spacing w:after="0" w:line="240" w:lineRule="auto"/>
              <w:jc w:val="center"/>
              <w:rPr>
                <w:rFonts w:ascii="Times New Roman" w:hAnsi="Times New Roman" w:cs="Times New Roman"/>
                <w:b/>
                <w:sz w:val="18"/>
                <w:szCs w:val="18"/>
                <w:lang w:val="de-DE"/>
              </w:rPr>
            </w:pPr>
            <w:r w:rsidRPr="00402720">
              <w:rPr>
                <w:rFonts w:ascii="Times New Roman" w:hAnsi="Times New Roman" w:cs="Times New Roman"/>
                <w:b/>
                <w:sz w:val="18"/>
                <w:szCs w:val="18"/>
                <w:lang w:val="de-DE"/>
              </w:rPr>
              <w:t>Häufigkeit nicht bekannt</w:t>
            </w:r>
          </w:p>
        </w:tc>
      </w:tr>
      <w:tr w:rsidR="00A12938" w:rsidRPr="00402720" w14:paraId="155E443E" w14:textId="77777777" w:rsidTr="00E66954">
        <w:trPr>
          <w:trHeight w:val="20"/>
        </w:trPr>
        <w:tc>
          <w:tcPr>
            <w:tcW w:w="967" w:type="pct"/>
          </w:tcPr>
          <w:p w14:paraId="002528FB"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Infektionen und</w:t>
            </w:r>
          </w:p>
          <w:p w14:paraId="2CA1C554"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parasitäre</w:t>
            </w:r>
          </w:p>
          <w:p w14:paraId="551BFE6F"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w:t>
            </w:r>
            <w:r w:rsidR="00A526BE" w:rsidRPr="00402720">
              <w:rPr>
                <w:rFonts w:ascii="Times New Roman" w:hAnsi="Times New Roman" w:cs="Times New Roman"/>
                <w:sz w:val="18"/>
                <w:szCs w:val="18"/>
                <w:lang w:val="de-DE"/>
              </w:rPr>
              <w:t>ankungen</w:t>
            </w:r>
          </w:p>
        </w:tc>
        <w:tc>
          <w:tcPr>
            <w:tcW w:w="708" w:type="pct"/>
          </w:tcPr>
          <w:p w14:paraId="2DFCC529"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1040" w:type="pct"/>
          </w:tcPr>
          <w:p w14:paraId="552491C1"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Sepsis,</w:t>
            </w:r>
          </w:p>
          <w:p w14:paraId="76F88D79"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Zellulitis,</w:t>
            </w:r>
          </w:p>
          <w:p w14:paraId="38585E88"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Abszess</w:t>
            </w:r>
            <w:r w:rsidRPr="00402720">
              <w:rPr>
                <w:rFonts w:ascii="Times New Roman" w:hAnsi="Times New Roman" w:cs="Times New Roman"/>
                <w:sz w:val="18"/>
                <w:szCs w:val="18"/>
                <w:vertAlign w:val="superscript"/>
                <w:lang w:val="de-DE"/>
              </w:rPr>
              <w:t>a,</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w:t>
            </w:r>
          </w:p>
          <w:p w14:paraId="312F5FBF"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Infektion,</w:t>
            </w:r>
          </w:p>
          <w:p w14:paraId="01790226"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Harnwegsinfekt</w:t>
            </w:r>
          </w:p>
        </w:tc>
        <w:tc>
          <w:tcPr>
            <w:tcW w:w="379" w:type="pct"/>
          </w:tcPr>
          <w:p w14:paraId="1A542487"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535" w:type="pct"/>
          </w:tcPr>
          <w:p w14:paraId="290A15C7"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380" w:type="pct"/>
          </w:tcPr>
          <w:p w14:paraId="02F24442"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991" w:type="pct"/>
          </w:tcPr>
          <w:p w14:paraId="33CB3287" w14:textId="761CD2BF" w:rsidR="009B0445" w:rsidRPr="00402720" w:rsidRDefault="00B207B4"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nekrotisie</w:t>
            </w:r>
            <w:r w:rsidR="009B0445" w:rsidRPr="00402720">
              <w:rPr>
                <w:rFonts w:ascii="Times New Roman" w:hAnsi="Times New Roman" w:cs="Times New Roman"/>
                <w:sz w:val="18"/>
                <w:szCs w:val="18"/>
                <w:lang w:val="de-DE"/>
              </w:rPr>
              <w:t>rende</w:t>
            </w:r>
            <w:r w:rsidR="004E00FE" w:rsidRPr="00402720">
              <w:rPr>
                <w:rFonts w:ascii="Times New Roman" w:hAnsi="Times New Roman" w:cs="Times New Roman"/>
                <w:sz w:val="18"/>
                <w:szCs w:val="18"/>
                <w:lang w:val="de-DE"/>
              </w:rPr>
              <w:t xml:space="preserve"> </w:t>
            </w:r>
            <w:r w:rsidR="009B0445" w:rsidRPr="00402720">
              <w:rPr>
                <w:rFonts w:ascii="Times New Roman" w:hAnsi="Times New Roman" w:cs="Times New Roman"/>
                <w:sz w:val="18"/>
                <w:szCs w:val="18"/>
                <w:lang w:val="de-DE"/>
              </w:rPr>
              <w:t>Fasziitis</w:t>
            </w:r>
            <w:r w:rsidR="009B0445" w:rsidRPr="00402720">
              <w:rPr>
                <w:rFonts w:ascii="Times New Roman" w:hAnsi="Times New Roman" w:cs="Times New Roman"/>
                <w:sz w:val="18"/>
                <w:szCs w:val="18"/>
                <w:vertAlign w:val="superscript"/>
                <w:lang w:val="de-DE"/>
              </w:rPr>
              <w:t>c</w:t>
            </w:r>
            <w:r w:rsidR="009B0445" w:rsidRPr="00402720">
              <w:rPr>
                <w:rFonts w:ascii="Times New Roman" w:hAnsi="Times New Roman" w:cs="Times New Roman"/>
                <w:sz w:val="18"/>
                <w:szCs w:val="18"/>
                <w:lang w:val="de-DE"/>
              </w:rPr>
              <w:t xml:space="preserve"> </w:t>
            </w:r>
          </w:p>
        </w:tc>
      </w:tr>
      <w:tr w:rsidR="00A12938" w:rsidRPr="00402720" w14:paraId="27CC0CC6" w14:textId="77777777" w:rsidTr="00E66954">
        <w:trPr>
          <w:trHeight w:val="20"/>
        </w:trPr>
        <w:tc>
          <w:tcPr>
            <w:tcW w:w="967" w:type="pct"/>
          </w:tcPr>
          <w:p w14:paraId="5C6CBC86"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des</w:t>
            </w:r>
          </w:p>
          <w:p w14:paraId="52895980"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Blutes und des Lymphsystems </w:t>
            </w:r>
          </w:p>
        </w:tc>
        <w:tc>
          <w:tcPr>
            <w:tcW w:w="708" w:type="pct"/>
          </w:tcPr>
          <w:p w14:paraId="7A3B6C8C" w14:textId="36C0A6B8"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febrile</w:t>
            </w:r>
          </w:p>
          <w:p w14:paraId="54C02A06"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Neutropenie,</w:t>
            </w:r>
          </w:p>
          <w:p w14:paraId="6B19090F"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Leukopenie,</w:t>
            </w:r>
          </w:p>
          <w:p w14:paraId="3A7D7F55"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Neutropenie</w:t>
            </w:r>
            <w:r w:rsidRPr="00402720">
              <w:rPr>
                <w:rFonts w:ascii="Times New Roman" w:hAnsi="Times New Roman" w:cs="Times New Roman"/>
                <w:sz w:val="18"/>
                <w:szCs w:val="18"/>
                <w:vertAlign w:val="superscript"/>
                <w:lang w:val="de-DE"/>
              </w:rPr>
              <w:t>a</w:t>
            </w:r>
            <w:r w:rsidRPr="00402720">
              <w:rPr>
                <w:rFonts w:ascii="Times New Roman" w:hAnsi="Times New Roman" w:cs="Times New Roman"/>
                <w:sz w:val="18"/>
                <w:szCs w:val="18"/>
                <w:lang w:val="de-DE"/>
              </w:rPr>
              <w:t>,</w:t>
            </w:r>
          </w:p>
          <w:p w14:paraId="7B8AB585"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Thrombozy</w:t>
            </w:r>
            <w:r w:rsidR="00203E14"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topenie</w:t>
            </w:r>
          </w:p>
        </w:tc>
        <w:tc>
          <w:tcPr>
            <w:tcW w:w="1040" w:type="pct"/>
          </w:tcPr>
          <w:p w14:paraId="1362A0C3"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Anämie,</w:t>
            </w:r>
          </w:p>
          <w:p w14:paraId="49BE0C9D"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Lymphopenie</w:t>
            </w:r>
          </w:p>
          <w:p w14:paraId="1AF6D095"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379" w:type="pct"/>
          </w:tcPr>
          <w:p w14:paraId="09ACAD0A"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535" w:type="pct"/>
          </w:tcPr>
          <w:p w14:paraId="407701FE"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380" w:type="pct"/>
          </w:tcPr>
          <w:p w14:paraId="3094514E"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991" w:type="pct"/>
          </w:tcPr>
          <w:p w14:paraId="44FFE39E"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r>
      <w:tr w:rsidR="00A12938" w:rsidRPr="00A12938" w14:paraId="15C3EC0D" w14:textId="77777777" w:rsidTr="00E66954">
        <w:trPr>
          <w:trHeight w:val="20"/>
        </w:trPr>
        <w:tc>
          <w:tcPr>
            <w:tcW w:w="967" w:type="pct"/>
          </w:tcPr>
          <w:p w14:paraId="5A12E2BE" w14:textId="77777777" w:rsidR="009B0445" w:rsidRPr="00402720" w:rsidRDefault="00A526BE"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des Immun</w:t>
            </w:r>
            <w:r w:rsidR="009B0445" w:rsidRPr="00402720">
              <w:rPr>
                <w:rFonts w:ascii="Times New Roman" w:hAnsi="Times New Roman" w:cs="Times New Roman"/>
                <w:sz w:val="18"/>
                <w:szCs w:val="18"/>
                <w:lang w:val="de-DE"/>
              </w:rPr>
              <w:t xml:space="preserve">systems </w:t>
            </w:r>
          </w:p>
        </w:tc>
        <w:tc>
          <w:tcPr>
            <w:tcW w:w="708" w:type="pct"/>
          </w:tcPr>
          <w:p w14:paraId="2191728F"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1040" w:type="pct"/>
          </w:tcPr>
          <w:p w14:paraId="63E4A220" w14:textId="65BE7705" w:rsidR="009B0445" w:rsidRPr="00402720" w:rsidRDefault="00A12938" w:rsidP="00A12938">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Überempfindlichkeit,</w:t>
            </w:r>
            <w:r w:rsidR="00065435">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infusionsbedingte Reaktionen</w:t>
            </w:r>
            <w:r w:rsidRPr="00402720">
              <w:rPr>
                <w:rFonts w:ascii="Times New Roman" w:hAnsi="Times New Roman" w:cs="Times New Roman"/>
                <w:sz w:val="18"/>
                <w:szCs w:val="18"/>
                <w:vertAlign w:val="superscript"/>
                <w:lang w:val="de-DE"/>
              </w:rPr>
              <w:t>a, b, c</w:t>
            </w:r>
          </w:p>
        </w:tc>
        <w:tc>
          <w:tcPr>
            <w:tcW w:w="379" w:type="pct"/>
          </w:tcPr>
          <w:p w14:paraId="552C9F15"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535" w:type="pct"/>
          </w:tcPr>
          <w:p w14:paraId="2BDFD354" w14:textId="31495C92" w:rsidR="009B0445" w:rsidRPr="00402720" w:rsidRDefault="00A12938" w:rsidP="00402720">
            <w:pPr>
              <w:spacing w:after="0" w:line="240" w:lineRule="auto"/>
              <w:rPr>
                <w:rFonts w:ascii="Times New Roman" w:hAnsi="Times New Roman" w:cs="Times New Roman"/>
                <w:sz w:val="18"/>
                <w:szCs w:val="18"/>
                <w:lang w:val="de-DE"/>
              </w:rPr>
            </w:pPr>
            <w:r>
              <w:rPr>
                <w:rFonts w:ascii="Times New Roman" w:hAnsi="Times New Roman" w:cs="Times New Roman"/>
                <w:sz w:val="18"/>
                <w:szCs w:val="18"/>
                <w:lang w:val="de-DE"/>
              </w:rPr>
              <w:t>anaphy-laktischer Schock</w:t>
            </w:r>
          </w:p>
        </w:tc>
        <w:tc>
          <w:tcPr>
            <w:tcW w:w="380" w:type="pct"/>
          </w:tcPr>
          <w:p w14:paraId="44BB0A2B"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991" w:type="pct"/>
          </w:tcPr>
          <w:p w14:paraId="179DA4B2" w14:textId="0CD0D2FA"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r>
      <w:tr w:rsidR="00A12938" w:rsidRPr="00402720" w14:paraId="11DA10CE" w14:textId="77777777" w:rsidTr="00E66954">
        <w:trPr>
          <w:trHeight w:val="20"/>
        </w:trPr>
        <w:tc>
          <w:tcPr>
            <w:tcW w:w="967" w:type="pct"/>
          </w:tcPr>
          <w:p w14:paraId="184368B8" w14:textId="77777777" w:rsidR="009B0445" w:rsidRPr="00402720" w:rsidRDefault="00975C02"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lastRenderedPageBreak/>
              <w:t>Stoffwechsel</w:t>
            </w:r>
            <w:r w:rsidR="004F07A5" w:rsidRPr="00402720">
              <w:rPr>
                <w:rFonts w:ascii="Times New Roman" w:hAnsi="Times New Roman" w:cs="Times New Roman"/>
                <w:sz w:val="18"/>
                <w:szCs w:val="18"/>
                <w:lang w:val="de-DE"/>
              </w:rPr>
              <w:t xml:space="preserve">- </w:t>
            </w:r>
            <w:r w:rsidR="009B0445" w:rsidRPr="00402720">
              <w:rPr>
                <w:rFonts w:ascii="Times New Roman" w:hAnsi="Times New Roman" w:cs="Times New Roman"/>
                <w:sz w:val="18"/>
                <w:szCs w:val="18"/>
                <w:lang w:val="de-DE"/>
              </w:rPr>
              <w:t>und</w:t>
            </w:r>
            <w:r w:rsidRPr="00402720">
              <w:rPr>
                <w:rFonts w:ascii="Times New Roman" w:hAnsi="Times New Roman" w:cs="Times New Roman"/>
                <w:sz w:val="18"/>
                <w:szCs w:val="18"/>
                <w:lang w:val="de-DE"/>
              </w:rPr>
              <w:t xml:space="preserve"> </w:t>
            </w:r>
            <w:r w:rsidR="009B0445" w:rsidRPr="00402720">
              <w:rPr>
                <w:rFonts w:ascii="Times New Roman" w:hAnsi="Times New Roman" w:cs="Times New Roman"/>
                <w:sz w:val="18"/>
                <w:szCs w:val="18"/>
                <w:lang w:val="de-DE"/>
              </w:rPr>
              <w:t xml:space="preserve">Ernährungsstörungen </w:t>
            </w:r>
          </w:p>
        </w:tc>
        <w:tc>
          <w:tcPr>
            <w:tcW w:w="708" w:type="pct"/>
          </w:tcPr>
          <w:p w14:paraId="6D1524F2"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1040" w:type="pct"/>
          </w:tcPr>
          <w:p w14:paraId="5F374A67"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Dehydratation,</w:t>
            </w:r>
          </w:p>
          <w:p w14:paraId="672E403C" w14:textId="77777777" w:rsidR="009B0445" w:rsidRPr="00402720" w:rsidRDefault="0052278F"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Hyponatriämie</w:t>
            </w:r>
          </w:p>
        </w:tc>
        <w:tc>
          <w:tcPr>
            <w:tcW w:w="379" w:type="pct"/>
          </w:tcPr>
          <w:p w14:paraId="7463306F"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535" w:type="pct"/>
          </w:tcPr>
          <w:p w14:paraId="1C460F15"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380" w:type="pct"/>
          </w:tcPr>
          <w:p w14:paraId="46BD5CBD"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991" w:type="pct"/>
          </w:tcPr>
          <w:p w14:paraId="699B9CC5"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r>
      <w:tr w:rsidR="00A12938" w:rsidRPr="00402720" w14:paraId="636BF23C" w14:textId="77777777" w:rsidTr="00E66954">
        <w:trPr>
          <w:trHeight w:val="20"/>
        </w:trPr>
        <w:tc>
          <w:tcPr>
            <w:tcW w:w="967" w:type="pct"/>
          </w:tcPr>
          <w:p w14:paraId="75C35D23" w14:textId="77777777" w:rsidR="009B0445" w:rsidRPr="00402720" w:rsidRDefault="009B0445" w:rsidP="00AA0497">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des</w:t>
            </w:r>
          </w:p>
          <w:p w14:paraId="62D911A8" w14:textId="77777777" w:rsidR="009B0445" w:rsidRPr="00402720" w:rsidRDefault="009B0445" w:rsidP="00AA0497">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Nervensystems </w:t>
            </w:r>
          </w:p>
        </w:tc>
        <w:tc>
          <w:tcPr>
            <w:tcW w:w="708" w:type="pct"/>
          </w:tcPr>
          <w:p w14:paraId="78521F70" w14:textId="0176BCC4" w:rsidR="009B0445" w:rsidRPr="00402720" w:rsidRDefault="009B0445" w:rsidP="00AA0497">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periphere</w:t>
            </w:r>
            <w:r w:rsidR="00FE2A11"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sensorische</w:t>
            </w:r>
            <w:r w:rsidR="00FE2A11"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Neuropathie</w:t>
            </w:r>
            <w:r w:rsidRPr="00402720">
              <w:rPr>
                <w:rFonts w:ascii="Times New Roman" w:hAnsi="Times New Roman" w:cs="Times New Roman"/>
                <w:sz w:val="18"/>
                <w:szCs w:val="18"/>
                <w:vertAlign w:val="superscript"/>
                <w:lang w:val="de-DE"/>
              </w:rPr>
              <w:t>a</w:t>
            </w:r>
            <w:r w:rsidRPr="00402720">
              <w:rPr>
                <w:rFonts w:ascii="Times New Roman" w:hAnsi="Times New Roman" w:cs="Times New Roman"/>
                <w:sz w:val="18"/>
                <w:szCs w:val="18"/>
                <w:lang w:val="de-DE"/>
              </w:rPr>
              <w:t xml:space="preserve"> </w:t>
            </w:r>
          </w:p>
        </w:tc>
        <w:tc>
          <w:tcPr>
            <w:tcW w:w="1040" w:type="pct"/>
          </w:tcPr>
          <w:p w14:paraId="018D00BB" w14:textId="77777777" w:rsidR="009B0445" w:rsidRPr="00402720" w:rsidRDefault="009B0445" w:rsidP="00AA0497">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Apoplex,</w:t>
            </w:r>
          </w:p>
          <w:p w14:paraId="1961AEEC" w14:textId="77777777" w:rsidR="009B0445" w:rsidRPr="00402720" w:rsidRDefault="009B0445" w:rsidP="00AA0497">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Synkope,</w:t>
            </w:r>
          </w:p>
          <w:p w14:paraId="538054EC" w14:textId="77777777" w:rsidR="009B0445" w:rsidRPr="00402720" w:rsidRDefault="009B0445" w:rsidP="00AA0497">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Somnolenz,</w:t>
            </w:r>
          </w:p>
          <w:p w14:paraId="7D46C81F" w14:textId="77777777" w:rsidR="009B0445" w:rsidRPr="00402720" w:rsidRDefault="009B0445" w:rsidP="00AA0497">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Kopfschmerzen </w:t>
            </w:r>
          </w:p>
        </w:tc>
        <w:tc>
          <w:tcPr>
            <w:tcW w:w="379" w:type="pct"/>
          </w:tcPr>
          <w:p w14:paraId="1F784274" w14:textId="77777777" w:rsidR="009B0445" w:rsidRPr="00402720" w:rsidRDefault="009B0445" w:rsidP="00AA0497">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535" w:type="pct"/>
          </w:tcPr>
          <w:p w14:paraId="639A12E9" w14:textId="77777777" w:rsidR="009B0445" w:rsidRPr="00402720" w:rsidRDefault="009B0445" w:rsidP="00AA0497">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380" w:type="pct"/>
          </w:tcPr>
          <w:p w14:paraId="28D46C62" w14:textId="77777777" w:rsidR="009B0445" w:rsidRPr="00402720" w:rsidRDefault="009B0445" w:rsidP="00AA0497">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991" w:type="pct"/>
          </w:tcPr>
          <w:p w14:paraId="7CBAC29B" w14:textId="43D99047" w:rsidR="009B0445" w:rsidRPr="00402720" w:rsidRDefault="009B0445" w:rsidP="00AA0497">
            <w:pPr>
              <w:keepNext/>
              <w:keepLines/>
              <w:spacing w:after="0" w:line="240" w:lineRule="auto"/>
              <w:rPr>
                <w:rFonts w:ascii="Times New Roman" w:hAnsi="Times New Roman" w:cs="Times New Roman"/>
                <w:sz w:val="18"/>
                <w:szCs w:val="18"/>
                <w:lang w:val="fr-FR"/>
              </w:rPr>
            </w:pPr>
            <w:r w:rsidRPr="00402720">
              <w:rPr>
                <w:rFonts w:ascii="Times New Roman" w:hAnsi="Times New Roman" w:cs="Times New Roman"/>
                <w:sz w:val="18"/>
                <w:szCs w:val="18"/>
                <w:lang w:val="fr-FR"/>
              </w:rPr>
              <w:t>posteriores reversibles</w:t>
            </w:r>
            <w:r w:rsidR="00FE2A11" w:rsidRPr="00402720">
              <w:rPr>
                <w:rFonts w:ascii="Times New Roman" w:hAnsi="Times New Roman" w:cs="Times New Roman"/>
                <w:sz w:val="18"/>
                <w:szCs w:val="18"/>
                <w:lang w:val="fr-FR"/>
              </w:rPr>
              <w:t xml:space="preserve"> </w:t>
            </w:r>
            <w:r w:rsidRPr="00402720">
              <w:rPr>
                <w:rFonts w:ascii="Times New Roman" w:hAnsi="Times New Roman" w:cs="Times New Roman"/>
                <w:sz w:val="18"/>
                <w:szCs w:val="18"/>
                <w:lang w:val="fr-FR"/>
              </w:rPr>
              <w:t>Enzephalopathie-Syndrom</w:t>
            </w:r>
            <w:r w:rsidRPr="00402720">
              <w:rPr>
                <w:rFonts w:ascii="Times New Roman" w:hAnsi="Times New Roman" w:cs="Times New Roman"/>
                <w:sz w:val="18"/>
                <w:szCs w:val="18"/>
                <w:vertAlign w:val="superscript"/>
                <w:lang w:val="fr-FR"/>
              </w:rPr>
              <w:t>a,</w:t>
            </w:r>
            <w:r w:rsidR="00B207B4" w:rsidRPr="00402720">
              <w:rPr>
                <w:rFonts w:ascii="Times New Roman" w:hAnsi="Times New Roman" w:cs="Times New Roman"/>
                <w:sz w:val="18"/>
                <w:szCs w:val="18"/>
                <w:vertAlign w:val="superscript"/>
                <w:lang w:val="fr-FR"/>
              </w:rPr>
              <w:t xml:space="preserve"> </w:t>
            </w:r>
            <w:r w:rsidRPr="00402720">
              <w:rPr>
                <w:rFonts w:ascii="Times New Roman" w:hAnsi="Times New Roman" w:cs="Times New Roman"/>
                <w:sz w:val="18"/>
                <w:szCs w:val="18"/>
                <w:vertAlign w:val="superscript"/>
                <w:lang w:val="fr-FR"/>
              </w:rPr>
              <w:t>b,</w:t>
            </w:r>
            <w:r w:rsidR="00B207B4" w:rsidRPr="00402720">
              <w:rPr>
                <w:rFonts w:ascii="Times New Roman" w:hAnsi="Times New Roman" w:cs="Times New Roman"/>
                <w:sz w:val="18"/>
                <w:szCs w:val="18"/>
                <w:vertAlign w:val="superscript"/>
                <w:lang w:val="fr-FR"/>
              </w:rPr>
              <w:t xml:space="preserve"> </w:t>
            </w:r>
            <w:r w:rsidRPr="00402720">
              <w:rPr>
                <w:rFonts w:ascii="Times New Roman" w:hAnsi="Times New Roman" w:cs="Times New Roman"/>
                <w:sz w:val="18"/>
                <w:szCs w:val="18"/>
                <w:vertAlign w:val="superscript"/>
                <w:lang w:val="fr-FR"/>
              </w:rPr>
              <w:t>c</w:t>
            </w:r>
            <w:r w:rsidRPr="00402720">
              <w:rPr>
                <w:rFonts w:ascii="Times New Roman" w:hAnsi="Times New Roman" w:cs="Times New Roman"/>
                <w:sz w:val="18"/>
                <w:szCs w:val="18"/>
                <w:lang w:val="fr-FR"/>
              </w:rPr>
              <w:t>,</w:t>
            </w:r>
          </w:p>
          <w:p w14:paraId="23C8A4EE" w14:textId="7E7AB0B2" w:rsidR="009B0445" w:rsidRPr="00402720" w:rsidRDefault="0052278F" w:rsidP="00AA0497">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hypertensive Enze</w:t>
            </w:r>
            <w:r w:rsidR="009B0445" w:rsidRPr="00402720">
              <w:rPr>
                <w:rFonts w:ascii="Times New Roman" w:hAnsi="Times New Roman" w:cs="Times New Roman"/>
                <w:sz w:val="18"/>
                <w:szCs w:val="18"/>
                <w:lang w:val="de-DE"/>
              </w:rPr>
              <w:t>phalopathie</w:t>
            </w:r>
            <w:r w:rsidR="009B0445" w:rsidRPr="00402720">
              <w:rPr>
                <w:rFonts w:ascii="Times New Roman" w:hAnsi="Times New Roman" w:cs="Times New Roman"/>
                <w:sz w:val="18"/>
                <w:szCs w:val="18"/>
                <w:vertAlign w:val="superscript"/>
                <w:lang w:val="de-DE"/>
              </w:rPr>
              <w:t>c</w:t>
            </w:r>
            <w:r w:rsidR="009B0445" w:rsidRPr="00402720">
              <w:rPr>
                <w:rFonts w:ascii="Times New Roman" w:hAnsi="Times New Roman" w:cs="Times New Roman"/>
                <w:sz w:val="18"/>
                <w:szCs w:val="18"/>
                <w:lang w:val="de-DE"/>
              </w:rPr>
              <w:t xml:space="preserve"> </w:t>
            </w:r>
          </w:p>
        </w:tc>
      </w:tr>
      <w:tr w:rsidR="00A12938" w:rsidRPr="00B83674" w14:paraId="0B6F9FEF" w14:textId="77777777" w:rsidTr="00E66954">
        <w:trPr>
          <w:trHeight w:val="20"/>
        </w:trPr>
        <w:tc>
          <w:tcPr>
            <w:tcW w:w="967" w:type="pct"/>
          </w:tcPr>
          <w:p w14:paraId="3F38D558"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Herzerkrankungen </w:t>
            </w:r>
          </w:p>
        </w:tc>
        <w:tc>
          <w:tcPr>
            <w:tcW w:w="708" w:type="pct"/>
          </w:tcPr>
          <w:p w14:paraId="025D59E1"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1040" w:type="pct"/>
          </w:tcPr>
          <w:p w14:paraId="0A4FC11E" w14:textId="05A5E2E3"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kongestive</w:t>
            </w:r>
            <w:r w:rsidR="004A1ABD"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Herzinsuffizienz</w:t>
            </w:r>
            <w:r w:rsidRPr="00402720">
              <w:rPr>
                <w:rFonts w:ascii="Times New Roman" w:hAnsi="Times New Roman" w:cs="Times New Roman"/>
                <w:sz w:val="18"/>
                <w:szCs w:val="18"/>
                <w:vertAlign w:val="superscript"/>
                <w:lang w:val="de-DE"/>
              </w:rPr>
              <w:t>a,</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w:t>
            </w:r>
          </w:p>
          <w:p w14:paraId="77662198" w14:textId="263E6D7B" w:rsidR="009B0445" w:rsidRPr="00402720" w:rsidRDefault="007078AF"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supraven</w:t>
            </w:r>
            <w:r w:rsidR="009B0445" w:rsidRPr="00402720">
              <w:rPr>
                <w:rFonts w:ascii="Times New Roman" w:hAnsi="Times New Roman" w:cs="Times New Roman"/>
                <w:sz w:val="18"/>
                <w:szCs w:val="18"/>
                <w:lang w:val="de-DE"/>
              </w:rPr>
              <w:t>trikuläre</w:t>
            </w:r>
            <w:r w:rsidR="008F3B33" w:rsidRPr="00402720">
              <w:rPr>
                <w:rFonts w:ascii="Times New Roman" w:hAnsi="Times New Roman" w:cs="Times New Roman"/>
                <w:sz w:val="18"/>
                <w:szCs w:val="18"/>
                <w:lang w:val="de-DE"/>
              </w:rPr>
              <w:t xml:space="preserve"> </w:t>
            </w:r>
            <w:r w:rsidR="009B0445" w:rsidRPr="00402720">
              <w:rPr>
                <w:rFonts w:ascii="Times New Roman" w:hAnsi="Times New Roman" w:cs="Times New Roman"/>
                <w:sz w:val="18"/>
                <w:szCs w:val="18"/>
                <w:lang w:val="de-DE"/>
              </w:rPr>
              <w:t xml:space="preserve">Tachykardie </w:t>
            </w:r>
          </w:p>
        </w:tc>
        <w:tc>
          <w:tcPr>
            <w:tcW w:w="379" w:type="pct"/>
          </w:tcPr>
          <w:p w14:paraId="2423C639"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535" w:type="pct"/>
          </w:tcPr>
          <w:p w14:paraId="0B7831E1"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380" w:type="pct"/>
          </w:tcPr>
          <w:p w14:paraId="1D1E4EEB"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991" w:type="pct"/>
          </w:tcPr>
          <w:p w14:paraId="2EC66078"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r>
      <w:tr w:rsidR="00A12938" w:rsidRPr="00DA11F8" w14:paraId="0B11B89C" w14:textId="77777777" w:rsidTr="00E66954">
        <w:trPr>
          <w:trHeight w:val="20"/>
        </w:trPr>
        <w:tc>
          <w:tcPr>
            <w:tcW w:w="967" w:type="pct"/>
          </w:tcPr>
          <w:p w14:paraId="54573A1D"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Gefäßerkrankungen </w:t>
            </w:r>
          </w:p>
        </w:tc>
        <w:tc>
          <w:tcPr>
            <w:tcW w:w="708" w:type="pct"/>
          </w:tcPr>
          <w:p w14:paraId="315D3D68"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Hypertonie</w:t>
            </w:r>
            <w:r w:rsidRPr="00402720">
              <w:rPr>
                <w:rFonts w:ascii="Times New Roman" w:hAnsi="Times New Roman" w:cs="Times New Roman"/>
                <w:sz w:val="18"/>
                <w:szCs w:val="18"/>
                <w:vertAlign w:val="superscript"/>
                <w:lang w:val="de-DE"/>
              </w:rPr>
              <w:t>a,</w:t>
            </w:r>
            <w:r w:rsidR="00886BE0"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p>
        </w:tc>
        <w:tc>
          <w:tcPr>
            <w:tcW w:w="1040" w:type="pct"/>
          </w:tcPr>
          <w:p w14:paraId="61099493"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(arterielle)</w:t>
            </w:r>
          </w:p>
          <w:p w14:paraId="075D5FD2" w14:textId="77777777" w:rsidR="00997D6D"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Thrombo</w:t>
            </w:r>
            <w:r w:rsidR="00997D6D" w:rsidRPr="00402720">
              <w:rPr>
                <w:rFonts w:ascii="Times New Roman" w:hAnsi="Times New Roman" w:cs="Times New Roman"/>
                <w:sz w:val="18"/>
                <w:szCs w:val="18"/>
                <w:lang w:val="de-DE"/>
              </w:rPr>
              <w:t>-</w:t>
            </w:r>
          </w:p>
          <w:p w14:paraId="4795A46B" w14:textId="433946C9"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embolie</w:t>
            </w:r>
            <w:r w:rsidRPr="00402720">
              <w:rPr>
                <w:rFonts w:ascii="Times New Roman" w:hAnsi="Times New Roman" w:cs="Times New Roman"/>
                <w:sz w:val="18"/>
                <w:szCs w:val="18"/>
                <w:vertAlign w:val="superscript"/>
                <w:lang w:val="de-DE"/>
              </w:rPr>
              <w:t>a,</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w:t>
            </w:r>
          </w:p>
          <w:p w14:paraId="52D16E9E"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Blutungen</w:t>
            </w:r>
            <w:r w:rsidRPr="00402720">
              <w:rPr>
                <w:rFonts w:ascii="Times New Roman" w:hAnsi="Times New Roman" w:cs="Times New Roman"/>
                <w:sz w:val="18"/>
                <w:szCs w:val="18"/>
                <w:vertAlign w:val="superscript"/>
                <w:lang w:val="de-DE"/>
              </w:rPr>
              <w:t>a,</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w:t>
            </w:r>
          </w:p>
          <w:p w14:paraId="478D83C2" w14:textId="77777777" w:rsidR="009B0445" w:rsidRPr="00402720" w:rsidRDefault="0052278F"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(venöse) Thrombo</w:t>
            </w:r>
            <w:r w:rsidR="001574B1" w:rsidRPr="00402720">
              <w:rPr>
                <w:rFonts w:ascii="Times New Roman" w:hAnsi="Times New Roman" w:cs="Times New Roman"/>
                <w:sz w:val="18"/>
                <w:szCs w:val="18"/>
                <w:lang w:val="de-DE"/>
              </w:rPr>
              <w:t>-</w:t>
            </w:r>
            <w:r w:rsidR="009B0445" w:rsidRPr="00402720">
              <w:rPr>
                <w:rFonts w:ascii="Times New Roman" w:hAnsi="Times New Roman" w:cs="Times New Roman"/>
                <w:sz w:val="18"/>
                <w:szCs w:val="18"/>
                <w:lang w:val="de-DE"/>
              </w:rPr>
              <w:t>embolie</w:t>
            </w:r>
            <w:r w:rsidR="009B0445" w:rsidRPr="00402720">
              <w:rPr>
                <w:rFonts w:ascii="Times New Roman" w:hAnsi="Times New Roman" w:cs="Times New Roman"/>
                <w:sz w:val="18"/>
                <w:szCs w:val="18"/>
                <w:vertAlign w:val="superscript"/>
                <w:lang w:val="de-DE"/>
              </w:rPr>
              <w:t>a,</w:t>
            </w:r>
            <w:r w:rsidR="00EC0053" w:rsidRPr="00402720">
              <w:rPr>
                <w:rFonts w:ascii="Times New Roman" w:hAnsi="Times New Roman" w:cs="Times New Roman"/>
                <w:sz w:val="18"/>
                <w:szCs w:val="18"/>
                <w:vertAlign w:val="superscript"/>
                <w:lang w:val="de-DE"/>
              </w:rPr>
              <w:t xml:space="preserve"> </w:t>
            </w:r>
            <w:r w:rsidR="009B0445" w:rsidRPr="00402720">
              <w:rPr>
                <w:rFonts w:ascii="Times New Roman" w:hAnsi="Times New Roman" w:cs="Times New Roman"/>
                <w:sz w:val="18"/>
                <w:szCs w:val="18"/>
                <w:vertAlign w:val="superscript"/>
                <w:lang w:val="de-DE"/>
              </w:rPr>
              <w:t>b</w:t>
            </w:r>
            <w:r w:rsidR="009B0445" w:rsidRPr="00402720">
              <w:rPr>
                <w:rFonts w:ascii="Times New Roman" w:hAnsi="Times New Roman" w:cs="Times New Roman"/>
                <w:sz w:val="18"/>
                <w:szCs w:val="18"/>
                <w:lang w:val="de-DE"/>
              </w:rPr>
              <w:t>,</w:t>
            </w:r>
          </w:p>
          <w:p w14:paraId="1B047395" w14:textId="2431A3C1"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tiefe Venenthrombose </w:t>
            </w:r>
          </w:p>
        </w:tc>
        <w:tc>
          <w:tcPr>
            <w:tcW w:w="379" w:type="pct"/>
          </w:tcPr>
          <w:p w14:paraId="14D2E742"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535" w:type="pct"/>
          </w:tcPr>
          <w:p w14:paraId="79FE976E"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380" w:type="pct"/>
          </w:tcPr>
          <w:p w14:paraId="3704499A"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991" w:type="pct"/>
          </w:tcPr>
          <w:p w14:paraId="467D93F3" w14:textId="2BD7523D" w:rsidR="00DB2575" w:rsidRPr="00402720" w:rsidRDefault="009B0445" w:rsidP="00402720">
            <w:pPr>
              <w:spacing w:after="0" w:line="240" w:lineRule="auto"/>
              <w:rPr>
                <w:rFonts w:ascii="Times New Roman" w:hAnsi="Times New Roman" w:cs="Times New Roman"/>
                <w:sz w:val="18"/>
                <w:szCs w:val="18"/>
                <w:vertAlign w:val="superscript"/>
                <w:lang w:val="de-DE"/>
              </w:rPr>
            </w:pPr>
            <w:r w:rsidRPr="00402720">
              <w:rPr>
                <w:rFonts w:ascii="Times New Roman" w:hAnsi="Times New Roman" w:cs="Times New Roman"/>
                <w:sz w:val="18"/>
                <w:szCs w:val="18"/>
                <w:lang w:val="de-DE"/>
              </w:rPr>
              <w:t>renale</w:t>
            </w:r>
            <w:r w:rsidR="008F3B33"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thrombotische</w:t>
            </w:r>
            <w:r w:rsidR="008F3B33" w:rsidRPr="00402720">
              <w:rPr>
                <w:rFonts w:ascii="Times New Roman" w:hAnsi="Times New Roman" w:cs="Times New Roman"/>
                <w:sz w:val="18"/>
                <w:szCs w:val="18"/>
                <w:lang w:val="de-DE"/>
              </w:rPr>
              <w:t xml:space="preserve"> </w:t>
            </w:r>
            <w:r w:rsidR="0052278F" w:rsidRPr="00402720">
              <w:rPr>
                <w:rFonts w:ascii="Times New Roman" w:hAnsi="Times New Roman" w:cs="Times New Roman"/>
                <w:sz w:val="18"/>
                <w:szCs w:val="18"/>
                <w:lang w:val="de-DE"/>
              </w:rPr>
              <w:t>Mikroan</w:t>
            </w:r>
            <w:r w:rsidRPr="00402720">
              <w:rPr>
                <w:rFonts w:ascii="Times New Roman" w:hAnsi="Times New Roman" w:cs="Times New Roman"/>
                <w:sz w:val="18"/>
                <w:szCs w:val="18"/>
                <w:lang w:val="de-DE"/>
              </w:rPr>
              <w:t>giopathie</w:t>
            </w:r>
            <w:r w:rsidRPr="00402720">
              <w:rPr>
                <w:rFonts w:ascii="Times New Roman" w:hAnsi="Times New Roman" w:cs="Times New Roman"/>
                <w:sz w:val="18"/>
                <w:szCs w:val="18"/>
                <w:vertAlign w:val="superscript"/>
                <w:lang w:val="de-DE"/>
              </w:rPr>
              <w:t>b,</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c</w:t>
            </w:r>
            <w:r w:rsidR="00DB2575" w:rsidRPr="00402720">
              <w:rPr>
                <w:rFonts w:ascii="Times New Roman" w:hAnsi="Times New Roman" w:cs="Times New Roman"/>
                <w:sz w:val="18"/>
                <w:szCs w:val="18"/>
                <w:lang w:val="de-DE"/>
              </w:rPr>
              <w:t>,</w:t>
            </w:r>
          </w:p>
          <w:p w14:paraId="2491DE81" w14:textId="5AA1A6D8" w:rsidR="00DB2575" w:rsidRPr="00402720" w:rsidRDefault="00DB257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Aneurysmen und Arteriendissektionen</w:t>
            </w:r>
          </w:p>
        </w:tc>
      </w:tr>
      <w:tr w:rsidR="00A12938" w:rsidRPr="002A434E" w14:paraId="3A34872D" w14:textId="77777777" w:rsidTr="00E66954">
        <w:trPr>
          <w:trHeight w:val="20"/>
        </w:trPr>
        <w:tc>
          <w:tcPr>
            <w:tcW w:w="967" w:type="pct"/>
          </w:tcPr>
          <w:p w14:paraId="41E3DF8F"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der</w:t>
            </w:r>
          </w:p>
          <w:p w14:paraId="5E045534"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Atemwege, des Brust-</w:t>
            </w:r>
          </w:p>
          <w:p w14:paraId="67458714"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raums und</w:t>
            </w:r>
          </w:p>
          <w:p w14:paraId="715BE646"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Mediastinums </w:t>
            </w:r>
          </w:p>
        </w:tc>
        <w:tc>
          <w:tcPr>
            <w:tcW w:w="708" w:type="pct"/>
          </w:tcPr>
          <w:p w14:paraId="6D9E0DBA"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1040" w:type="pct"/>
          </w:tcPr>
          <w:p w14:paraId="638193FA" w14:textId="1F63D9E3"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Lungeneinblutung</w:t>
            </w:r>
            <w:r w:rsidR="00B9697F"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w:t>
            </w:r>
          </w:p>
          <w:p w14:paraId="7D16BDF3"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Bluthusten</w:t>
            </w:r>
            <w:r w:rsidRPr="00402720">
              <w:rPr>
                <w:rFonts w:ascii="Times New Roman" w:hAnsi="Times New Roman" w:cs="Times New Roman"/>
                <w:sz w:val="18"/>
                <w:szCs w:val="18"/>
                <w:vertAlign w:val="superscript"/>
                <w:lang w:val="de-DE"/>
              </w:rPr>
              <w:t>a,</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w:t>
            </w:r>
          </w:p>
          <w:p w14:paraId="6C821533"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Lungenembolie,</w:t>
            </w:r>
          </w:p>
          <w:p w14:paraId="55744488"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Epistaxis,</w:t>
            </w:r>
          </w:p>
          <w:p w14:paraId="771FB1E8" w14:textId="15F901C0" w:rsidR="0094399B"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Dyspnoe,</w:t>
            </w:r>
          </w:p>
          <w:p w14:paraId="6875EABF" w14:textId="40D644F1"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Hypoxie </w:t>
            </w:r>
          </w:p>
        </w:tc>
        <w:tc>
          <w:tcPr>
            <w:tcW w:w="379" w:type="pct"/>
          </w:tcPr>
          <w:p w14:paraId="0EBB9D52"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535" w:type="pct"/>
          </w:tcPr>
          <w:p w14:paraId="4E8F16E6"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380" w:type="pct"/>
          </w:tcPr>
          <w:p w14:paraId="626E53AA"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991" w:type="pct"/>
          </w:tcPr>
          <w:p w14:paraId="3D8C7FFE"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pulmonale</w:t>
            </w:r>
          </w:p>
          <w:p w14:paraId="521707F1"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Hypertonie</w:t>
            </w:r>
            <w:r w:rsidRPr="00402720">
              <w:rPr>
                <w:rFonts w:ascii="Times New Roman" w:hAnsi="Times New Roman" w:cs="Times New Roman"/>
                <w:sz w:val="18"/>
                <w:szCs w:val="18"/>
                <w:vertAlign w:val="superscript"/>
                <w:lang w:val="de-DE"/>
              </w:rPr>
              <w:t>c</w:t>
            </w:r>
            <w:r w:rsidRPr="00402720">
              <w:rPr>
                <w:rFonts w:ascii="Times New Roman" w:hAnsi="Times New Roman" w:cs="Times New Roman"/>
                <w:sz w:val="18"/>
                <w:szCs w:val="18"/>
                <w:lang w:val="de-DE"/>
              </w:rPr>
              <w:t>,</w:t>
            </w:r>
          </w:p>
          <w:p w14:paraId="6F44B72F" w14:textId="00432B0D"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Perforation der Nasenscheidewand</w:t>
            </w:r>
            <w:r w:rsidRPr="00402720">
              <w:rPr>
                <w:rFonts w:ascii="Times New Roman" w:hAnsi="Times New Roman" w:cs="Times New Roman"/>
                <w:sz w:val="18"/>
                <w:szCs w:val="18"/>
                <w:vertAlign w:val="superscript"/>
                <w:lang w:val="de-DE"/>
              </w:rPr>
              <w:t>c</w:t>
            </w:r>
            <w:r w:rsidRPr="00402720">
              <w:rPr>
                <w:rFonts w:ascii="Times New Roman" w:hAnsi="Times New Roman" w:cs="Times New Roman"/>
                <w:sz w:val="18"/>
                <w:szCs w:val="18"/>
                <w:lang w:val="de-DE"/>
              </w:rPr>
              <w:t xml:space="preserve"> </w:t>
            </w:r>
          </w:p>
        </w:tc>
      </w:tr>
      <w:tr w:rsidR="00A12938" w:rsidRPr="002A434E" w14:paraId="75B05E54" w14:textId="77777777" w:rsidTr="00E66954">
        <w:trPr>
          <w:trHeight w:val="20"/>
        </w:trPr>
        <w:tc>
          <w:tcPr>
            <w:tcW w:w="967" w:type="pct"/>
          </w:tcPr>
          <w:p w14:paraId="0C32A1FE" w14:textId="7777777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des</w:t>
            </w:r>
          </w:p>
          <w:p w14:paraId="0D7D3C2F" w14:textId="7777777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Gastrointestinaltrakts </w:t>
            </w:r>
          </w:p>
        </w:tc>
        <w:tc>
          <w:tcPr>
            <w:tcW w:w="708" w:type="pct"/>
          </w:tcPr>
          <w:p w14:paraId="187A7F50" w14:textId="7777777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Diarrhö,</w:t>
            </w:r>
          </w:p>
          <w:p w14:paraId="2E72E84B" w14:textId="7777777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Übelkeit,</w:t>
            </w:r>
          </w:p>
          <w:p w14:paraId="094662FC" w14:textId="7777777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Erbrechen,</w:t>
            </w:r>
          </w:p>
          <w:p w14:paraId="6C5019F0" w14:textId="7777777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Bauch</w:t>
            </w:r>
            <w:r w:rsidR="001574B1"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 xml:space="preserve">schmerzen </w:t>
            </w:r>
          </w:p>
        </w:tc>
        <w:tc>
          <w:tcPr>
            <w:tcW w:w="1040" w:type="pct"/>
          </w:tcPr>
          <w:p w14:paraId="57FFF576" w14:textId="7777777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Darm-</w:t>
            </w:r>
          </w:p>
          <w:p w14:paraId="117891A7" w14:textId="77777777" w:rsidR="009B0445" w:rsidRPr="00402720" w:rsidRDefault="004F07A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perforation</w:t>
            </w:r>
            <w:r w:rsidR="009B0445" w:rsidRPr="00402720">
              <w:rPr>
                <w:rFonts w:ascii="Times New Roman" w:hAnsi="Times New Roman" w:cs="Times New Roman"/>
                <w:sz w:val="18"/>
                <w:szCs w:val="18"/>
                <w:lang w:val="de-DE"/>
              </w:rPr>
              <w:t>,</w:t>
            </w:r>
          </w:p>
          <w:p w14:paraId="597868B7" w14:textId="77777777" w:rsidR="004F07A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Ileus, </w:t>
            </w:r>
          </w:p>
          <w:p w14:paraId="7A0FD610" w14:textId="77777777" w:rsidR="0094399B"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intestinale</w:t>
            </w:r>
            <w:r w:rsidR="0050501C"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Obstruktion,</w:t>
            </w:r>
          </w:p>
          <w:p w14:paraId="1777D166" w14:textId="423A86A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rektovaginale</w:t>
            </w:r>
            <w:r w:rsidR="0050501C"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Fisteln</w:t>
            </w:r>
            <w:r w:rsidRPr="00402720">
              <w:rPr>
                <w:rFonts w:ascii="Times New Roman" w:hAnsi="Times New Roman" w:cs="Times New Roman"/>
                <w:sz w:val="18"/>
                <w:szCs w:val="18"/>
                <w:vertAlign w:val="superscript"/>
                <w:lang w:val="de-DE"/>
              </w:rPr>
              <w:t>c,</w:t>
            </w:r>
            <w:r w:rsidR="000D1934">
              <w:rPr>
                <w:rFonts w:ascii="Times New Roman" w:hAnsi="Times New Roman" w:cs="Times New Roman"/>
                <w:sz w:val="18"/>
                <w:szCs w:val="18"/>
                <w:vertAlign w:val="superscript"/>
                <w:lang w:val="de-DE"/>
              </w:rPr>
              <w:t> </w:t>
            </w:r>
            <w:r w:rsidRPr="00402720">
              <w:rPr>
                <w:rFonts w:ascii="Times New Roman" w:hAnsi="Times New Roman" w:cs="Times New Roman"/>
                <w:sz w:val="18"/>
                <w:szCs w:val="18"/>
                <w:vertAlign w:val="superscript"/>
                <w:lang w:val="de-DE"/>
              </w:rPr>
              <w:t>d</w:t>
            </w:r>
            <w:r w:rsidRPr="00402720">
              <w:rPr>
                <w:rFonts w:ascii="Times New Roman" w:hAnsi="Times New Roman" w:cs="Times New Roman"/>
                <w:sz w:val="18"/>
                <w:szCs w:val="18"/>
                <w:lang w:val="de-DE"/>
              </w:rPr>
              <w:t>,</w:t>
            </w:r>
          </w:p>
          <w:p w14:paraId="6DE88E81" w14:textId="7A854A88"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 des</w:t>
            </w:r>
            <w:r w:rsidR="00827C84"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Gastrointes</w:t>
            </w:r>
            <w:r w:rsidR="001574B1"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tinaltrakts,</w:t>
            </w:r>
          </w:p>
          <w:p w14:paraId="0DAFEC91" w14:textId="7777777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Stomatitis,</w:t>
            </w:r>
          </w:p>
          <w:p w14:paraId="31133A56" w14:textId="7777777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Proktalgie </w:t>
            </w:r>
          </w:p>
        </w:tc>
        <w:tc>
          <w:tcPr>
            <w:tcW w:w="379" w:type="pct"/>
          </w:tcPr>
          <w:p w14:paraId="49B1CFE8" w14:textId="7777777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535" w:type="pct"/>
          </w:tcPr>
          <w:p w14:paraId="4581C8E1" w14:textId="7777777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380" w:type="pct"/>
          </w:tcPr>
          <w:p w14:paraId="1F043229" w14:textId="7777777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991" w:type="pct"/>
          </w:tcPr>
          <w:p w14:paraId="02D912E8" w14:textId="24821FC0"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Magen-Darm-</w:t>
            </w:r>
          </w:p>
          <w:p w14:paraId="5CB6F791" w14:textId="77777777"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Perforation</w:t>
            </w:r>
            <w:r w:rsidRPr="00402720">
              <w:rPr>
                <w:rFonts w:ascii="Times New Roman" w:hAnsi="Times New Roman" w:cs="Times New Roman"/>
                <w:sz w:val="18"/>
                <w:szCs w:val="18"/>
                <w:vertAlign w:val="superscript"/>
                <w:lang w:val="de-DE"/>
              </w:rPr>
              <w:t>a,</w:t>
            </w:r>
            <w:r w:rsidR="00B207B4"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w:t>
            </w:r>
          </w:p>
          <w:p w14:paraId="4226FE11" w14:textId="668947F4"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Magen</w:t>
            </w:r>
            <w:r w:rsidR="004F07A5"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Darm-Ulzera</w:t>
            </w:r>
            <w:r w:rsidRPr="00402720">
              <w:rPr>
                <w:rFonts w:ascii="Times New Roman" w:hAnsi="Times New Roman" w:cs="Times New Roman"/>
                <w:sz w:val="18"/>
                <w:szCs w:val="18"/>
                <w:vertAlign w:val="superscript"/>
                <w:lang w:val="de-DE"/>
              </w:rPr>
              <w:t>c</w:t>
            </w:r>
            <w:r w:rsidRPr="00402720">
              <w:rPr>
                <w:rFonts w:ascii="Times New Roman" w:hAnsi="Times New Roman" w:cs="Times New Roman"/>
                <w:sz w:val="18"/>
                <w:szCs w:val="18"/>
                <w:lang w:val="de-DE"/>
              </w:rPr>
              <w:t>,</w:t>
            </w:r>
          </w:p>
          <w:p w14:paraId="6CEDB11C" w14:textId="5590866E" w:rsidR="009B0445" w:rsidRPr="00402720" w:rsidRDefault="009B0445" w:rsidP="00402720">
            <w:pPr>
              <w:keepNext/>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Rektalblutungen </w:t>
            </w:r>
          </w:p>
        </w:tc>
      </w:tr>
      <w:tr w:rsidR="00A12938" w:rsidRPr="00402720" w14:paraId="6C51CBB1" w14:textId="77777777" w:rsidTr="00E66954">
        <w:trPr>
          <w:trHeight w:val="20"/>
        </w:trPr>
        <w:tc>
          <w:tcPr>
            <w:tcW w:w="967" w:type="pct"/>
          </w:tcPr>
          <w:p w14:paraId="0A1FB0BC"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Leber- und</w:t>
            </w:r>
            <w:r w:rsidR="0052278F"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 xml:space="preserve">Gallenerkrankungen </w:t>
            </w:r>
          </w:p>
        </w:tc>
        <w:tc>
          <w:tcPr>
            <w:tcW w:w="708" w:type="pct"/>
          </w:tcPr>
          <w:p w14:paraId="7CCBC547"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1040" w:type="pct"/>
          </w:tcPr>
          <w:p w14:paraId="305C42B5"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 </w:t>
            </w:r>
          </w:p>
        </w:tc>
        <w:tc>
          <w:tcPr>
            <w:tcW w:w="379" w:type="pct"/>
          </w:tcPr>
          <w:p w14:paraId="5E77F4CA"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535" w:type="pct"/>
          </w:tcPr>
          <w:p w14:paraId="3AF6DDD2"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380" w:type="pct"/>
          </w:tcPr>
          <w:p w14:paraId="2BA8A578"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991" w:type="pct"/>
          </w:tcPr>
          <w:p w14:paraId="7FE0C0CF" w14:textId="5B78B4DA"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Gallenblasen</w:t>
            </w:r>
            <w:r w:rsidR="00997D6D"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perforation</w:t>
            </w:r>
            <w:r w:rsidRPr="00402720">
              <w:rPr>
                <w:rFonts w:ascii="Times New Roman" w:hAnsi="Times New Roman" w:cs="Times New Roman"/>
                <w:sz w:val="18"/>
                <w:szCs w:val="18"/>
                <w:vertAlign w:val="superscript"/>
                <w:lang w:val="de-DE"/>
              </w:rPr>
              <w:t>b,</w:t>
            </w:r>
            <w:r w:rsidR="00CA0A38">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c</w:t>
            </w:r>
            <w:r w:rsidRPr="00402720">
              <w:rPr>
                <w:rFonts w:ascii="Times New Roman" w:hAnsi="Times New Roman" w:cs="Times New Roman"/>
                <w:sz w:val="18"/>
                <w:szCs w:val="18"/>
                <w:lang w:val="de-DE"/>
              </w:rPr>
              <w:t xml:space="preserve"> </w:t>
            </w:r>
          </w:p>
        </w:tc>
      </w:tr>
      <w:tr w:rsidR="00A12938" w:rsidRPr="002A434E" w14:paraId="2BFD645F" w14:textId="77777777" w:rsidTr="00E66954">
        <w:trPr>
          <w:trHeight w:val="20"/>
        </w:trPr>
        <w:tc>
          <w:tcPr>
            <w:tcW w:w="967" w:type="pct"/>
          </w:tcPr>
          <w:p w14:paraId="1900474E"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der Haut und des</w:t>
            </w:r>
          </w:p>
          <w:p w14:paraId="3ABC3482" w14:textId="5A4C9998"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Unterhautgewebes </w:t>
            </w:r>
          </w:p>
        </w:tc>
        <w:tc>
          <w:tcPr>
            <w:tcW w:w="708" w:type="pct"/>
          </w:tcPr>
          <w:p w14:paraId="61372967"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1040" w:type="pct"/>
          </w:tcPr>
          <w:p w14:paraId="1C3C4DE1" w14:textId="1DDC18D3"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Wundheilungs</w:t>
            </w:r>
            <w:r w:rsidR="00B9697F"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störungen</w:t>
            </w:r>
            <w:r w:rsidRPr="00402720">
              <w:rPr>
                <w:rFonts w:ascii="Times New Roman" w:hAnsi="Times New Roman" w:cs="Times New Roman"/>
                <w:sz w:val="18"/>
                <w:szCs w:val="18"/>
                <w:vertAlign w:val="superscript"/>
                <w:lang w:val="de-DE"/>
              </w:rPr>
              <w:t>a,</w:t>
            </w:r>
            <w:r w:rsidR="004F07A5"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w:t>
            </w:r>
          </w:p>
          <w:p w14:paraId="048C268F" w14:textId="1FB10CD4"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palmoplantares</w:t>
            </w:r>
            <w:r w:rsidR="00BD756C"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Erythrodysästhesie</w:t>
            </w:r>
            <w:r w:rsidR="001574B1"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 xml:space="preserve">Syndrom </w:t>
            </w:r>
          </w:p>
        </w:tc>
        <w:tc>
          <w:tcPr>
            <w:tcW w:w="379" w:type="pct"/>
          </w:tcPr>
          <w:p w14:paraId="0FAFE876"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535" w:type="pct"/>
          </w:tcPr>
          <w:p w14:paraId="6A75A64B"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380" w:type="pct"/>
          </w:tcPr>
          <w:p w14:paraId="3E798AA0"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991" w:type="pct"/>
          </w:tcPr>
          <w:p w14:paraId="57C7EDDF"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r>
      <w:tr w:rsidR="00A12938" w:rsidRPr="00402720" w14:paraId="0734AC24" w14:textId="77777777" w:rsidTr="00E66954">
        <w:trPr>
          <w:trHeight w:val="20"/>
        </w:trPr>
        <w:tc>
          <w:tcPr>
            <w:tcW w:w="967" w:type="pct"/>
          </w:tcPr>
          <w:p w14:paraId="33005A9E" w14:textId="3183A35F"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Skelettmuskulatur-,</w:t>
            </w:r>
            <w:r w:rsidR="0052278F"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Bindegewebs- und</w:t>
            </w:r>
            <w:r w:rsidR="0052278F"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Knochenerkran</w:t>
            </w:r>
            <w:r w:rsidR="00B83674">
              <w:rPr>
                <w:rFonts w:ascii="Times New Roman" w:hAnsi="Times New Roman" w:cs="Times New Roman"/>
                <w:sz w:val="18"/>
                <w:szCs w:val="18"/>
                <w:lang w:val="de-DE"/>
              </w:rPr>
              <w:t>-</w:t>
            </w:r>
            <w:r w:rsidRPr="00402720">
              <w:rPr>
                <w:rFonts w:ascii="Times New Roman" w:hAnsi="Times New Roman" w:cs="Times New Roman"/>
                <w:sz w:val="18"/>
                <w:szCs w:val="18"/>
                <w:lang w:val="de-DE"/>
              </w:rPr>
              <w:t xml:space="preserve">kungen </w:t>
            </w:r>
          </w:p>
        </w:tc>
        <w:tc>
          <w:tcPr>
            <w:tcW w:w="708" w:type="pct"/>
          </w:tcPr>
          <w:p w14:paraId="2FA12B87"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1040" w:type="pct"/>
          </w:tcPr>
          <w:p w14:paraId="550FA27F"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Fisteln</w:t>
            </w:r>
            <w:r w:rsidRPr="00402720">
              <w:rPr>
                <w:rFonts w:ascii="Times New Roman" w:hAnsi="Times New Roman" w:cs="Times New Roman"/>
                <w:sz w:val="18"/>
                <w:szCs w:val="18"/>
                <w:vertAlign w:val="superscript"/>
                <w:lang w:val="de-DE"/>
              </w:rPr>
              <w:t>a,</w:t>
            </w:r>
            <w:r w:rsidR="00886BE0"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w:t>
            </w:r>
          </w:p>
          <w:p w14:paraId="53D9D4C7"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Myalgie,</w:t>
            </w:r>
          </w:p>
          <w:p w14:paraId="66C4ACAF"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Arthralgie,</w:t>
            </w:r>
          </w:p>
          <w:p w14:paraId="22219FF9" w14:textId="6645E101"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Muskelschwäche,</w:t>
            </w:r>
          </w:p>
          <w:p w14:paraId="7F02EA98" w14:textId="21D5C1DA"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Rückenschmerzen </w:t>
            </w:r>
          </w:p>
        </w:tc>
        <w:tc>
          <w:tcPr>
            <w:tcW w:w="379" w:type="pct"/>
          </w:tcPr>
          <w:p w14:paraId="2DEED2F0"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535" w:type="pct"/>
          </w:tcPr>
          <w:p w14:paraId="3E1F15A2"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380" w:type="pct"/>
          </w:tcPr>
          <w:p w14:paraId="498DB687"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991" w:type="pct"/>
          </w:tcPr>
          <w:p w14:paraId="5CA0283E" w14:textId="2E774BE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Kiefernekrose</w:t>
            </w:r>
            <w:r w:rsidRPr="00402720">
              <w:rPr>
                <w:rFonts w:ascii="Times New Roman" w:hAnsi="Times New Roman" w:cs="Times New Roman"/>
                <w:sz w:val="18"/>
                <w:szCs w:val="18"/>
                <w:vertAlign w:val="superscript"/>
                <w:lang w:val="de-DE"/>
              </w:rPr>
              <w:t>b,</w:t>
            </w:r>
            <w:r w:rsidR="004F07A5"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c</w:t>
            </w:r>
            <w:r w:rsidRPr="00402720">
              <w:rPr>
                <w:rFonts w:ascii="Times New Roman" w:hAnsi="Times New Roman" w:cs="Times New Roman"/>
                <w:sz w:val="18"/>
                <w:szCs w:val="18"/>
                <w:lang w:val="de-DE"/>
              </w:rPr>
              <w:t xml:space="preserve"> </w:t>
            </w:r>
          </w:p>
        </w:tc>
      </w:tr>
      <w:tr w:rsidR="00A12938" w:rsidRPr="00402720" w14:paraId="26CA6238" w14:textId="77777777" w:rsidTr="00E66954">
        <w:trPr>
          <w:trHeight w:val="20"/>
        </w:trPr>
        <w:tc>
          <w:tcPr>
            <w:tcW w:w="967" w:type="pct"/>
          </w:tcPr>
          <w:p w14:paraId="0ABC9DD9"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der</w:t>
            </w:r>
            <w:r w:rsidR="0052278F"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 xml:space="preserve">Nieren und Harnwege </w:t>
            </w:r>
          </w:p>
        </w:tc>
        <w:tc>
          <w:tcPr>
            <w:tcW w:w="708" w:type="pct"/>
          </w:tcPr>
          <w:p w14:paraId="01004D3A"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1040" w:type="pct"/>
          </w:tcPr>
          <w:p w14:paraId="039F50D0"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Proteinurie</w:t>
            </w:r>
            <w:r w:rsidRPr="00402720">
              <w:rPr>
                <w:rFonts w:ascii="Times New Roman" w:hAnsi="Times New Roman" w:cs="Times New Roman"/>
                <w:sz w:val="18"/>
                <w:szCs w:val="18"/>
                <w:vertAlign w:val="superscript"/>
                <w:lang w:val="de-DE"/>
              </w:rPr>
              <w:t>a,</w:t>
            </w:r>
            <w:r w:rsidR="004F07A5"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 xml:space="preserve"> </w:t>
            </w:r>
          </w:p>
        </w:tc>
        <w:tc>
          <w:tcPr>
            <w:tcW w:w="379" w:type="pct"/>
          </w:tcPr>
          <w:p w14:paraId="11EBEB85"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535" w:type="pct"/>
          </w:tcPr>
          <w:p w14:paraId="22B715E2"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380" w:type="pct"/>
          </w:tcPr>
          <w:p w14:paraId="64CF3B06"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c>
          <w:tcPr>
            <w:tcW w:w="991" w:type="pct"/>
          </w:tcPr>
          <w:p w14:paraId="7D1842DF" w14:textId="77777777" w:rsidR="009B0445" w:rsidRPr="00402720" w:rsidRDefault="009B0445" w:rsidP="00402720">
            <w:pPr>
              <w:suppressAutoHyphens/>
              <w:spacing w:after="0" w:line="240" w:lineRule="auto"/>
              <w:rPr>
                <w:rFonts w:ascii="Times New Roman" w:hAnsi="Times New Roman" w:cs="Times New Roman"/>
                <w:sz w:val="18"/>
                <w:szCs w:val="18"/>
                <w:lang w:val="de-DE"/>
              </w:rPr>
            </w:pPr>
          </w:p>
        </w:tc>
      </w:tr>
      <w:tr w:rsidR="00A12938" w:rsidRPr="00402720" w14:paraId="6E659906" w14:textId="77777777" w:rsidTr="00E66954">
        <w:trPr>
          <w:trHeight w:val="20"/>
        </w:trPr>
        <w:tc>
          <w:tcPr>
            <w:tcW w:w="967" w:type="pct"/>
          </w:tcPr>
          <w:p w14:paraId="3D26C5E7"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Erkrankungen der</w:t>
            </w:r>
            <w:r w:rsidR="0052278F"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Geschlechtsorgane und der</w:t>
            </w:r>
            <w:r w:rsidR="0052278F"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 xml:space="preserve">Brustdrüse </w:t>
            </w:r>
          </w:p>
        </w:tc>
        <w:tc>
          <w:tcPr>
            <w:tcW w:w="708" w:type="pct"/>
          </w:tcPr>
          <w:p w14:paraId="1382F44E"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1040" w:type="pct"/>
          </w:tcPr>
          <w:p w14:paraId="21E30F75"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Schmerzen im Becken </w:t>
            </w:r>
          </w:p>
        </w:tc>
        <w:tc>
          <w:tcPr>
            <w:tcW w:w="379" w:type="pct"/>
          </w:tcPr>
          <w:p w14:paraId="1ED4BB0C"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535" w:type="pct"/>
          </w:tcPr>
          <w:p w14:paraId="62187008"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380" w:type="pct"/>
          </w:tcPr>
          <w:p w14:paraId="5E8ED758"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991" w:type="pct"/>
          </w:tcPr>
          <w:p w14:paraId="7A67DB07" w14:textId="77777777" w:rsidR="00B9697F"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Ovarial</w:t>
            </w:r>
            <w:r w:rsidR="00B9697F" w:rsidRPr="00402720">
              <w:rPr>
                <w:rFonts w:ascii="Times New Roman" w:hAnsi="Times New Roman" w:cs="Times New Roman"/>
                <w:sz w:val="18"/>
                <w:szCs w:val="18"/>
                <w:lang w:val="de-DE"/>
              </w:rPr>
              <w:t>-</w:t>
            </w:r>
          </w:p>
          <w:p w14:paraId="28E82F26" w14:textId="2981FA30"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insuffizienz</w:t>
            </w:r>
            <w:r w:rsidRPr="00402720">
              <w:rPr>
                <w:rFonts w:ascii="Times New Roman" w:hAnsi="Times New Roman" w:cs="Times New Roman"/>
                <w:sz w:val="18"/>
                <w:szCs w:val="18"/>
                <w:vertAlign w:val="superscript"/>
                <w:lang w:val="de-DE"/>
              </w:rPr>
              <w:t>a,</w:t>
            </w:r>
            <w:r w:rsidR="004F07A5"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b</w:t>
            </w:r>
            <w:r w:rsidRPr="00402720">
              <w:rPr>
                <w:rFonts w:ascii="Times New Roman" w:hAnsi="Times New Roman" w:cs="Times New Roman"/>
                <w:sz w:val="18"/>
                <w:szCs w:val="18"/>
                <w:lang w:val="de-DE"/>
              </w:rPr>
              <w:t xml:space="preserve"> </w:t>
            </w:r>
          </w:p>
        </w:tc>
      </w:tr>
      <w:tr w:rsidR="00A12938" w:rsidRPr="00402720" w14:paraId="14092F84" w14:textId="77777777" w:rsidTr="00E66954">
        <w:trPr>
          <w:trHeight w:val="20"/>
        </w:trPr>
        <w:tc>
          <w:tcPr>
            <w:tcW w:w="967" w:type="pct"/>
          </w:tcPr>
          <w:p w14:paraId="4AAC5B50"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Kongenitale, familiäre und genetische</w:t>
            </w:r>
            <w:r w:rsidR="0052278F"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 xml:space="preserve">Erkrankungen </w:t>
            </w:r>
          </w:p>
        </w:tc>
        <w:tc>
          <w:tcPr>
            <w:tcW w:w="708" w:type="pct"/>
          </w:tcPr>
          <w:p w14:paraId="5137E7B3"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1040" w:type="pct"/>
          </w:tcPr>
          <w:p w14:paraId="68C09D7C"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379" w:type="pct"/>
          </w:tcPr>
          <w:p w14:paraId="4066879F"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535" w:type="pct"/>
          </w:tcPr>
          <w:p w14:paraId="386DB5FB"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380" w:type="pct"/>
          </w:tcPr>
          <w:p w14:paraId="63EB2224" w14:textId="77777777" w:rsidR="009B0445" w:rsidRPr="00402720" w:rsidRDefault="009B0445" w:rsidP="00402720">
            <w:pPr>
              <w:spacing w:after="0" w:line="240" w:lineRule="auto"/>
              <w:rPr>
                <w:rFonts w:ascii="Times New Roman" w:hAnsi="Times New Roman" w:cs="Times New Roman"/>
                <w:sz w:val="18"/>
                <w:szCs w:val="18"/>
                <w:lang w:val="de-DE"/>
              </w:rPr>
            </w:pPr>
          </w:p>
        </w:tc>
        <w:tc>
          <w:tcPr>
            <w:tcW w:w="991" w:type="pct"/>
          </w:tcPr>
          <w:p w14:paraId="4E89B59D" w14:textId="77777777" w:rsidR="009B0445" w:rsidRPr="00402720" w:rsidRDefault="009B0445" w:rsidP="00402720">
            <w:pPr>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Fetale Anomalien</w:t>
            </w:r>
            <w:r w:rsidRPr="00402720">
              <w:rPr>
                <w:rFonts w:ascii="Times New Roman" w:hAnsi="Times New Roman" w:cs="Times New Roman"/>
                <w:sz w:val="18"/>
                <w:szCs w:val="18"/>
                <w:vertAlign w:val="superscript"/>
                <w:lang w:val="de-DE"/>
              </w:rPr>
              <w:t>a,</w:t>
            </w:r>
            <w:r w:rsidR="004F07A5" w:rsidRPr="00402720">
              <w:rPr>
                <w:rFonts w:ascii="Times New Roman" w:hAnsi="Times New Roman" w:cs="Times New Roman"/>
                <w:sz w:val="18"/>
                <w:szCs w:val="18"/>
                <w:vertAlign w:val="superscript"/>
                <w:lang w:val="de-DE"/>
              </w:rPr>
              <w:t xml:space="preserve"> </w:t>
            </w:r>
            <w:r w:rsidRPr="00402720">
              <w:rPr>
                <w:rFonts w:ascii="Times New Roman" w:hAnsi="Times New Roman" w:cs="Times New Roman"/>
                <w:sz w:val="18"/>
                <w:szCs w:val="18"/>
                <w:vertAlign w:val="superscript"/>
                <w:lang w:val="de-DE"/>
              </w:rPr>
              <w:t>c</w:t>
            </w:r>
            <w:r w:rsidRPr="00402720">
              <w:rPr>
                <w:rFonts w:ascii="Times New Roman" w:hAnsi="Times New Roman" w:cs="Times New Roman"/>
                <w:sz w:val="18"/>
                <w:szCs w:val="18"/>
                <w:lang w:val="de-DE"/>
              </w:rPr>
              <w:t xml:space="preserve"> </w:t>
            </w:r>
          </w:p>
        </w:tc>
      </w:tr>
      <w:tr w:rsidR="00A12938" w:rsidRPr="00402720" w14:paraId="36A8337E" w14:textId="77777777" w:rsidTr="00E66954">
        <w:trPr>
          <w:trHeight w:val="20"/>
        </w:trPr>
        <w:tc>
          <w:tcPr>
            <w:tcW w:w="967" w:type="pct"/>
          </w:tcPr>
          <w:p w14:paraId="3F708883" w14:textId="47AD4FC2" w:rsidR="009B0445" w:rsidRPr="00402720" w:rsidRDefault="009B0445" w:rsidP="00402720">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Allgemeine</w:t>
            </w:r>
            <w:r w:rsidR="0052278F"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Erkrankungen und</w:t>
            </w:r>
            <w:r w:rsidR="0052278F" w:rsidRPr="00402720">
              <w:rPr>
                <w:rFonts w:ascii="Times New Roman" w:hAnsi="Times New Roman" w:cs="Times New Roman"/>
                <w:sz w:val="18"/>
                <w:szCs w:val="18"/>
                <w:lang w:val="de-DE"/>
              </w:rPr>
              <w:t xml:space="preserve"> </w:t>
            </w:r>
            <w:r w:rsidRPr="00402720">
              <w:rPr>
                <w:rFonts w:ascii="Times New Roman" w:hAnsi="Times New Roman" w:cs="Times New Roman"/>
                <w:sz w:val="18"/>
                <w:szCs w:val="18"/>
                <w:lang w:val="de-DE"/>
              </w:rPr>
              <w:t xml:space="preserve">Beschwerden am Verabreichungsort </w:t>
            </w:r>
          </w:p>
        </w:tc>
        <w:tc>
          <w:tcPr>
            <w:tcW w:w="708" w:type="pct"/>
          </w:tcPr>
          <w:p w14:paraId="5B31CDD9" w14:textId="77777777" w:rsidR="008B0FCD" w:rsidRPr="00402720" w:rsidRDefault="008B0FCD" w:rsidP="00402720">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Asthenie,</w:t>
            </w:r>
          </w:p>
          <w:p w14:paraId="20B2E9E2" w14:textId="77777777" w:rsidR="009B0445" w:rsidRPr="00402720" w:rsidRDefault="009B0445" w:rsidP="00402720">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 xml:space="preserve">Fatigue </w:t>
            </w:r>
          </w:p>
        </w:tc>
        <w:tc>
          <w:tcPr>
            <w:tcW w:w="1040" w:type="pct"/>
          </w:tcPr>
          <w:p w14:paraId="0AC333BC" w14:textId="77777777" w:rsidR="009B0445" w:rsidRPr="00402720" w:rsidRDefault="009B0445" w:rsidP="00402720">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Schmerzen,</w:t>
            </w:r>
          </w:p>
          <w:p w14:paraId="7DA46259" w14:textId="77777777" w:rsidR="009B0445" w:rsidRPr="00402720" w:rsidRDefault="009B0445" w:rsidP="00402720">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Lethargie,</w:t>
            </w:r>
          </w:p>
          <w:p w14:paraId="265DF33C" w14:textId="77777777" w:rsidR="009B0445" w:rsidRPr="00402720" w:rsidRDefault="009B0445" w:rsidP="00402720">
            <w:pPr>
              <w:keepNext/>
              <w:keepLines/>
              <w:spacing w:after="0" w:line="240" w:lineRule="auto"/>
              <w:rPr>
                <w:rFonts w:ascii="Times New Roman" w:hAnsi="Times New Roman" w:cs="Times New Roman"/>
                <w:sz w:val="18"/>
                <w:szCs w:val="18"/>
                <w:lang w:val="de-DE"/>
              </w:rPr>
            </w:pPr>
            <w:r w:rsidRPr="00402720">
              <w:rPr>
                <w:rFonts w:ascii="Times New Roman" w:hAnsi="Times New Roman" w:cs="Times New Roman"/>
                <w:sz w:val="18"/>
                <w:szCs w:val="18"/>
                <w:lang w:val="de-DE"/>
              </w:rPr>
              <w:t>Schleimhaut</w:t>
            </w:r>
            <w:r w:rsidR="001574B1" w:rsidRPr="00402720">
              <w:rPr>
                <w:rFonts w:ascii="Times New Roman" w:hAnsi="Times New Roman" w:cs="Times New Roman"/>
                <w:sz w:val="18"/>
                <w:szCs w:val="18"/>
                <w:lang w:val="de-DE"/>
              </w:rPr>
              <w:t>-</w:t>
            </w:r>
            <w:r w:rsidRPr="00402720">
              <w:rPr>
                <w:rFonts w:ascii="Times New Roman" w:hAnsi="Times New Roman" w:cs="Times New Roman"/>
                <w:sz w:val="18"/>
                <w:szCs w:val="18"/>
                <w:lang w:val="de-DE"/>
              </w:rPr>
              <w:t xml:space="preserve">entzündung </w:t>
            </w:r>
          </w:p>
        </w:tc>
        <w:tc>
          <w:tcPr>
            <w:tcW w:w="379" w:type="pct"/>
          </w:tcPr>
          <w:p w14:paraId="7D4904DB" w14:textId="77777777" w:rsidR="009B0445" w:rsidRPr="00402720" w:rsidRDefault="009B0445" w:rsidP="00402720">
            <w:pPr>
              <w:keepNext/>
              <w:keepLines/>
              <w:suppressAutoHyphens/>
              <w:spacing w:after="0" w:line="240" w:lineRule="auto"/>
              <w:rPr>
                <w:rFonts w:ascii="Times New Roman" w:hAnsi="Times New Roman" w:cs="Times New Roman"/>
                <w:sz w:val="18"/>
                <w:szCs w:val="18"/>
                <w:lang w:val="de-DE"/>
              </w:rPr>
            </w:pPr>
          </w:p>
        </w:tc>
        <w:tc>
          <w:tcPr>
            <w:tcW w:w="535" w:type="pct"/>
          </w:tcPr>
          <w:p w14:paraId="754C515F" w14:textId="77777777" w:rsidR="009B0445" w:rsidRPr="00402720" w:rsidRDefault="009B0445" w:rsidP="00402720">
            <w:pPr>
              <w:keepNext/>
              <w:keepLines/>
              <w:suppressAutoHyphens/>
              <w:spacing w:after="0" w:line="240" w:lineRule="auto"/>
              <w:rPr>
                <w:rFonts w:ascii="Times New Roman" w:hAnsi="Times New Roman" w:cs="Times New Roman"/>
                <w:sz w:val="18"/>
                <w:szCs w:val="18"/>
                <w:lang w:val="de-DE"/>
              </w:rPr>
            </w:pPr>
          </w:p>
        </w:tc>
        <w:tc>
          <w:tcPr>
            <w:tcW w:w="380" w:type="pct"/>
          </w:tcPr>
          <w:p w14:paraId="0BDAA79F" w14:textId="77777777" w:rsidR="009B0445" w:rsidRPr="00402720" w:rsidRDefault="009B0445" w:rsidP="00402720">
            <w:pPr>
              <w:keepNext/>
              <w:keepLines/>
              <w:suppressAutoHyphens/>
              <w:spacing w:after="0" w:line="240" w:lineRule="auto"/>
              <w:rPr>
                <w:rFonts w:ascii="Times New Roman" w:hAnsi="Times New Roman" w:cs="Times New Roman"/>
                <w:sz w:val="18"/>
                <w:szCs w:val="18"/>
                <w:lang w:val="de-DE"/>
              </w:rPr>
            </w:pPr>
          </w:p>
        </w:tc>
        <w:tc>
          <w:tcPr>
            <w:tcW w:w="991" w:type="pct"/>
          </w:tcPr>
          <w:p w14:paraId="5E5D26D9" w14:textId="77777777" w:rsidR="009B0445" w:rsidRPr="00402720" w:rsidRDefault="009B0445" w:rsidP="00402720">
            <w:pPr>
              <w:keepNext/>
              <w:keepLines/>
              <w:suppressAutoHyphens/>
              <w:spacing w:after="0" w:line="240" w:lineRule="auto"/>
              <w:rPr>
                <w:rFonts w:ascii="Times New Roman" w:hAnsi="Times New Roman" w:cs="Times New Roman"/>
                <w:sz w:val="18"/>
                <w:szCs w:val="18"/>
                <w:lang w:val="de-DE"/>
              </w:rPr>
            </w:pPr>
          </w:p>
        </w:tc>
      </w:tr>
    </w:tbl>
    <w:p w14:paraId="6DCC2863" w14:textId="77777777" w:rsidR="00AF337C" w:rsidRPr="009737B5" w:rsidRDefault="00AF337C" w:rsidP="009B0445">
      <w:pPr>
        <w:suppressAutoHyphens/>
        <w:spacing w:after="0" w:line="240" w:lineRule="auto"/>
        <w:rPr>
          <w:rFonts w:ascii="Times New Roman" w:hAnsi="Times New Roman" w:cs="Times New Roman"/>
          <w:sz w:val="20"/>
          <w:lang w:val="de-DE"/>
        </w:rPr>
      </w:pPr>
    </w:p>
    <w:p w14:paraId="4C363FF8" w14:textId="1AD5BACD" w:rsidR="00AF337C" w:rsidRPr="009737B5" w:rsidRDefault="00AF337C" w:rsidP="009B0445">
      <w:pPr>
        <w:suppressAutoHyphens/>
        <w:spacing w:after="0" w:line="240" w:lineRule="auto"/>
        <w:rPr>
          <w:rFonts w:ascii="Times New Roman" w:hAnsi="Times New Roman" w:cs="Times New Roman"/>
          <w:sz w:val="20"/>
          <w:lang w:val="de-DE"/>
        </w:rPr>
      </w:pPr>
      <w:r w:rsidRPr="009737B5">
        <w:rPr>
          <w:rFonts w:ascii="Times New Roman" w:hAnsi="Times New Roman" w:cs="Times New Roman"/>
          <w:sz w:val="20"/>
          <w:lang w:val="de-DE"/>
        </w:rPr>
        <w:t>Tabelle</w:t>
      </w:r>
      <w:r w:rsidR="00D5199D">
        <w:rPr>
          <w:rFonts w:ascii="Times New Roman" w:hAnsi="Times New Roman" w:cs="Times New Roman"/>
          <w:sz w:val="20"/>
          <w:lang w:val="de-DE"/>
        </w:rPr>
        <w:t> </w:t>
      </w:r>
      <w:r w:rsidRPr="009737B5">
        <w:rPr>
          <w:rFonts w:ascii="Times New Roman" w:hAnsi="Times New Roman" w:cs="Times New Roman"/>
          <w:sz w:val="20"/>
          <w:lang w:val="de-DE"/>
        </w:rPr>
        <w:t xml:space="preserve">2 enthält die Häufigkeiten von schweren Nebenwirkungen. Schwere Nebenwirkungen sind definiert als </w:t>
      </w:r>
      <w:r w:rsidR="00793F7C">
        <w:rPr>
          <w:rFonts w:ascii="Times New Roman" w:hAnsi="Times New Roman" w:cs="Times New Roman"/>
          <w:sz w:val="20"/>
          <w:lang w:val="de-DE"/>
        </w:rPr>
        <w:t>Nebenw</w:t>
      </w:r>
      <w:r w:rsidR="000165A4">
        <w:rPr>
          <w:rFonts w:ascii="Times New Roman" w:hAnsi="Times New Roman" w:cs="Times New Roman"/>
          <w:sz w:val="20"/>
          <w:lang w:val="de-DE"/>
        </w:rPr>
        <w:t>irkungen</w:t>
      </w:r>
      <w:r w:rsidRPr="009737B5">
        <w:rPr>
          <w:rFonts w:ascii="Times New Roman" w:hAnsi="Times New Roman" w:cs="Times New Roman"/>
          <w:sz w:val="20"/>
          <w:lang w:val="de-DE"/>
        </w:rPr>
        <w:t xml:space="preserve"> mit mindestens einer 2</w:t>
      </w:r>
      <w:r w:rsidR="00322E40" w:rsidRPr="009737B5">
        <w:rPr>
          <w:rFonts w:ascii="Times New Roman" w:hAnsi="Times New Roman" w:cs="Times New Roman"/>
          <w:sz w:val="20"/>
          <w:lang w:val="de-DE"/>
        </w:rPr>
        <w:t> %</w:t>
      </w:r>
      <w:r w:rsidRPr="009737B5">
        <w:rPr>
          <w:rFonts w:ascii="Times New Roman" w:hAnsi="Times New Roman" w:cs="Times New Roman"/>
          <w:sz w:val="20"/>
          <w:lang w:val="de-DE"/>
        </w:rPr>
        <w:t>igen Differenz verglichen zum Kontrollarm in klinischen Studien für NCI-CTCAE Grad</w:t>
      </w:r>
      <w:r w:rsidR="00D5199D">
        <w:rPr>
          <w:rFonts w:ascii="Times New Roman" w:hAnsi="Times New Roman" w:cs="Times New Roman"/>
          <w:sz w:val="20"/>
          <w:lang w:val="de-DE"/>
        </w:rPr>
        <w:t> </w:t>
      </w:r>
      <w:r w:rsidRPr="009737B5">
        <w:rPr>
          <w:rFonts w:ascii="Times New Roman" w:hAnsi="Times New Roman" w:cs="Times New Roman"/>
          <w:sz w:val="20"/>
          <w:lang w:val="de-DE"/>
        </w:rPr>
        <w:t>3</w:t>
      </w:r>
      <w:r w:rsidR="003B57B4">
        <w:rPr>
          <w:rFonts w:ascii="Times New Roman" w:hAnsi="Times New Roman" w:cs="Times New Roman"/>
          <w:sz w:val="20"/>
          <w:lang w:val="de-DE"/>
        </w:rPr>
        <w:t> </w:t>
      </w:r>
      <w:r w:rsidRPr="009737B5">
        <w:rPr>
          <w:rFonts w:ascii="Times New Roman" w:hAnsi="Times New Roman" w:cs="Times New Roman"/>
          <w:sz w:val="20"/>
          <w:lang w:val="de-DE"/>
        </w:rPr>
        <w:t>-</w:t>
      </w:r>
      <w:r w:rsidR="003B57B4">
        <w:rPr>
          <w:rFonts w:ascii="Times New Roman" w:hAnsi="Times New Roman" w:cs="Times New Roman"/>
          <w:sz w:val="20"/>
          <w:lang w:val="de-DE"/>
        </w:rPr>
        <w:t> </w:t>
      </w:r>
      <w:r w:rsidRPr="009737B5">
        <w:rPr>
          <w:rFonts w:ascii="Times New Roman" w:hAnsi="Times New Roman" w:cs="Times New Roman"/>
          <w:sz w:val="20"/>
          <w:lang w:val="de-DE"/>
        </w:rPr>
        <w:t>5 Nebenwirkungen. Tabelle</w:t>
      </w:r>
      <w:r w:rsidR="003B57B4">
        <w:rPr>
          <w:rFonts w:ascii="Times New Roman" w:hAnsi="Times New Roman" w:cs="Times New Roman"/>
          <w:sz w:val="20"/>
          <w:lang w:val="de-DE"/>
        </w:rPr>
        <w:t> </w:t>
      </w:r>
      <w:r w:rsidRPr="009737B5">
        <w:rPr>
          <w:rFonts w:ascii="Times New Roman" w:hAnsi="Times New Roman" w:cs="Times New Roman"/>
          <w:sz w:val="20"/>
          <w:lang w:val="de-DE"/>
        </w:rPr>
        <w:t>2 beinhaltet auch Nebenwirkungen, welche durch den Zulassungsinhaber als klinisch signifikant oder schwer erachtet werden. Diese klinisch signifikanten Nebenwirkungen wurden in klinischen Studien berichtet, aber die Nebenwirkungen mit Grad</w:t>
      </w:r>
      <w:r w:rsidR="00D5199D">
        <w:rPr>
          <w:rFonts w:ascii="Times New Roman" w:hAnsi="Times New Roman" w:cs="Times New Roman"/>
          <w:sz w:val="20"/>
          <w:lang w:val="de-DE"/>
        </w:rPr>
        <w:t> </w:t>
      </w:r>
      <w:r w:rsidRPr="009737B5">
        <w:rPr>
          <w:rFonts w:ascii="Times New Roman" w:hAnsi="Times New Roman" w:cs="Times New Roman"/>
          <w:sz w:val="20"/>
          <w:lang w:val="de-DE"/>
        </w:rPr>
        <w:t>3</w:t>
      </w:r>
      <w:r w:rsidR="003B57B4">
        <w:rPr>
          <w:rFonts w:ascii="Times New Roman" w:hAnsi="Times New Roman" w:cs="Times New Roman"/>
          <w:sz w:val="20"/>
          <w:lang w:val="de-DE"/>
        </w:rPr>
        <w:t> </w:t>
      </w:r>
      <w:r w:rsidRPr="009737B5">
        <w:rPr>
          <w:rFonts w:ascii="Times New Roman" w:hAnsi="Times New Roman" w:cs="Times New Roman"/>
          <w:sz w:val="20"/>
          <w:lang w:val="de-DE"/>
        </w:rPr>
        <w:t>-</w:t>
      </w:r>
      <w:r w:rsidR="003B57B4">
        <w:rPr>
          <w:rFonts w:ascii="Times New Roman" w:hAnsi="Times New Roman" w:cs="Times New Roman"/>
          <w:sz w:val="20"/>
          <w:lang w:val="de-DE"/>
        </w:rPr>
        <w:t> </w:t>
      </w:r>
      <w:r w:rsidRPr="009737B5">
        <w:rPr>
          <w:rFonts w:ascii="Times New Roman" w:hAnsi="Times New Roman" w:cs="Times New Roman"/>
          <w:sz w:val="20"/>
          <w:lang w:val="de-DE"/>
        </w:rPr>
        <w:t>5 erreichten nicht den Grenzwert von einer mindestens 2</w:t>
      </w:r>
      <w:r w:rsidR="00322E40" w:rsidRPr="009737B5">
        <w:rPr>
          <w:rFonts w:ascii="Times New Roman" w:hAnsi="Times New Roman" w:cs="Times New Roman"/>
          <w:sz w:val="20"/>
          <w:lang w:val="de-DE"/>
        </w:rPr>
        <w:t> %</w:t>
      </w:r>
      <w:r w:rsidRPr="009737B5">
        <w:rPr>
          <w:rFonts w:ascii="Times New Roman" w:hAnsi="Times New Roman" w:cs="Times New Roman"/>
          <w:sz w:val="20"/>
          <w:lang w:val="de-DE"/>
        </w:rPr>
        <w:t>igen Differenz verglichen zum Kontrollarm. Tabelle</w:t>
      </w:r>
      <w:r w:rsidR="003B57B4">
        <w:rPr>
          <w:rFonts w:ascii="Times New Roman" w:hAnsi="Times New Roman" w:cs="Times New Roman"/>
          <w:sz w:val="20"/>
          <w:lang w:val="de-DE"/>
        </w:rPr>
        <w:t> </w:t>
      </w:r>
      <w:r w:rsidRPr="009737B5">
        <w:rPr>
          <w:rFonts w:ascii="Times New Roman" w:hAnsi="Times New Roman" w:cs="Times New Roman"/>
          <w:sz w:val="20"/>
          <w:lang w:val="de-DE"/>
        </w:rPr>
        <w:t xml:space="preserve">2 beinhaltet auch klinisch signifikante Nebenwirkungen, die nur im Spontanmeldesystem nach der Markteinführung </w:t>
      </w:r>
      <w:r w:rsidRPr="009737B5">
        <w:rPr>
          <w:rFonts w:ascii="Times New Roman" w:hAnsi="Times New Roman" w:cs="Times New Roman"/>
          <w:sz w:val="20"/>
          <w:lang w:val="de-DE"/>
        </w:rPr>
        <w:lastRenderedPageBreak/>
        <w:t>beobachtet wurden. Daher sind die Häufigkeiten und die NCI-CTCAE</w:t>
      </w:r>
      <w:r w:rsidR="004F07A5" w:rsidRPr="009737B5">
        <w:rPr>
          <w:rFonts w:ascii="Times New Roman" w:hAnsi="Times New Roman" w:cs="Times New Roman"/>
          <w:sz w:val="20"/>
          <w:lang w:val="de-DE"/>
        </w:rPr>
        <w:t>-</w:t>
      </w:r>
      <w:r w:rsidRPr="009737B5">
        <w:rPr>
          <w:rFonts w:ascii="Times New Roman" w:hAnsi="Times New Roman" w:cs="Times New Roman"/>
          <w:sz w:val="20"/>
          <w:lang w:val="de-DE"/>
        </w:rPr>
        <w:t>Grade nicht bekannt. Diese klinisch signifikanten Nebenwirkungen wurden daher in die Tabelle</w:t>
      </w:r>
      <w:r w:rsidR="003B57B4">
        <w:rPr>
          <w:rFonts w:ascii="Times New Roman" w:hAnsi="Times New Roman" w:cs="Times New Roman"/>
          <w:sz w:val="20"/>
          <w:lang w:val="de-DE"/>
        </w:rPr>
        <w:t> </w:t>
      </w:r>
      <w:r w:rsidRPr="009737B5">
        <w:rPr>
          <w:rFonts w:ascii="Times New Roman" w:hAnsi="Times New Roman" w:cs="Times New Roman"/>
          <w:sz w:val="20"/>
          <w:lang w:val="de-DE"/>
        </w:rPr>
        <w:t>2 unter der Spalte mit dem Titel „Häufigkeit nicht bekannt“ eingefügt.</w:t>
      </w:r>
    </w:p>
    <w:p w14:paraId="5840FD69" w14:textId="77777777" w:rsidR="00C378F8" w:rsidRPr="009737B5" w:rsidRDefault="00C378F8" w:rsidP="009B0445">
      <w:pPr>
        <w:suppressAutoHyphens/>
        <w:spacing w:after="0" w:line="240" w:lineRule="auto"/>
        <w:rPr>
          <w:rFonts w:ascii="Times New Roman" w:hAnsi="Times New Roman" w:cs="Times New Roman"/>
          <w:sz w:val="20"/>
          <w:lang w:val="de-DE"/>
        </w:rPr>
      </w:pPr>
    </w:p>
    <w:p w14:paraId="504689B3" w14:textId="771A059C" w:rsidR="00AF337C" w:rsidRPr="009737B5" w:rsidRDefault="00AF337C" w:rsidP="009B0445">
      <w:pPr>
        <w:suppressAutoHyphens/>
        <w:spacing w:after="0" w:line="240" w:lineRule="auto"/>
        <w:ind w:left="567" w:hanging="567"/>
        <w:rPr>
          <w:rFonts w:ascii="Times New Roman" w:hAnsi="Times New Roman" w:cs="Times New Roman"/>
          <w:sz w:val="20"/>
          <w:lang w:val="de-DE"/>
        </w:rPr>
      </w:pPr>
      <w:r w:rsidRPr="009737B5">
        <w:rPr>
          <w:rFonts w:ascii="Times New Roman" w:hAnsi="Times New Roman" w:cs="Times New Roman"/>
          <w:sz w:val="20"/>
          <w:vertAlign w:val="superscript"/>
          <w:lang w:val="de-DE"/>
        </w:rPr>
        <w:t>a</w:t>
      </w:r>
      <w:r w:rsidRPr="009737B5">
        <w:rPr>
          <w:rFonts w:ascii="Times New Roman" w:hAnsi="Times New Roman" w:cs="Times New Roman"/>
          <w:sz w:val="20"/>
          <w:lang w:val="de-DE"/>
        </w:rPr>
        <w:tab/>
        <w:t>Die verwendeten Begriffe stellen eine Gruppe von Ereignissen dar, die eher ein medizinisches Krankheitsbild beschreiben als einen einzelnen Zustand oder einen MedDRA (</w:t>
      </w:r>
      <w:r w:rsidRPr="009737B5">
        <w:rPr>
          <w:rFonts w:ascii="Times New Roman" w:hAnsi="Times New Roman" w:cs="Times New Roman"/>
          <w:i/>
          <w:sz w:val="20"/>
          <w:lang w:val="de-DE"/>
        </w:rPr>
        <w:t>Medical Dictionary for Regulatory Activities</w:t>
      </w:r>
      <w:r w:rsidRPr="009737B5">
        <w:rPr>
          <w:rFonts w:ascii="Times New Roman" w:hAnsi="Times New Roman" w:cs="Times New Roman"/>
          <w:sz w:val="20"/>
          <w:lang w:val="de-DE"/>
        </w:rPr>
        <w:t>) Fachbegriff. Diese Gruppe medizinischer Begriffe kann dieselbe zugrunde liegende Pathophysiologie beinhalten (z.</w:t>
      </w:r>
      <w:r w:rsidR="00905FDC">
        <w:rPr>
          <w:rFonts w:ascii="Times New Roman" w:hAnsi="Times New Roman" w:cs="Times New Roman"/>
          <w:sz w:val="20"/>
          <w:lang w:val="de-DE"/>
        </w:rPr>
        <w:t> </w:t>
      </w:r>
      <w:r w:rsidRPr="009737B5">
        <w:rPr>
          <w:rFonts w:ascii="Times New Roman" w:hAnsi="Times New Roman" w:cs="Times New Roman"/>
          <w:sz w:val="20"/>
          <w:lang w:val="de-DE"/>
        </w:rPr>
        <w:t>B. arterielle thromboembolische Nebenwirkungen schließen Schlaganfall, Myokardinfarkt, transitorische ischämische Attacke und andere arterielle thromboembolische Nebenwirkungen ein).</w:t>
      </w:r>
    </w:p>
    <w:p w14:paraId="3D1D68BA" w14:textId="77777777" w:rsidR="00AF337C" w:rsidRPr="009737B5" w:rsidRDefault="00AF337C" w:rsidP="009B0445">
      <w:pPr>
        <w:suppressAutoHyphens/>
        <w:spacing w:after="0" w:line="240" w:lineRule="auto"/>
        <w:ind w:left="567" w:hanging="567"/>
        <w:rPr>
          <w:rFonts w:ascii="Times New Roman" w:hAnsi="Times New Roman" w:cs="Times New Roman"/>
          <w:sz w:val="20"/>
          <w:lang w:val="de-DE"/>
        </w:rPr>
      </w:pPr>
      <w:r w:rsidRPr="009737B5">
        <w:rPr>
          <w:rFonts w:ascii="Times New Roman" w:hAnsi="Times New Roman" w:cs="Times New Roman"/>
          <w:sz w:val="20"/>
          <w:vertAlign w:val="superscript"/>
          <w:lang w:val="de-DE"/>
        </w:rPr>
        <w:t>b</w:t>
      </w:r>
      <w:r w:rsidRPr="009737B5">
        <w:rPr>
          <w:rFonts w:ascii="Times New Roman" w:hAnsi="Times New Roman" w:cs="Times New Roman"/>
          <w:sz w:val="20"/>
          <w:lang w:val="de-DE"/>
        </w:rPr>
        <w:tab/>
        <w:t>Für weitere Informationen siehe unten in Abschnitt „</w:t>
      </w:r>
      <w:r w:rsidR="004C438C" w:rsidRPr="009737B5">
        <w:rPr>
          <w:rFonts w:ascii="Times New Roman" w:hAnsi="Times New Roman" w:cs="Times New Roman"/>
          <w:sz w:val="20"/>
          <w:lang w:val="de-DE"/>
        </w:rPr>
        <w:t>Beschreibung von</w:t>
      </w:r>
      <w:r w:rsidRPr="009737B5">
        <w:rPr>
          <w:rFonts w:ascii="Times New Roman" w:hAnsi="Times New Roman" w:cs="Times New Roman"/>
          <w:sz w:val="20"/>
          <w:lang w:val="de-DE"/>
        </w:rPr>
        <w:t xml:space="preserve"> ausgewählten schwerwiegenden Nebenwirkungen“.</w:t>
      </w:r>
    </w:p>
    <w:p w14:paraId="2C477319" w14:textId="3C562A62" w:rsidR="00AF337C" w:rsidRPr="009737B5" w:rsidRDefault="00AF337C" w:rsidP="009B0445">
      <w:pPr>
        <w:suppressAutoHyphens/>
        <w:spacing w:after="0" w:line="240" w:lineRule="auto"/>
        <w:ind w:left="567" w:hanging="567"/>
        <w:rPr>
          <w:rFonts w:ascii="Times New Roman" w:hAnsi="Times New Roman" w:cs="Times New Roman"/>
          <w:sz w:val="20"/>
          <w:lang w:val="de-DE"/>
        </w:rPr>
      </w:pPr>
      <w:r w:rsidRPr="009737B5">
        <w:rPr>
          <w:rFonts w:ascii="Times New Roman" w:hAnsi="Times New Roman" w:cs="Times New Roman"/>
          <w:sz w:val="20"/>
          <w:vertAlign w:val="superscript"/>
          <w:lang w:val="de-DE"/>
        </w:rPr>
        <w:t>c</w:t>
      </w:r>
      <w:r w:rsidRPr="009737B5">
        <w:rPr>
          <w:rFonts w:ascii="Times New Roman" w:hAnsi="Times New Roman" w:cs="Times New Roman"/>
          <w:sz w:val="20"/>
          <w:lang w:val="de-DE"/>
        </w:rPr>
        <w:tab/>
        <w:t>Für weitere Informationen siehe Tabelle</w:t>
      </w:r>
      <w:r w:rsidR="003B57B4">
        <w:rPr>
          <w:rFonts w:ascii="Times New Roman" w:hAnsi="Times New Roman" w:cs="Times New Roman"/>
          <w:sz w:val="20"/>
          <w:lang w:val="de-DE"/>
        </w:rPr>
        <w:t> </w:t>
      </w:r>
      <w:r w:rsidRPr="009737B5">
        <w:rPr>
          <w:rFonts w:ascii="Times New Roman" w:hAnsi="Times New Roman" w:cs="Times New Roman"/>
          <w:sz w:val="20"/>
          <w:lang w:val="de-DE"/>
        </w:rPr>
        <w:t>3 „Nebenwirkungen aus dem Spontanmeldesystem nach der Markteinführung“.</w:t>
      </w:r>
    </w:p>
    <w:p w14:paraId="4C176384" w14:textId="77777777" w:rsidR="00AF337C" w:rsidRPr="009737B5" w:rsidRDefault="00AF337C" w:rsidP="009B0445">
      <w:pPr>
        <w:suppressAutoHyphens/>
        <w:spacing w:after="0" w:line="240" w:lineRule="auto"/>
        <w:ind w:left="567" w:hanging="567"/>
        <w:rPr>
          <w:rFonts w:ascii="Times New Roman" w:hAnsi="Times New Roman" w:cs="Times New Roman"/>
          <w:sz w:val="20"/>
          <w:lang w:val="de-DE"/>
        </w:rPr>
      </w:pPr>
      <w:r w:rsidRPr="009737B5">
        <w:rPr>
          <w:rFonts w:ascii="Times New Roman" w:hAnsi="Times New Roman" w:cs="Times New Roman"/>
          <w:sz w:val="20"/>
          <w:vertAlign w:val="superscript"/>
          <w:lang w:val="de-DE"/>
        </w:rPr>
        <w:t>d</w:t>
      </w:r>
      <w:r w:rsidRPr="009737B5">
        <w:rPr>
          <w:rFonts w:ascii="Times New Roman" w:hAnsi="Times New Roman" w:cs="Times New Roman"/>
          <w:sz w:val="20"/>
          <w:lang w:val="de-DE"/>
        </w:rPr>
        <w:tab/>
        <w:t>Rektovaginale Fisteln sind die häufigsten Fisteln in der Kategorie der GI-vaginalen Fisteln.</w:t>
      </w:r>
    </w:p>
    <w:p w14:paraId="3851AC33" w14:textId="77777777" w:rsidR="00AF337C" w:rsidRPr="009737B5" w:rsidRDefault="00AF337C" w:rsidP="009B0445">
      <w:pPr>
        <w:suppressAutoHyphens/>
        <w:spacing w:after="0" w:line="240" w:lineRule="auto"/>
        <w:rPr>
          <w:rFonts w:ascii="Times New Roman" w:hAnsi="Times New Roman" w:cs="Times New Roman"/>
          <w:lang w:val="de-DE"/>
        </w:rPr>
      </w:pPr>
    </w:p>
    <w:p w14:paraId="3047F3EC" w14:textId="77777777" w:rsidR="00AF337C" w:rsidRPr="009737B5" w:rsidRDefault="00AF337C" w:rsidP="0052278F">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Beschreibung von ausgewählten schwerwiegenden Nebenwirkungen</w:t>
      </w:r>
    </w:p>
    <w:p w14:paraId="536584F1" w14:textId="77777777" w:rsidR="00AF337C" w:rsidRPr="009737B5" w:rsidRDefault="00AF337C" w:rsidP="0052278F">
      <w:pPr>
        <w:keepNext/>
        <w:suppressAutoHyphens/>
        <w:spacing w:after="0" w:line="240" w:lineRule="auto"/>
        <w:rPr>
          <w:rFonts w:ascii="Times New Roman" w:hAnsi="Times New Roman" w:cs="Times New Roman"/>
          <w:lang w:val="de-DE"/>
        </w:rPr>
      </w:pPr>
    </w:p>
    <w:p w14:paraId="78A9F414" w14:textId="50A4BD0E" w:rsidR="00AF337C" w:rsidRPr="009737B5" w:rsidRDefault="00AF337C" w:rsidP="0052278F">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i/>
          <w:u w:val="single"/>
          <w:lang w:val="de-DE"/>
        </w:rPr>
        <w:t xml:space="preserve">Magen-Darm(GI)-Perforationen und Fisteln </w:t>
      </w:r>
      <w:r w:rsidRPr="009737B5">
        <w:rPr>
          <w:rFonts w:ascii="Times New Roman" w:hAnsi="Times New Roman" w:cs="Times New Roman"/>
          <w:u w:val="single"/>
          <w:lang w:val="de-DE"/>
        </w:rPr>
        <w:t>(siehe Abschnitt</w:t>
      </w:r>
      <w:r w:rsidR="003B57B4">
        <w:rPr>
          <w:rFonts w:ascii="Times New Roman" w:hAnsi="Times New Roman" w:cs="Times New Roman"/>
          <w:u w:val="single"/>
          <w:lang w:val="de-DE"/>
        </w:rPr>
        <w:t> </w:t>
      </w:r>
      <w:r w:rsidRPr="009737B5">
        <w:rPr>
          <w:rFonts w:ascii="Times New Roman" w:hAnsi="Times New Roman" w:cs="Times New Roman"/>
          <w:u w:val="single"/>
          <w:lang w:val="de-DE"/>
        </w:rPr>
        <w:t>4.4)</w:t>
      </w:r>
    </w:p>
    <w:p w14:paraId="2B059E00" w14:textId="77777777" w:rsidR="00860B0D" w:rsidRPr="009737B5" w:rsidRDefault="00860B0D" w:rsidP="0052278F">
      <w:pPr>
        <w:keepNext/>
        <w:suppressAutoHyphens/>
        <w:spacing w:after="0" w:line="240" w:lineRule="auto"/>
        <w:rPr>
          <w:rFonts w:ascii="Times New Roman" w:hAnsi="Times New Roman" w:cs="Times New Roman"/>
          <w:lang w:val="de-DE"/>
        </w:rPr>
      </w:pPr>
    </w:p>
    <w:p w14:paraId="118B2DDC" w14:textId="77777777" w:rsidR="00AF337C" w:rsidRPr="009737B5" w:rsidRDefault="004C438C" w:rsidP="009B0445">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Bevacizumab</w:t>
      </w:r>
      <w:r w:rsidR="00AF337C" w:rsidRPr="009737B5">
        <w:rPr>
          <w:rFonts w:ascii="Times New Roman" w:hAnsi="Times New Roman" w:cs="Times New Roman"/>
          <w:lang w:val="de-DE"/>
        </w:rPr>
        <w:t xml:space="preserve"> wurde mit schweren Fällen von Magen-Darm-Perforation in Verbindung gebracht.</w:t>
      </w:r>
    </w:p>
    <w:p w14:paraId="236B0BD1" w14:textId="77777777" w:rsidR="00AF337C" w:rsidRPr="009737B5" w:rsidRDefault="00AF337C" w:rsidP="009B0445">
      <w:pPr>
        <w:suppressAutoHyphens/>
        <w:spacing w:after="0" w:line="240" w:lineRule="auto"/>
        <w:rPr>
          <w:rFonts w:ascii="Times New Roman" w:hAnsi="Times New Roman" w:cs="Times New Roman"/>
          <w:lang w:val="de-DE"/>
        </w:rPr>
      </w:pPr>
    </w:p>
    <w:p w14:paraId="5CB121EC" w14:textId="5AF5988D" w:rsidR="00AF337C" w:rsidRPr="009737B5" w:rsidRDefault="00AF337C" w:rsidP="009B0445">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klinischen Studien wurden Magen-Darm-Perforationen mit einer Inzidenz von weniger als 1</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bei Patienten mit nicht-kleinzelligem Bronchialkarzinom ohne Plattenepithel-Histologie, von bis zu 1,3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bei Patienten mit metastasiertem Mammakarzinom, von bis zu 2,0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bei Patienten mit metastasiertem Nierenzellkarzinom oder Patienten mit Ovarialkarzinom und von bis zu 2,7</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(einschließlich Magen</w:t>
      </w:r>
      <w:r w:rsidR="004F593D" w:rsidRPr="009737B5">
        <w:rPr>
          <w:rFonts w:ascii="Times New Roman" w:hAnsi="Times New Roman" w:cs="Times New Roman"/>
          <w:lang w:val="de-DE"/>
        </w:rPr>
        <w:t>-</w:t>
      </w:r>
      <w:r w:rsidRPr="009737B5">
        <w:rPr>
          <w:rFonts w:ascii="Times New Roman" w:hAnsi="Times New Roman" w:cs="Times New Roman"/>
          <w:lang w:val="de-DE"/>
        </w:rPr>
        <w:t>Darm-Fisteln und Abszess) bei Patienten mit metastasiertem Kolorektalkarzinom berichtet. In einer klinischen Studie mit Patienten mit persistierendem, rezidivierendem oder metastasiertem Zervixkarzinom (Studie</w:t>
      </w:r>
      <w:r w:rsidR="003B57B4">
        <w:rPr>
          <w:rFonts w:ascii="Times New Roman" w:hAnsi="Times New Roman" w:cs="Times New Roman"/>
          <w:lang w:val="de-DE"/>
        </w:rPr>
        <w:t> </w:t>
      </w:r>
      <w:r w:rsidRPr="009737B5">
        <w:rPr>
          <w:rFonts w:ascii="Times New Roman" w:hAnsi="Times New Roman" w:cs="Times New Roman"/>
          <w:lang w:val="de-DE"/>
        </w:rPr>
        <w:t>GOG-0240) wurden GI-Perforationen (aller Grade) bei 3,2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berichtet, von denen alle zuvor mit einer Strahlentherapie im Beckenbereich behandelt wurden.</w:t>
      </w:r>
    </w:p>
    <w:p w14:paraId="126F4223" w14:textId="77777777" w:rsidR="00AF337C" w:rsidRPr="009737B5" w:rsidRDefault="00AF337C" w:rsidP="009B0445">
      <w:pPr>
        <w:suppressAutoHyphens/>
        <w:spacing w:after="0" w:line="240" w:lineRule="auto"/>
        <w:rPr>
          <w:rFonts w:ascii="Times New Roman" w:hAnsi="Times New Roman" w:cs="Times New Roman"/>
          <w:lang w:val="de-DE"/>
        </w:rPr>
      </w:pPr>
    </w:p>
    <w:p w14:paraId="514905AA" w14:textId="77777777" w:rsidR="00AF337C" w:rsidRPr="009737B5" w:rsidRDefault="00AF337C" w:rsidP="009B0445">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Das Vorkommen dieser Ereignisse war in Art und Schweregrad unterschiedlich und reichte von einer</w:t>
      </w:r>
      <w:r w:rsidR="00860B0D" w:rsidRPr="009737B5">
        <w:rPr>
          <w:rFonts w:ascii="Times New Roman" w:hAnsi="Times New Roman" w:cs="Times New Roman"/>
          <w:lang w:val="de-DE"/>
        </w:rPr>
        <w:t xml:space="preserve"> </w:t>
      </w:r>
      <w:r w:rsidRPr="009737B5">
        <w:rPr>
          <w:rFonts w:ascii="Times New Roman" w:hAnsi="Times New Roman" w:cs="Times New Roman"/>
          <w:lang w:val="de-DE"/>
        </w:rPr>
        <w:t>Luftansammlung, die auf einem nativen Abdominal-Röntgenbild beobachtet wurde und ohne Behandlung zurückging, bis zu einer intestinalen Perforation mit Abdominalabszess und tödlichem Ausgang. In einigen Fällen war eine zugrunde liegende intraabdominale Entzündung vorhanden, entweder infolge eines gastrointestinalen Ulkus, von Tumornekrose, Divertikulitis oder chemotherapiebedingter Colitis.</w:t>
      </w:r>
    </w:p>
    <w:p w14:paraId="796B3980" w14:textId="77777777" w:rsidR="00AF337C" w:rsidRPr="009737B5" w:rsidRDefault="00AF337C" w:rsidP="009B0445">
      <w:pPr>
        <w:suppressAutoHyphens/>
        <w:spacing w:after="0" w:line="240" w:lineRule="auto"/>
        <w:rPr>
          <w:rFonts w:ascii="Times New Roman" w:hAnsi="Times New Roman" w:cs="Times New Roman"/>
          <w:lang w:val="de-DE"/>
        </w:rPr>
      </w:pPr>
    </w:p>
    <w:p w14:paraId="2189CF2D" w14:textId="293C55E1" w:rsidR="00AF337C" w:rsidRPr="009737B5" w:rsidRDefault="00AF337C" w:rsidP="009B0445">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Etwa ein Drittel der schwerwiegenden Fälle von Magen-Darm-Perforationen verlief tödlich. Dies entspricht einer Häufigkeit von 0,2</w:t>
      </w:r>
      <w:r w:rsidR="00322E40" w:rsidRPr="009737B5">
        <w:rPr>
          <w:rFonts w:ascii="Times New Roman" w:hAnsi="Times New Roman" w:cs="Times New Roman"/>
          <w:lang w:val="de-DE"/>
        </w:rPr>
        <w:t> %</w:t>
      </w:r>
      <w:r w:rsidR="003B57B4">
        <w:rPr>
          <w:rFonts w:ascii="Times New Roman" w:hAnsi="Times New Roman" w:cs="Times New Roman"/>
          <w:lang w:val="de-DE"/>
        </w:rPr>
        <w:t> </w:t>
      </w:r>
      <w:r w:rsidRPr="009737B5">
        <w:rPr>
          <w:rFonts w:ascii="Times New Roman" w:hAnsi="Times New Roman" w:cs="Times New Roman"/>
          <w:lang w:val="de-DE"/>
        </w:rPr>
        <w:t>-</w:t>
      </w:r>
      <w:r w:rsidR="003B57B4">
        <w:rPr>
          <w:rFonts w:ascii="Times New Roman" w:hAnsi="Times New Roman" w:cs="Times New Roman"/>
          <w:lang w:val="de-DE"/>
        </w:rPr>
        <w:t> </w:t>
      </w:r>
      <w:r w:rsidRPr="009737B5">
        <w:rPr>
          <w:rFonts w:ascii="Times New Roman" w:hAnsi="Times New Roman" w:cs="Times New Roman"/>
          <w:lang w:val="de-DE"/>
        </w:rPr>
        <w:t>1</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aller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Patienten.</w:t>
      </w:r>
    </w:p>
    <w:p w14:paraId="3EDDA593" w14:textId="77777777" w:rsidR="00AF337C" w:rsidRPr="009737B5" w:rsidRDefault="00AF337C" w:rsidP="009B0445">
      <w:pPr>
        <w:suppressAutoHyphens/>
        <w:spacing w:after="0" w:line="240" w:lineRule="auto"/>
        <w:rPr>
          <w:rFonts w:ascii="Times New Roman" w:hAnsi="Times New Roman" w:cs="Times New Roman"/>
          <w:lang w:val="de-DE"/>
        </w:rPr>
      </w:pPr>
    </w:p>
    <w:p w14:paraId="5825C308" w14:textId="77777777" w:rsidR="00AF337C" w:rsidRPr="009737B5" w:rsidRDefault="00AF337C" w:rsidP="009B0445">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In klinischen Studien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wurden gastrointestinale Fisteln (aller Grade) bei Patienten mit metastasiertem Kolorektalkarzinom und Ovarialkarzinom mit einer Häufigkeit von bis zu 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berichtet. Bei Patienten mit anderen Karzinomen traten sie weniger häufig auf.</w:t>
      </w:r>
    </w:p>
    <w:p w14:paraId="3BB7E073" w14:textId="77777777" w:rsidR="00AF337C" w:rsidRPr="009737B5" w:rsidRDefault="00AF337C" w:rsidP="009B0445">
      <w:pPr>
        <w:suppressAutoHyphens/>
        <w:spacing w:after="0" w:line="240" w:lineRule="auto"/>
        <w:rPr>
          <w:rFonts w:ascii="Times New Roman" w:hAnsi="Times New Roman" w:cs="Times New Roman"/>
          <w:lang w:val="de-DE"/>
        </w:rPr>
      </w:pPr>
    </w:p>
    <w:p w14:paraId="182A6DC0" w14:textId="0AB7561C" w:rsidR="00AF337C" w:rsidRPr="009737B5" w:rsidRDefault="00AF337C" w:rsidP="0052278F">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GI-vaginale Fisteln in Studie</w:t>
      </w:r>
      <w:r w:rsidR="008878EC">
        <w:rPr>
          <w:rFonts w:ascii="Times New Roman" w:hAnsi="Times New Roman" w:cs="Times New Roman"/>
          <w:i/>
          <w:u w:val="single"/>
          <w:lang w:val="de-DE"/>
        </w:rPr>
        <w:t> </w:t>
      </w:r>
      <w:r w:rsidRPr="009737B5">
        <w:rPr>
          <w:rFonts w:ascii="Times New Roman" w:hAnsi="Times New Roman" w:cs="Times New Roman"/>
          <w:i/>
          <w:u w:val="single"/>
          <w:lang w:val="de-DE"/>
        </w:rPr>
        <w:t>GOG-0240</w:t>
      </w:r>
    </w:p>
    <w:p w14:paraId="2EC12DA7" w14:textId="77777777" w:rsidR="0052278F" w:rsidRPr="009737B5" w:rsidRDefault="0052278F" w:rsidP="0052278F">
      <w:pPr>
        <w:keepNext/>
        <w:suppressAutoHyphens/>
        <w:spacing w:after="0" w:line="240" w:lineRule="auto"/>
        <w:rPr>
          <w:rFonts w:ascii="Times New Roman" w:hAnsi="Times New Roman" w:cs="Times New Roman"/>
          <w:lang w:val="de-DE"/>
        </w:rPr>
      </w:pPr>
    </w:p>
    <w:p w14:paraId="44011D69" w14:textId="77777777" w:rsidR="00AF337C" w:rsidRPr="009737B5" w:rsidRDefault="00AF337C" w:rsidP="009B0445">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einer Studie mit Patienten mit persistierendem, rezidivierendem oder metastasiertem</w:t>
      </w:r>
      <w:r w:rsidR="0052278F" w:rsidRPr="009737B5">
        <w:rPr>
          <w:rFonts w:ascii="Times New Roman" w:hAnsi="Times New Roman" w:cs="Times New Roman"/>
          <w:lang w:val="de-DE"/>
        </w:rPr>
        <w:t xml:space="preserve"> </w:t>
      </w:r>
      <w:r w:rsidRPr="009737B5">
        <w:rPr>
          <w:rFonts w:ascii="Times New Roman" w:hAnsi="Times New Roman" w:cs="Times New Roman"/>
          <w:lang w:val="de-DE"/>
        </w:rPr>
        <w:t xml:space="preserve">Zervixkarzinom lag die Häufigkeit von GI-vaginalen Fisteln bei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Patienten bei 8,3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und in der Kontrollgruppe bei 0,9</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Alle diese Patienten erhielten zuvor eine Strahlentherapie im Beckenbereich. Die Häufigkeit von GI-vaginalen Fisteln in der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plus Chemotherapie behandelten Gruppe war höher bei Patienten mit Rezidiv im Bereich der vorausgegangenen Bestrahlung (16,7</w:t>
      </w:r>
      <w:r w:rsidR="00322E40" w:rsidRPr="009737B5">
        <w:rPr>
          <w:rFonts w:ascii="Times New Roman" w:hAnsi="Times New Roman" w:cs="Times New Roman"/>
          <w:lang w:val="de-DE"/>
        </w:rPr>
        <w:t> %</w:t>
      </w:r>
      <w:r w:rsidRPr="009737B5">
        <w:rPr>
          <w:rFonts w:ascii="Times New Roman" w:hAnsi="Times New Roman" w:cs="Times New Roman"/>
          <w:lang w:val="de-DE"/>
        </w:rPr>
        <w:t>)</w:t>
      </w:r>
      <w:r w:rsidR="004F07A5" w:rsidRPr="009737B5">
        <w:rPr>
          <w:rFonts w:ascii="Times New Roman" w:hAnsi="Times New Roman" w:cs="Times New Roman"/>
          <w:lang w:val="de-DE"/>
        </w:rPr>
        <w:t>,</w:t>
      </w:r>
      <w:r w:rsidRPr="009737B5">
        <w:rPr>
          <w:rFonts w:ascii="Times New Roman" w:hAnsi="Times New Roman" w:cs="Times New Roman"/>
          <w:lang w:val="de-DE"/>
        </w:rPr>
        <w:t xml:space="preserve"> verglichen mit Patienten ohne vorausgegangene Bestrahlung und/oder ohne</w:t>
      </w:r>
      <w:r w:rsidR="0052278F" w:rsidRPr="009737B5">
        <w:rPr>
          <w:rFonts w:ascii="Times New Roman" w:hAnsi="Times New Roman" w:cs="Times New Roman"/>
          <w:lang w:val="de-DE"/>
        </w:rPr>
        <w:t xml:space="preserve"> </w:t>
      </w:r>
      <w:r w:rsidRPr="009737B5">
        <w:rPr>
          <w:rFonts w:ascii="Times New Roman" w:hAnsi="Times New Roman" w:cs="Times New Roman"/>
          <w:lang w:val="de-DE"/>
        </w:rPr>
        <w:t>Rezidiv innerhalb des Bereichs der vorausgegangenen Bestrahlung (3,6</w:t>
      </w:r>
      <w:r w:rsidR="00322E40" w:rsidRPr="009737B5">
        <w:rPr>
          <w:rFonts w:ascii="Times New Roman" w:hAnsi="Times New Roman" w:cs="Times New Roman"/>
          <w:lang w:val="de-DE"/>
        </w:rPr>
        <w:t> %</w:t>
      </w:r>
      <w:r w:rsidRPr="009737B5">
        <w:rPr>
          <w:rFonts w:ascii="Times New Roman" w:hAnsi="Times New Roman" w:cs="Times New Roman"/>
          <w:lang w:val="de-DE"/>
        </w:rPr>
        <w:t>). Die entsprechenden</w:t>
      </w:r>
      <w:r w:rsidR="0052278F" w:rsidRPr="009737B5">
        <w:rPr>
          <w:rFonts w:ascii="Times New Roman" w:hAnsi="Times New Roman" w:cs="Times New Roman"/>
          <w:lang w:val="de-DE"/>
        </w:rPr>
        <w:t xml:space="preserve"> </w:t>
      </w:r>
      <w:r w:rsidRPr="009737B5">
        <w:rPr>
          <w:rFonts w:ascii="Times New Roman" w:hAnsi="Times New Roman" w:cs="Times New Roman"/>
          <w:lang w:val="de-DE"/>
        </w:rPr>
        <w:t>Häufigkeiten in der Kontrollgruppe, die nur Chemotherapie erhielt, waren 1,1</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vs. 0,8</w:t>
      </w:r>
      <w:r w:rsidR="00322E40" w:rsidRPr="009737B5">
        <w:rPr>
          <w:rFonts w:ascii="Times New Roman" w:hAnsi="Times New Roman" w:cs="Times New Roman"/>
          <w:lang w:val="de-DE"/>
        </w:rPr>
        <w:t> %</w:t>
      </w:r>
      <w:r w:rsidRPr="009737B5">
        <w:rPr>
          <w:rFonts w:ascii="Times New Roman" w:hAnsi="Times New Roman" w:cs="Times New Roman"/>
          <w:lang w:val="de-DE"/>
        </w:rPr>
        <w:t>. Bei Patienten, bei denen GI-vaginale Fisteln auftreten, können auch Darmobstruktionen auftreten, und ein chirurgischer Eingriff sowie umleitende Stomaoperationen können erforderlich werden.</w:t>
      </w:r>
    </w:p>
    <w:p w14:paraId="79D21264" w14:textId="77777777" w:rsidR="00AF337C" w:rsidRPr="009737B5" w:rsidRDefault="00AF337C" w:rsidP="009B0445">
      <w:pPr>
        <w:suppressAutoHyphens/>
        <w:spacing w:after="0" w:line="240" w:lineRule="auto"/>
        <w:rPr>
          <w:rFonts w:ascii="Times New Roman" w:hAnsi="Times New Roman" w:cs="Times New Roman"/>
          <w:lang w:val="de-DE"/>
        </w:rPr>
      </w:pPr>
    </w:p>
    <w:p w14:paraId="0B1890F3" w14:textId="366F1A95" w:rsidR="00AF337C" w:rsidRPr="009737B5" w:rsidRDefault="00AF337C" w:rsidP="00BF042B">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 xml:space="preserve">Nicht-GI-Fisteln </w:t>
      </w:r>
      <w:r w:rsidRPr="009737B5">
        <w:rPr>
          <w:rFonts w:ascii="Times New Roman" w:hAnsi="Times New Roman" w:cs="Times New Roman"/>
          <w:u w:val="single"/>
          <w:lang w:val="de-DE"/>
        </w:rPr>
        <w:t>(siehe Abschnitt</w:t>
      </w:r>
      <w:r w:rsidR="008878EC">
        <w:rPr>
          <w:rFonts w:ascii="Times New Roman" w:hAnsi="Times New Roman" w:cs="Times New Roman"/>
          <w:u w:val="single"/>
          <w:lang w:val="de-DE"/>
        </w:rPr>
        <w:t> </w:t>
      </w:r>
      <w:r w:rsidRPr="009737B5">
        <w:rPr>
          <w:rFonts w:ascii="Times New Roman" w:hAnsi="Times New Roman" w:cs="Times New Roman"/>
          <w:u w:val="single"/>
          <w:lang w:val="de-DE"/>
        </w:rPr>
        <w:t>4.4)</w:t>
      </w:r>
    </w:p>
    <w:p w14:paraId="487D6F40" w14:textId="77777777" w:rsidR="0052278F" w:rsidRPr="009737B5" w:rsidRDefault="0052278F" w:rsidP="00BF042B">
      <w:pPr>
        <w:keepNext/>
        <w:suppressAutoHyphens/>
        <w:spacing w:after="0" w:line="240" w:lineRule="auto"/>
        <w:rPr>
          <w:rFonts w:ascii="Times New Roman" w:hAnsi="Times New Roman" w:cs="Times New Roman"/>
          <w:lang w:val="de-DE"/>
        </w:rPr>
      </w:pPr>
    </w:p>
    <w:p w14:paraId="0F21D434" w14:textId="77777777" w:rsidR="00AF337C" w:rsidRPr="009737B5" w:rsidRDefault="00AF337C" w:rsidP="009B0445">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Anwendung von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wurde mit schwerwiegenden Fällen von Fisteln, einschließlich Todesfällen, in Verbindung gebracht.</w:t>
      </w:r>
    </w:p>
    <w:p w14:paraId="1FD67C39" w14:textId="77777777" w:rsidR="00AF337C" w:rsidRPr="009737B5" w:rsidRDefault="00AF337C" w:rsidP="009B0445">
      <w:pPr>
        <w:suppressAutoHyphens/>
        <w:spacing w:after="0" w:line="240" w:lineRule="auto"/>
        <w:rPr>
          <w:rFonts w:ascii="Times New Roman" w:hAnsi="Times New Roman" w:cs="Times New Roman"/>
          <w:lang w:val="de-DE"/>
        </w:rPr>
      </w:pPr>
    </w:p>
    <w:p w14:paraId="02686C6E" w14:textId="77777777" w:rsidR="00AF337C" w:rsidRPr="009737B5" w:rsidRDefault="00AF337C" w:rsidP="009B0445">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einer klinischen Studie mit Patienten mit persistierendem, rezidivierendem oder metastasiertem Zervixkarzinom (GOG-0240) wurden bei 1,8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Patienten und bei 1,4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Kontrollpatienten nicht-gastrointestinale Fisteln </w:t>
      </w:r>
      <w:r w:rsidR="004F07A5" w:rsidRPr="009737B5">
        <w:rPr>
          <w:rFonts w:ascii="Times New Roman" w:hAnsi="Times New Roman" w:cs="Times New Roman"/>
          <w:lang w:val="de-DE"/>
        </w:rPr>
        <w:t xml:space="preserve">– </w:t>
      </w:r>
      <w:r w:rsidRPr="009737B5">
        <w:rPr>
          <w:rFonts w:ascii="Times New Roman" w:hAnsi="Times New Roman" w:cs="Times New Roman"/>
          <w:lang w:val="de-DE"/>
        </w:rPr>
        <w:t xml:space="preserve">Vaginalfisteln, Blasenfisteln oder Fisteln im weiblichen Genitaltrakt </w:t>
      </w:r>
      <w:r w:rsidR="004F07A5" w:rsidRPr="009737B5">
        <w:rPr>
          <w:rFonts w:ascii="Times New Roman" w:hAnsi="Times New Roman" w:cs="Times New Roman"/>
          <w:lang w:val="de-DE"/>
        </w:rPr>
        <w:t xml:space="preserve">– </w:t>
      </w:r>
      <w:r w:rsidRPr="009737B5">
        <w:rPr>
          <w:rFonts w:ascii="Times New Roman" w:hAnsi="Times New Roman" w:cs="Times New Roman"/>
          <w:lang w:val="de-DE"/>
        </w:rPr>
        <w:t>berichtet.</w:t>
      </w:r>
    </w:p>
    <w:p w14:paraId="7B1463A4" w14:textId="77777777" w:rsidR="00AF337C" w:rsidRPr="009737B5" w:rsidRDefault="00AF337C" w:rsidP="009B0445">
      <w:pPr>
        <w:suppressAutoHyphens/>
        <w:spacing w:after="0" w:line="240" w:lineRule="auto"/>
        <w:rPr>
          <w:rFonts w:ascii="Times New Roman" w:hAnsi="Times New Roman" w:cs="Times New Roman"/>
          <w:lang w:val="de-DE"/>
        </w:rPr>
      </w:pPr>
    </w:p>
    <w:p w14:paraId="583F86CF" w14:textId="5F5B98A0" w:rsidR="00AF337C" w:rsidRPr="009737B5" w:rsidRDefault="00AF337C" w:rsidP="009B0445">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Gelegentlich (</w:t>
      </w:r>
      <w:r w:rsidR="00E32D5C" w:rsidRPr="009737B5">
        <w:rPr>
          <w:rFonts w:ascii="Times New Roman" w:hAnsi="Times New Roman" w:cs="Times New Roman"/>
          <w:lang w:val="de-DE"/>
        </w:rPr>
        <w:t>≥ </w:t>
      </w:r>
      <w:r w:rsidRPr="009737B5">
        <w:rPr>
          <w:rFonts w:ascii="Times New Roman" w:hAnsi="Times New Roman" w:cs="Times New Roman"/>
          <w:lang w:val="de-DE"/>
        </w:rPr>
        <w:t>0,1</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bis </w:t>
      </w:r>
      <w:r w:rsidR="00E32D5C" w:rsidRPr="009737B5">
        <w:rPr>
          <w:rFonts w:ascii="Times New Roman" w:hAnsi="Times New Roman" w:cs="Times New Roman"/>
          <w:lang w:val="de-DE"/>
        </w:rPr>
        <w:t>&lt; </w:t>
      </w:r>
      <w:r w:rsidRPr="009737B5">
        <w:rPr>
          <w:rFonts w:ascii="Times New Roman" w:hAnsi="Times New Roman" w:cs="Times New Roman"/>
          <w:lang w:val="de-DE"/>
        </w:rPr>
        <w:t>1</w:t>
      </w:r>
      <w:r w:rsidR="00322E40" w:rsidRPr="009737B5">
        <w:rPr>
          <w:rFonts w:ascii="Times New Roman" w:hAnsi="Times New Roman" w:cs="Times New Roman"/>
          <w:lang w:val="de-DE"/>
        </w:rPr>
        <w:t> %</w:t>
      </w:r>
      <w:r w:rsidRPr="009737B5">
        <w:rPr>
          <w:rFonts w:ascii="Times New Roman" w:hAnsi="Times New Roman" w:cs="Times New Roman"/>
          <w:lang w:val="de-DE"/>
        </w:rPr>
        <w:t>) wurden bei verschiedenen Indikationen Fisteln in anderen</w:t>
      </w:r>
      <w:r w:rsidR="00860B0D" w:rsidRPr="009737B5">
        <w:rPr>
          <w:rFonts w:ascii="Times New Roman" w:hAnsi="Times New Roman" w:cs="Times New Roman"/>
          <w:lang w:val="de-DE"/>
        </w:rPr>
        <w:t xml:space="preserve"> </w:t>
      </w:r>
      <w:r w:rsidRPr="009737B5">
        <w:rPr>
          <w:rFonts w:ascii="Times New Roman" w:hAnsi="Times New Roman" w:cs="Times New Roman"/>
          <w:lang w:val="de-DE"/>
        </w:rPr>
        <w:t>Körperregionen als im Gastrointestinaltrakt beobachtet (z.</w:t>
      </w:r>
      <w:r w:rsidR="00905FDC">
        <w:rPr>
          <w:rFonts w:ascii="Times New Roman" w:hAnsi="Times New Roman" w:cs="Times New Roman"/>
          <w:lang w:val="de-DE"/>
        </w:rPr>
        <w:t> </w:t>
      </w:r>
      <w:r w:rsidRPr="009737B5">
        <w:rPr>
          <w:rFonts w:ascii="Times New Roman" w:hAnsi="Times New Roman" w:cs="Times New Roman"/>
          <w:lang w:val="de-DE"/>
        </w:rPr>
        <w:t>B. Bronchopleural- und biliäre Fisteln). Es liegen auch Berichte über Fisteln aus Erfahrungen nach der Markteinführung vor.</w:t>
      </w:r>
    </w:p>
    <w:p w14:paraId="1823AA43" w14:textId="77777777" w:rsidR="00AF337C" w:rsidRPr="009737B5" w:rsidRDefault="00AF337C" w:rsidP="009B0445">
      <w:pPr>
        <w:suppressAutoHyphens/>
        <w:spacing w:after="0" w:line="240" w:lineRule="auto"/>
        <w:rPr>
          <w:rFonts w:ascii="Times New Roman" w:hAnsi="Times New Roman" w:cs="Times New Roman"/>
          <w:lang w:val="de-DE"/>
        </w:rPr>
      </w:pPr>
    </w:p>
    <w:p w14:paraId="2B4797DF" w14:textId="57FB0B70"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Diese Fälle wurden zu unterschiedlichen Zeitpunkten der Behandlung im Zeitraum von einer Woche bis zu mehr als einem Jahr nach Behandlungsbeginn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beobachtet. Die meisten Fälle traten innerhalb der ersten 6</w:t>
      </w:r>
      <w:r w:rsidR="008878EC">
        <w:rPr>
          <w:rFonts w:ascii="Times New Roman" w:hAnsi="Times New Roman" w:cs="Times New Roman"/>
          <w:lang w:val="de-DE"/>
        </w:rPr>
        <w:t> </w:t>
      </w:r>
      <w:r w:rsidRPr="009737B5">
        <w:rPr>
          <w:rFonts w:ascii="Times New Roman" w:hAnsi="Times New Roman" w:cs="Times New Roman"/>
          <w:lang w:val="de-DE"/>
        </w:rPr>
        <w:t>Monate der Behandlung auf.</w:t>
      </w:r>
    </w:p>
    <w:p w14:paraId="7499FD15" w14:textId="77777777" w:rsidR="00AF337C" w:rsidRPr="009737B5" w:rsidRDefault="00AF337C" w:rsidP="005F4D08">
      <w:pPr>
        <w:suppressAutoHyphens/>
        <w:spacing w:after="0" w:line="240" w:lineRule="auto"/>
        <w:rPr>
          <w:rFonts w:ascii="Times New Roman" w:hAnsi="Times New Roman" w:cs="Times New Roman"/>
          <w:lang w:val="de-DE"/>
        </w:rPr>
      </w:pPr>
    </w:p>
    <w:p w14:paraId="528EFBE0" w14:textId="54F2B54E" w:rsidR="00AF337C" w:rsidRPr="009737B5" w:rsidRDefault="00AF337C" w:rsidP="00BF042B">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i/>
          <w:u w:val="single"/>
          <w:lang w:val="de-DE"/>
        </w:rPr>
        <w:t>Wundheilung</w:t>
      </w:r>
      <w:r w:rsidRPr="009737B5">
        <w:rPr>
          <w:rFonts w:ascii="Times New Roman" w:hAnsi="Times New Roman" w:cs="Times New Roman"/>
          <w:u w:val="single"/>
          <w:lang w:val="de-DE"/>
        </w:rPr>
        <w:t xml:space="preserve"> (siehe Abschnitt</w:t>
      </w:r>
      <w:r w:rsidR="008878EC">
        <w:rPr>
          <w:rFonts w:ascii="Times New Roman" w:hAnsi="Times New Roman" w:cs="Times New Roman"/>
          <w:u w:val="single"/>
          <w:lang w:val="de-DE"/>
        </w:rPr>
        <w:t> </w:t>
      </w:r>
      <w:r w:rsidRPr="009737B5">
        <w:rPr>
          <w:rFonts w:ascii="Times New Roman" w:hAnsi="Times New Roman" w:cs="Times New Roman"/>
          <w:u w:val="single"/>
          <w:lang w:val="de-DE"/>
        </w:rPr>
        <w:t>4.4)</w:t>
      </w:r>
    </w:p>
    <w:p w14:paraId="526193EB" w14:textId="77777777" w:rsidR="0052278F" w:rsidRPr="009737B5" w:rsidRDefault="0052278F" w:rsidP="00BF042B">
      <w:pPr>
        <w:keepNext/>
        <w:suppressAutoHyphens/>
        <w:spacing w:after="0" w:line="240" w:lineRule="auto"/>
        <w:rPr>
          <w:rFonts w:ascii="Times New Roman" w:hAnsi="Times New Roman" w:cs="Times New Roman"/>
          <w:lang w:val="de-DE"/>
        </w:rPr>
      </w:pPr>
    </w:p>
    <w:p w14:paraId="04748C85" w14:textId="08EC3E02" w:rsidR="00AF337C" w:rsidRPr="009737B5" w:rsidRDefault="00AF337C" w:rsidP="003C5E8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Da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die Wundheilung ungünstig beeinflussen kann, wurden Patienten mit größeren operativen Eingriffen innerhalb der letzten 28</w:t>
      </w:r>
      <w:r w:rsidR="008878EC">
        <w:rPr>
          <w:rFonts w:ascii="Times New Roman" w:hAnsi="Times New Roman" w:cs="Times New Roman"/>
          <w:lang w:val="de-DE"/>
        </w:rPr>
        <w:t> </w:t>
      </w:r>
      <w:r w:rsidRPr="009737B5">
        <w:rPr>
          <w:rFonts w:ascii="Times New Roman" w:hAnsi="Times New Roman" w:cs="Times New Roman"/>
          <w:lang w:val="de-DE"/>
        </w:rPr>
        <w:t>Tage von der Teilnahme an klinischen Studien der Phase</w:t>
      </w:r>
      <w:r w:rsidR="008878EC">
        <w:rPr>
          <w:rFonts w:ascii="Times New Roman" w:hAnsi="Times New Roman" w:cs="Times New Roman"/>
          <w:lang w:val="de-DE"/>
        </w:rPr>
        <w:t> </w:t>
      </w:r>
      <w:r w:rsidRPr="009737B5">
        <w:rPr>
          <w:rFonts w:ascii="Times New Roman" w:hAnsi="Times New Roman" w:cs="Times New Roman"/>
          <w:lang w:val="de-DE"/>
        </w:rPr>
        <w:t>III ausgeschlossen.</w:t>
      </w:r>
    </w:p>
    <w:p w14:paraId="063F7E3F" w14:textId="77777777" w:rsidR="00AF337C" w:rsidRPr="009737B5" w:rsidRDefault="00AF337C" w:rsidP="003C5E88">
      <w:pPr>
        <w:suppressAutoHyphens/>
        <w:spacing w:after="0" w:line="240" w:lineRule="auto"/>
        <w:rPr>
          <w:rFonts w:ascii="Times New Roman" w:hAnsi="Times New Roman" w:cs="Times New Roman"/>
          <w:lang w:val="de-DE"/>
        </w:rPr>
      </w:pPr>
    </w:p>
    <w:p w14:paraId="4CDAE5A4" w14:textId="0BA87834" w:rsidR="00AF337C" w:rsidRPr="009737B5" w:rsidRDefault="00AF337C" w:rsidP="003C5E8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klinischen Studien zum metastasierten Kolon- oder Rektumkarzinom wurde bei Patienten, die sich 28 bis 60</w:t>
      </w:r>
      <w:r w:rsidR="008878EC">
        <w:rPr>
          <w:rFonts w:ascii="Times New Roman" w:hAnsi="Times New Roman" w:cs="Times New Roman"/>
          <w:lang w:val="de-DE"/>
        </w:rPr>
        <w:t> </w:t>
      </w:r>
      <w:r w:rsidRPr="009737B5">
        <w:rPr>
          <w:rFonts w:ascii="Times New Roman" w:hAnsi="Times New Roman" w:cs="Times New Roman"/>
          <w:lang w:val="de-DE"/>
        </w:rPr>
        <w:t xml:space="preserve">Tage vor Aufnahme der </w:t>
      </w:r>
      <w:r w:rsidR="004C438C" w:rsidRPr="009737B5">
        <w:rPr>
          <w:rFonts w:ascii="Times New Roman" w:hAnsi="Times New Roman" w:cs="Times New Roman"/>
          <w:lang w:val="de-DE"/>
        </w:rPr>
        <w:t>Bevacizumab</w:t>
      </w:r>
      <w:r w:rsidR="004F07A5" w:rsidRPr="009737B5">
        <w:rPr>
          <w:rFonts w:ascii="Times New Roman" w:hAnsi="Times New Roman" w:cs="Times New Roman"/>
          <w:lang w:val="de-DE"/>
        </w:rPr>
        <w:t>-</w:t>
      </w:r>
      <w:r w:rsidRPr="009737B5">
        <w:rPr>
          <w:rFonts w:ascii="Times New Roman" w:hAnsi="Times New Roman" w:cs="Times New Roman"/>
          <w:lang w:val="de-DE"/>
        </w:rPr>
        <w:t>Behandlung einer größeren Operation unterzogen hatten, kein erhöhtes Risiko für postoperative Blutungen oder Wundheilungsstörungen beobachtet. Postoperative Blutungen oder Wundheilungsstörungen innerhalb von 60</w:t>
      </w:r>
      <w:r w:rsidR="008878EC">
        <w:rPr>
          <w:rFonts w:ascii="Times New Roman" w:hAnsi="Times New Roman" w:cs="Times New Roman"/>
          <w:lang w:val="de-DE"/>
        </w:rPr>
        <w:t> </w:t>
      </w:r>
      <w:r w:rsidRPr="009737B5">
        <w:rPr>
          <w:rFonts w:ascii="Times New Roman" w:hAnsi="Times New Roman" w:cs="Times New Roman"/>
          <w:lang w:val="de-DE"/>
        </w:rPr>
        <w:t xml:space="preserve">Tagen nach einer größeren Operation wurden beobachtet, wenn der Patient zum Zeitpunkt der Operation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 worden war. Die Inzidenz variierte zwischen 10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(4/40) und 20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(3/15).</w:t>
      </w:r>
    </w:p>
    <w:p w14:paraId="04A8AB9C" w14:textId="77777777" w:rsidR="00AF337C" w:rsidRPr="009737B5" w:rsidRDefault="00AF337C" w:rsidP="003C5E88">
      <w:pPr>
        <w:suppressAutoHyphens/>
        <w:spacing w:after="0" w:line="240" w:lineRule="auto"/>
        <w:rPr>
          <w:rFonts w:ascii="Times New Roman" w:hAnsi="Times New Roman" w:cs="Times New Roman"/>
          <w:lang w:val="de-DE"/>
        </w:rPr>
      </w:pPr>
    </w:p>
    <w:p w14:paraId="55CC29C8" w14:textId="77777777" w:rsidR="00AF337C" w:rsidRPr="009737B5" w:rsidRDefault="00AF337C" w:rsidP="003C5E8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wurden schwerwiegende Komplikationen bei der Wundheilung, einschließlich Komplikationen an Anastomosen, berichtet. Einige dieser Komplikationen hatten einen tödlichen Ausgang.</w:t>
      </w:r>
    </w:p>
    <w:p w14:paraId="146BBAA5" w14:textId="77777777" w:rsidR="00AF337C" w:rsidRPr="009737B5" w:rsidRDefault="00AF337C" w:rsidP="003C5E88">
      <w:pPr>
        <w:suppressAutoHyphens/>
        <w:spacing w:after="0" w:line="240" w:lineRule="auto"/>
        <w:rPr>
          <w:rFonts w:ascii="Times New Roman" w:hAnsi="Times New Roman" w:cs="Times New Roman"/>
          <w:lang w:val="de-DE"/>
        </w:rPr>
      </w:pPr>
    </w:p>
    <w:p w14:paraId="03E40F62" w14:textId="59180C2D" w:rsidR="00AF337C" w:rsidRPr="009737B5" w:rsidRDefault="00AF337C" w:rsidP="003C5E8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Studien zur Behandlung des lokal rezidivierenden und metastasierten Mammakarzinoms wurden bei bis zu 1,1</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Patienten Wundheilungsstörungen der</w:t>
      </w:r>
      <w:r w:rsidR="003C5E88" w:rsidRPr="009737B5">
        <w:rPr>
          <w:rFonts w:ascii="Times New Roman" w:hAnsi="Times New Roman" w:cs="Times New Roman"/>
          <w:lang w:val="de-DE"/>
        </w:rPr>
        <w:t xml:space="preserve"> Schweregrade</w:t>
      </w:r>
      <w:r w:rsidR="008878EC">
        <w:rPr>
          <w:rFonts w:ascii="Times New Roman" w:hAnsi="Times New Roman" w:cs="Times New Roman"/>
          <w:lang w:val="de-DE"/>
        </w:rPr>
        <w:t> </w:t>
      </w:r>
      <w:r w:rsidR="003C5E88" w:rsidRPr="009737B5">
        <w:rPr>
          <w:rFonts w:ascii="Times New Roman" w:hAnsi="Times New Roman" w:cs="Times New Roman"/>
          <w:lang w:val="de-DE"/>
        </w:rPr>
        <w:t>3 - </w:t>
      </w:r>
      <w:r w:rsidRPr="009737B5">
        <w:rPr>
          <w:rFonts w:ascii="Times New Roman" w:hAnsi="Times New Roman" w:cs="Times New Roman"/>
          <w:lang w:val="de-DE"/>
        </w:rPr>
        <w:t>5 beobachtet, wohingegen diese im Kontrollarm bei bis zu 0,9</w:t>
      </w:r>
      <w:r w:rsidR="00322E40" w:rsidRPr="009737B5">
        <w:rPr>
          <w:rFonts w:ascii="Times New Roman" w:hAnsi="Times New Roman" w:cs="Times New Roman"/>
          <w:lang w:val="de-DE"/>
        </w:rPr>
        <w:t> %</w:t>
      </w:r>
      <w:r w:rsidR="003C5E88" w:rsidRPr="009737B5">
        <w:rPr>
          <w:rFonts w:ascii="Times New Roman" w:hAnsi="Times New Roman" w:cs="Times New Roman"/>
          <w:lang w:val="de-DE"/>
        </w:rPr>
        <w:t xml:space="preserve"> der Patienten auftraten (NCI</w:t>
      </w:r>
      <w:r w:rsidR="003C5E88" w:rsidRPr="009737B5">
        <w:rPr>
          <w:rFonts w:ascii="Times New Roman" w:hAnsi="Times New Roman" w:cs="Times New Roman"/>
          <w:lang w:val="de-DE"/>
        </w:rPr>
        <w:noBreakHyphen/>
      </w:r>
      <w:r w:rsidRPr="009737B5">
        <w:rPr>
          <w:rFonts w:ascii="Times New Roman" w:hAnsi="Times New Roman" w:cs="Times New Roman"/>
          <w:lang w:val="de-DE"/>
        </w:rPr>
        <w:t>CTCAE v.3).</w:t>
      </w:r>
    </w:p>
    <w:p w14:paraId="5F2EC1FF" w14:textId="77777777" w:rsidR="00AF337C" w:rsidRPr="009737B5" w:rsidRDefault="00AF337C" w:rsidP="003C5E88">
      <w:pPr>
        <w:suppressAutoHyphens/>
        <w:spacing w:after="0" w:line="240" w:lineRule="auto"/>
        <w:rPr>
          <w:rFonts w:ascii="Times New Roman" w:hAnsi="Times New Roman" w:cs="Times New Roman"/>
          <w:lang w:val="de-DE"/>
        </w:rPr>
      </w:pPr>
    </w:p>
    <w:p w14:paraId="1FD53199" w14:textId="7C0E7FDB" w:rsidR="00AF337C" w:rsidRPr="009737B5" w:rsidRDefault="00AF337C" w:rsidP="003C5E8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klinischen Studien zum Ovarialkarzinom wurden im Bevacizumab-Arm bei bis zu 1,8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Wundheilungsstörungen der Grade</w:t>
      </w:r>
      <w:r w:rsidR="008878EC">
        <w:rPr>
          <w:rFonts w:ascii="Times New Roman" w:hAnsi="Times New Roman" w:cs="Times New Roman"/>
          <w:lang w:val="de-DE"/>
        </w:rPr>
        <w:t> </w:t>
      </w:r>
      <w:r w:rsidRPr="009737B5">
        <w:rPr>
          <w:rFonts w:ascii="Times New Roman" w:hAnsi="Times New Roman" w:cs="Times New Roman"/>
          <w:lang w:val="de-DE"/>
        </w:rPr>
        <w:t>3</w:t>
      </w:r>
      <w:r w:rsidR="008878EC">
        <w:rPr>
          <w:rFonts w:ascii="Times New Roman" w:hAnsi="Times New Roman" w:cs="Times New Roman"/>
          <w:lang w:val="de-DE"/>
        </w:rPr>
        <w:t> </w:t>
      </w:r>
      <w:r w:rsidRPr="009737B5">
        <w:rPr>
          <w:rFonts w:ascii="Times New Roman" w:hAnsi="Times New Roman" w:cs="Times New Roman"/>
          <w:lang w:val="de-DE"/>
        </w:rPr>
        <w:t>-</w:t>
      </w:r>
      <w:r w:rsidR="008878EC">
        <w:rPr>
          <w:rFonts w:ascii="Times New Roman" w:hAnsi="Times New Roman" w:cs="Times New Roman"/>
          <w:lang w:val="de-DE"/>
        </w:rPr>
        <w:t> </w:t>
      </w:r>
      <w:r w:rsidRPr="009737B5">
        <w:rPr>
          <w:rFonts w:ascii="Times New Roman" w:hAnsi="Times New Roman" w:cs="Times New Roman"/>
          <w:lang w:val="de-DE"/>
        </w:rPr>
        <w:t>5 beobachtet, im Vergleich zu 0,1</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im Kontrollarm (NCI-CTCAE v.3).</w:t>
      </w:r>
    </w:p>
    <w:p w14:paraId="50DC8BE1" w14:textId="77777777" w:rsidR="00AF337C" w:rsidRPr="009737B5" w:rsidRDefault="00AF337C" w:rsidP="003C5E88">
      <w:pPr>
        <w:suppressAutoHyphens/>
        <w:spacing w:after="0" w:line="240" w:lineRule="auto"/>
        <w:rPr>
          <w:rFonts w:ascii="Times New Roman" w:hAnsi="Times New Roman" w:cs="Times New Roman"/>
          <w:lang w:val="de-DE"/>
        </w:rPr>
      </w:pPr>
    </w:p>
    <w:p w14:paraId="37EF13A6" w14:textId="534BF942" w:rsidR="00AF337C" w:rsidRPr="009737B5" w:rsidRDefault="00AF337C" w:rsidP="0052278F">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i/>
          <w:u w:val="single"/>
          <w:lang w:val="de-DE"/>
        </w:rPr>
        <w:t xml:space="preserve">Hypertonie </w:t>
      </w:r>
      <w:r w:rsidRPr="009737B5">
        <w:rPr>
          <w:rFonts w:ascii="Times New Roman" w:hAnsi="Times New Roman" w:cs="Times New Roman"/>
          <w:u w:val="single"/>
          <w:lang w:val="de-DE"/>
        </w:rPr>
        <w:t>(siehe Abschnitt</w:t>
      </w:r>
      <w:r w:rsidR="008878EC">
        <w:rPr>
          <w:rFonts w:ascii="Times New Roman" w:hAnsi="Times New Roman" w:cs="Times New Roman"/>
          <w:u w:val="single"/>
          <w:lang w:val="de-DE"/>
        </w:rPr>
        <w:t> </w:t>
      </w:r>
      <w:r w:rsidRPr="009737B5">
        <w:rPr>
          <w:rFonts w:ascii="Times New Roman" w:hAnsi="Times New Roman" w:cs="Times New Roman"/>
          <w:u w:val="single"/>
          <w:lang w:val="de-DE"/>
        </w:rPr>
        <w:t>4.4)</w:t>
      </w:r>
    </w:p>
    <w:p w14:paraId="69D1AA22" w14:textId="77777777" w:rsidR="0052278F" w:rsidRPr="009737B5" w:rsidRDefault="0052278F" w:rsidP="0052278F">
      <w:pPr>
        <w:keepNext/>
        <w:suppressAutoHyphens/>
        <w:spacing w:after="0" w:line="240" w:lineRule="auto"/>
        <w:rPr>
          <w:rFonts w:ascii="Times New Roman" w:hAnsi="Times New Roman" w:cs="Times New Roman"/>
          <w:u w:val="single"/>
          <w:lang w:val="de-DE"/>
        </w:rPr>
      </w:pPr>
    </w:p>
    <w:p w14:paraId="2B78CA99" w14:textId="32EE2402" w:rsidR="00AF337C" w:rsidRPr="009737B5" w:rsidRDefault="00AF337C" w:rsidP="003C5E8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klinischen Studien, mit Ausnahme der Studie</w:t>
      </w:r>
      <w:r w:rsidR="008878EC">
        <w:rPr>
          <w:rFonts w:ascii="Times New Roman" w:hAnsi="Times New Roman" w:cs="Times New Roman"/>
          <w:lang w:val="de-DE"/>
        </w:rPr>
        <w:t> </w:t>
      </w:r>
      <w:r w:rsidRPr="009737B5">
        <w:rPr>
          <w:rFonts w:ascii="Times New Roman" w:hAnsi="Times New Roman" w:cs="Times New Roman"/>
          <w:lang w:val="de-DE"/>
        </w:rPr>
        <w:t xml:space="preserve">JO25567, betrug die Gesamtinzidenz von Hypertonie aller Schweregrade in den Armen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bis zu 42,1</w:t>
      </w:r>
      <w:r w:rsidR="00322E40" w:rsidRPr="009737B5">
        <w:rPr>
          <w:rFonts w:ascii="Times New Roman" w:hAnsi="Times New Roman" w:cs="Times New Roman"/>
          <w:lang w:val="de-DE"/>
        </w:rPr>
        <w:t> %</w:t>
      </w:r>
      <w:r w:rsidRPr="009737B5">
        <w:rPr>
          <w:rFonts w:ascii="Times New Roman" w:hAnsi="Times New Roman" w:cs="Times New Roman"/>
          <w:lang w:val="de-DE"/>
        </w:rPr>
        <w:t>, verglichen mit bis zu 14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den Vergleichsarmen. Die Gesamtinzidenz von Hypertonie der Grade</w:t>
      </w:r>
      <w:r w:rsidR="008878EC">
        <w:rPr>
          <w:rFonts w:ascii="Times New Roman" w:hAnsi="Times New Roman" w:cs="Times New Roman"/>
          <w:lang w:val="de-DE"/>
        </w:rPr>
        <w:t> </w:t>
      </w:r>
      <w:r w:rsidRPr="009737B5">
        <w:rPr>
          <w:rFonts w:ascii="Times New Roman" w:hAnsi="Times New Roman" w:cs="Times New Roman"/>
          <w:lang w:val="de-DE"/>
        </w:rPr>
        <w:t xml:space="preserve">3 und 4 gemäß NCI-CTC betrug bei Patienten unter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0,4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bis 17,9</w:t>
      </w:r>
      <w:r w:rsidR="00322E40" w:rsidRPr="009737B5">
        <w:rPr>
          <w:rFonts w:ascii="Times New Roman" w:hAnsi="Times New Roman" w:cs="Times New Roman"/>
          <w:lang w:val="de-DE"/>
        </w:rPr>
        <w:t> %</w:t>
      </w:r>
      <w:r w:rsidRPr="009737B5">
        <w:rPr>
          <w:rFonts w:ascii="Times New Roman" w:hAnsi="Times New Roman" w:cs="Times New Roman"/>
          <w:lang w:val="de-DE"/>
        </w:rPr>
        <w:t>. Hypertonie vom Grad</w:t>
      </w:r>
      <w:r w:rsidR="008878EC">
        <w:rPr>
          <w:rFonts w:ascii="Times New Roman" w:hAnsi="Times New Roman" w:cs="Times New Roman"/>
          <w:lang w:val="de-DE"/>
        </w:rPr>
        <w:t> </w:t>
      </w:r>
      <w:r w:rsidRPr="009737B5">
        <w:rPr>
          <w:rFonts w:ascii="Times New Roman" w:hAnsi="Times New Roman" w:cs="Times New Roman"/>
          <w:lang w:val="de-DE"/>
        </w:rPr>
        <w:t>4 (eine hypertensive Krise) trat bei bis zu 1,0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unter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und Chemotherapie auf, verglichen mit bis zu 0,2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bei Patienten, die mit der gleichen Chemotherapie allein behandelt wurden.</w:t>
      </w:r>
    </w:p>
    <w:p w14:paraId="540106CE" w14:textId="77777777" w:rsidR="00AF337C" w:rsidRPr="009737B5" w:rsidRDefault="00AF337C" w:rsidP="003C5E88">
      <w:pPr>
        <w:suppressAutoHyphens/>
        <w:spacing w:after="0" w:line="240" w:lineRule="auto"/>
        <w:rPr>
          <w:rFonts w:ascii="Times New Roman" w:hAnsi="Times New Roman" w:cs="Times New Roman"/>
          <w:lang w:val="de-DE"/>
        </w:rPr>
      </w:pPr>
    </w:p>
    <w:p w14:paraId="466EE1A8" w14:textId="0CD0B634" w:rsidR="00AF337C" w:rsidRPr="009737B5" w:rsidRDefault="00AF337C" w:rsidP="003C5E8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der Studie JO25567 wurde bei 77,3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die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Erlotinib als</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First-Line-Behandlung gegen das nicht-kleinzellige Nicht-Plattenepithel-Bronchialkarzinom mit EGFR aktivierenden Mutationen erhielten, Hypertonie aller Grade beobachtet, im Vergleich zu 14,3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die nur mit Erlotinib behandelt wurden. Hypertonie von Grad</w:t>
      </w:r>
      <w:r w:rsidR="008878EC">
        <w:rPr>
          <w:rFonts w:ascii="Times New Roman" w:hAnsi="Times New Roman" w:cs="Times New Roman"/>
          <w:lang w:val="de-DE"/>
        </w:rPr>
        <w:t> </w:t>
      </w:r>
      <w:r w:rsidRPr="009737B5">
        <w:rPr>
          <w:rFonts w:ascii="Times New Roman" w:hAnsi="Times New Roman" w:cs="Times New Roman"/>
          <w:lang w:val="de-DE"/>
        </w:rPr>
        <w:t>3 trat bei 60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mit </w:t>
      </w:r>
      <w:r w:rsidR="004C438C" w:rsidRPr="009737B5">
        <w:rPr>
          <w:rFonts w:ascii="Times New Roman" w:hAnsi="Times New Roman" w:cs="Times New Roman"/>
          <w:lang w:val="de-DE"/>
        </w:rPr>
        <w:lastRenderedPageBreak/>
        <w:t>Bevacizumab</w:t>
      </w:r>
      <w:r w:rsidRPr="009737B5">
        <w:rPr>
          <w:rFonts w:ascii="Times New Roman" w:hAnsi="Times New Roman" w:cs="Times New Roman"/>
          <w:lang w:val="de-DE"/>
        </w:rPr>
        <w:t xml:space="preserve"> in Kombination mit Erlotinib behandelten Patienten auf, im Vergleich zu 11,7</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Patienten, die nur mit Erlotinib behandelt wurden. Es trat keine Hypertonie der Grade</w:t>
      </w:r>
      <w:r w:rsidR="008878EC">
        <w:rPr>
          <w:rFonts w:ascii="Times New Roman" w:hAnsi="Times New Roman" w:cs="Times New Roman"/>
          <w:lang w:val="de-DE"/>
        </w:rPr>
        <w:t> </w:t>
      </w:r>
      <w:r w:rsidRPr="009737B5">
        <w:rPr>
          <w:rFonts w:ascii="Times New Roman" w:hAnsi="Times New Roman" w:cs="Times New Roman"/>
          <w:lang w:val="de-DE"/>
        </w:rPr>
        <w:t>4 oder 5 auf.</w:t>
      </w:r>
    </w:p>
    <w:p w14:paraId="26D3B530" w14:textId="77777777" w:rsidR="00AF337C" w:rsidRPr="009737B5" w:rsidRDefault="00AF337C" w:rsidP="003C5E88">
      <w:pPr>
        <w:suppressAutoHyphens/>
        <w:spacing w:after="0" w:line="240" w:lineRule="auto"/>
        <w:rPr>
          <w:rFonts w:ascii="Times New Roman" w:hAnsi="Times New Roman" w:cs="Times New Roman"/>
          <w:lang w:val="de-DE"/>
        </w:rPr>
      </w:pPr>
    </w:p>
    <w:p w14:paraId="22DAAD09" w14:textId="3DEAA4E9" w:rsidR="00AF337C" w:rsidRPr="009737B5" w:rsidRDefault="00AF337C" w:rsidP="003C5E8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Hypertonie wurde in der Regel mit oralen blutdrucksenkenden Mitteln wie z.</w:t>
      </w:r>
      <w:r w:rsidR="008878EC">
        <w:rPr>
          <w:rFonts w:ascii="Times New Roman" w:hAnsi="Times New Roman" w:cs="Times New Roman"/>
          <w:lang w:val="de-DE"/>
        </w:rPr>
        <w:t> </w:t>
      </w:r>
      <w:r w:rsidRPr="009737B5">
        <w:rPr>
          <w:rFonts w:ascii="Times New Roman" w:hAnsi="Times New Roman" w:cs="Times New Roman"/>
          <w:lang w:val="de-DE"/>
        </w:rPr>
        <w:t xml:space="preserve">B. ACE-Hemmern, Diuretika und Calciumantagonisten ausreichend eingestellt. Nur selten führte sie zum Abbruch der </w:t>
      </w:r>
      <w:r w:rsidR="004C438C" w:rsidRPr="009737B5">
        <w:rPr>
          <w:rFonts w:ascii="Times New Roman" w:hAnsi="Times New Roman" w:cs="Times New Roman"/>
          <w:lang w:val="de-DE"/>
        </w:rPr>
        <w:t>Bevacizumab</w:t>
      </w:r>
      <w:r w:rsidR="004F07A5" w:rsidRPr="009737B5">
        <w:rPr>
          <w:rFonts w:ascii="Times New Roman" w:hAnsi="Times New Roman" w:cs="Times New Roman"/>
          <w:lang w:val="de-DE"/>
        </w:rPr>
        <w:t>-</w:t>
      </w:r>
      <w:r w:rsidRPr="009737B5">
        <w:rPr>
          <w:rFonts w:ascii="Times New Roman" w:hAnsi="Times New Roman" w:cs="Times New Roman"/>
          <w:lang w:val="de-DE"/>
        </w:rPr>
        <w:t xml:space="preserve">Behandlung oder </w:t>
      </w:r>
      <w:r w:rsidR="004F07A5" w:rsidRPr="009737B5">
        <w:rPr>
          <w:rFonts w:ascii="Times New Roman" w:hAnsi="Times New Roman" w:cs="Times New Roman"/>
          <w:lang w:val="de-DE"/>
        </w:rPr>
        <w:t xml:space="preserve">zu </w:t>
      </w:r>
      <w:r w:rsidRPr="009737B5">
        <w:rPr>
          <w:rFonts w:ascii="Times New Roman" w:hAnsi="Times New Roman" w:cs="Times New Roman"/>
          <w:lang w:val="de-DE"/>
        </w:rPr>
        <w:t>einer Klinikeinweisung.</w:t>
      </w:r>
    </w:p>
    <w:p w14:paraId="3A2CE765" w14:textId="77777777" w:rsidR="00AF337C" w:rsidRPr="009737B5" w:rsidRDefault="00AF337C" w:rsidP="003C5E88">
      <w:pPr>
        <w:suppressAutoHyphens/>
        <w:spacing w:after="0" w:line="240" w:lineRule="auto"/>
        <w:rPr>
          <w:rFonts w:ascii="Times New Roman" w:hAnsi="Times New Roman" w:cs="Times New Roman"/>
          <w:lang w:val="de-DE"/>
        </w:rPr>
      </w:pPr>
    </w:p>
    <w:p w14:paraId="67B5DF36" w14:textId="77777777" w:rsidR="00AF337C" w:rsidRPr="009737B5" w:rsidRDefault="00AF337C" w:rsidP="003C5E8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wurden sehr seltene Fälle einer hypertensiven Enzephalopathie berichtet, von denen einige letal verliefen.</w:t>
      </w:r>
    </w:p>
    <w:p w14:paraId="47410C6F" w14:textId="77777777" w:rsidR="00AF337C" w:rsidRPr="009737B5" w:rsidRDefault="00AF337C" w:rsidP="003C5E88">
      <w:pPr>
        <w:suppressAutoHyphens/>
        <w:spacing w:after="0" w:line="240" w:lineRule="auto"/>
        <w:rPr>
          <w:rFonts w:ascii="Times New Roman" w:hAnsi="Times New Roman" w:cs="Times New Roman"/>
          <w:lang w:val="de-DE"/>
        </w:rPr>
      </w:pPr>
    </w:p>
    <w:p w14:paraId="2586D4CB" w14:textId="77777777" w:rsidR="00AF337C" w:rsidRPr="009737B5" w:rsidRDefault="00AF337C" w:rsidP="003C5E8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In keinem Fall bestand eine Korrelation zwischen dem Risiko für eine </w:t>
      </w:r>
      <w:r w:rsidR="004C438C" w:rsidRPr="009737B5">
        <w:rPr>
          <w:rFonts w:ascii="Times New Roman" w:hAnsi="Times New Roman" w:cs="Times New Roman"/>
          <w:lang w:val="de-DE"/>
        </w:rPr>
        <w:t>Bevacizumab</w:t>
      </w:r>
      <w:r w:rsidR="004F07A5" w:rsidRPr="009737B5">
        <w:rPr>
          <w:rFonts w:ascii="Times New Roman" w:hAnsi="Times New Roman" w:cs="Times New Roman"/>
          <w:lang w:val="de-DE"/>
        </w:rPr>
        <w:t>-</w:t>
      </w:r>
      <w:r w:rsidRPr="009737B5">
        <w:rPr>
          <w:rFonts w:ascii="Times New Roman" w:hAnsi="Times New Roman" w:cs="Times New Roman"/>
          <w:lang w:val="de-DE"/>
        </w:rPr>
        <w:t>bedingte Hypertonie und den demographischen Daten der Patienten, der Grundkrankheit oder der Begleittherapie.</w:t>
      </w:r>
    </w:p>
    <w:p w14:paraId="409E3AC0" w14:textId="77777777" w:rsidR="00AF337C" w:rsidRPr="009737B5" w:rsidRDefault="00AF337C" w:rsidP="003C5E88">
      <w:pPr>
        <w:suppressAutoHyphens/>
        <w:spacing w:after="0" w:line="240" w:lineRule="auto"/>
        <w:rPr>
          <w:rFonts w:ascii="Times New Roman" w:hAnsi="Times New Roman" w:cs="Times New Roman"/>
          <w:lang w:val="de-DE"/>
        </w:rPr>
      </w:pPr>
    </w:p>
    <w:p w14:paraId="1140AAC6" w14:textId="6DC54513" w:rsidR="00AF337C" w:rsidRPr="009737B5" w:rsidRDefault="00AF337C" w:rsidP="00BF042B">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i/>
          <w:u w:val="single"/>
          <w:lang w:val="de-DE"/>
        </w:rPr>
        <w:t>Posteriores reversibles Enzephalopathie-Syndrom</w:t>
      </w:r>
      <w:r w:rsidRPr="009737B5">
        <w:rPr>
          <w:rFonts w:ascii="Times New Roman" w:hAnsi="Times New Roman" w:cs="Times New Roman"/>
          <w:u w:val="single"/>
          <w:lang w:val="de-DE"/>
        </w:rPr>
        <w:t xml:space="preserve"> (siehe Abschnitt</w:t>
      </w:r>
      <w:r w:rsidR="008878EC">
        <w:rPr>
          <w:rFonts w:ascii="Times New Roman" w:hAnsi="Times New Roman" w:cs="Times New Roman"/>
          <w:u w:val="single"/>
          <w:lang w:val="de-DE"/>
        </w:rPr>
        <w:t> </w:t>
      </w:r>
      <w:r w:rsidRPr="009737B5">
        <w:rPr>
          <w:rFonts w:ascii="Times New Roman" w:hAnsi="Times New Roman" w:cs="Times New Roman"/>
          <w:u w:val="single"/>
          <w:lang w:val="de-DE"/>
        </w:rPr>
        <w:t>4.4)</w:t>
      </w:r>
    </w:p>
    <w:p w14:paraId="78E42B4B" w14:textId="77777777" w:rsidR="0052278F" w:rsidRPr="009737B5" w:rsidRDefault="0052278F" w:rsidP="00BF042B">
      <w:pPr>
        <w:keepNext/>
        <w:suppressAutoHyphens/>
        <w:spacing w:after="0" w:line="240" w:lineRule="auto"/>
        <w:rPr>
          <w:rFonts w:ascii="Times New Roman" w:hAnsi="Times New Roman" w:cs="Times New Roman"/>
          <w:lang w:val="de-DE"/>
        </w:rPr>
      </w:pPr>
    </w:p>
    <w:p w14:paraId="645DD361" w14:textId="77777777" w:rsidR="00AF337C" w:rsidRPr="009737B5" w:rsidRDefault="00AF337C" w:rsidP="003C5E8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Es liegen seltene Berichte von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Patienten vor, die Zeichen und Symptome eines PRES entwickelten. Hierbei handelt es sich um eine seltene neurologische Störung, die sich unter anderem in folgenden Anzeichen und Symptomen äußern kann: epileptische Anfälle, Kopfschmerzen, veränderter Geisteszustand, Sehstörungen oder kortikale Erblindung, mit oder ohne assoziierte Hypertonie. Das klinische Bild eines PRES ist oft unspezifisch. Die Diagnose muss deshalb durch bildgebende Verfahren, vorzugweise eine MRT, bestätigt werden.</w:t>
      </w:r>
    </w:p>
    <w:p w14:paraId="7E83293E" w14:textId="77777777" w:rsidR="00AF337C" w:rsidRPr="009737B5" w:rsidRDefault="00AF337C" w:rsidP="003C5E88">
      <w:pPr>
        <w:suppressAutoHyphens/>
        <w:spacing w:after="0" w:line="240" w:lineRule="auto"/>
        <w:rPr>
          <w:rFonts w:ascii="Times New Roman" w:hAnsi="Times New Roman" w:cs="Times New Roman"/>
          <w:lang w:val="de-DE"/>
        </w:rPr>
      </w:pPr>
    </w:p>
    <w:p w14:paraId="08D23D24"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Bei Patienten, die ein PRES entwickeln, wird eine frühzeitige Symptomerkennung mit umgehender Behandlung der spezifischen Symptome einschließlich Blutdruckkontrolle (wenn in Verbindung mit </w:t>
      </w:r>
      <w:r w:rsidR="004F07A5" w:rsidRPr="009737B5">
        <w:rPr>
          <w:rFonts w:ascii="Times New Roman" w:hAnsi="Times New Roman" w:cs="Times New Roman"/>
          <w:lang w:val="de-DE"/>
        </w:rPr>
        <w:t xml:space="preserve">schwerer </w:t>
      </w:r>
      <w:r w:rsidRPr="009737B5">
        <w:rPr>
          <w:rFonts w:ascii="Times New Roman" w:hAnsi="Times New Roman" w:cs="Times New Roman"/>
          <w:lang w:val="de-DE"/>
        </w:rPr>
        <w:t>nicht</w:t>
      </w:r>
      <w:r w:rsidR="004F07A5" w:rsidRPr="009737B5">
        <w:rPr>
          <w:rFonts w:ascii="Times New Roman" w:hAnsi="Times New Roman" w:cs="Times New Roman"/>
          <w:lang w:val="de-DE"/>
        </w:rPr>
        <w:t>-</w:t>
      </w:r>
      <w:r w:rsidRPr="009737B5">
        <w:rPr>
          <w:rFonts w:ascii="Times New Roman" w:hAnsi="Times New Roman" w:cs="Times New Roman"/>
          <w:lang w:val="de-DE"/>
        </w:rPr>
        <w:t xml:space="preserve">eingestellter Hypertonie) empfohlen. Außerdem sollte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abgesetzt werden. Einige Tage nach Therapieunterbrechung verbessern sich in der Regel die Symptome oder verschwinden vollständig. Einige Patienten erlitten jedoch neurologische Spätfolgen. Zur Sicherheit einer erneuten Anwendung von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bei Patienten, die bereits früher ein PRES entwickelt haben, liegen keine Erkenntnisse vor.</w:t>
      </w:r>
    </w:p>
    <w:p w14:paraId="04804D3F" w14:textId="77777777" w:rsidR="00AF337C" w:rsidRPr="009737B5" w:rsidRDefault="00AF337C" w:rsidP="005F4D08">
      <w:pPr>
        <w:suppressAutoHyphens/>
        <w:spacing w:after="0" w:line="240" w:lineRule="auto"/>
        <w:rPr>
          <w:rFonts w:ascii="Times New Roman" w:hAnsi="Times New Roman" w:cs="Times New Roman"/>
          <w:lang w:val="de-DE"/>
        </w:rPr>
      </w:pPr>
    </w:p>
    <w:p w14:paraId="49202215" w14:textId="43F7E03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Aus den klinischen Studien wurden 8</w:t>
      </w:r>
      <w:r w:rsidR="008878EC">
        <w:rPr>
          <w:rFonts w:ascii="Times New Roman" w:hAnsi="Times New Roman" w:cs="Times New Roman"/>
          <w:lang w:val="de-DE"/>
        </w:rPr>
        <w:t> </w:t>
      </w:r>
      <w:r w:rsidRPr="009737B5">
        <w:rPr>
          <w:rFonts w:ascii="Times New Roman" w:hAnsi="Times New Roman" w:cs="Times New Roman"/>
          <w:lang w:val="de-DE"/>
        </w:rPr>
        <w:t>Fälle von PRES berichtet, von denen 2 nicht radiologisch mittels MRT bestätigt wurden.</w:t>
      </w:r>
    </w:p>
    <w:p w14:paraId="70C8624F" w14:textId="77777777" w:rsidR="00AF337C" w:rsidRPr="009737B5" w:rsidRDefault="00AF337C" w:rsidP="005F4D08">
      <w:pPr>
        <w:suppressAutoHyphens/>
        <w:spacing w:after="0" w:line="240" w:lineRule="auto"/>
        <w:rPr>
          <w:rFonts w:ascii="Times New Roman" w:hAnsi="Times New Roman" w:cs="Times New Roman"/>
          <w:lang w:val="de-DE"/>
        </w:rPr>
      </w:pPr>
    </w:p>
    <w:p w14:paraId="52705301" w14:textId="176170A1" w:rsidR="00AF337C" w:rsidRPr="009737B5" w:rsidRDefault="00AF337C" w:rsidP="00BF042B">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i/>
          <w:u w:val="single"/>
          <w:lang w:val="de-DE"/>
        </w:rPr>
        <w:t>Proteinurie</w:t>
      </w:r>
      <w:r w:rsidRPr="009737B5">
        <w:rPr>
          <w:rFonts w:ascii="Times New Roman" w:hAnsi="Times New Roman" w:cs="Times New Roman"/>
          <w:u w:val="single"/>
          <w:lang w:val="de-DE"/>
        </w:rPr>
        <w:t xml:space="preserve"> (siehe Abschnitt</w:t>
      </w:r>
      <w:r w:rsidR="008878EC">
        <w:rPr>
          <w:rFonts w:ascii="Times New Roman" w:hAnsi="Times New Roman" w:cs="Times New Roman"/>
          <w:u w:val="single"/>
          <w:lang w:val="de-DE"/>
        </w:rPr>
        <w:t> </w:t>
      </w:r>
      <w:r w:rsidRPr="009737B5">
        <w:rPr>
          <w:rFonts w:ascii="Times New Roman" w:hAnsi="Times New Roman" w:cs="Times New Roman"/>
          <w:u w:val="single"/>
          <w:lang w:val="de-DE"/>
        </w:rPr>
        <w:t>4.4)</w:t>
      </w:r>
    </w:p>
    <w:p w14:paraId="3A2D3331" w14:textId="77777777" w:rsidR="0052278F" w:rsidRPr="009737B5" w:rsidRDefault="0052278F" w:rsidP="00BF042B">
      <w:pPr>
        <w:keepNext/>
        <w:suppressAutoHyphens/>
        <w:spacing w:after="0" w:line="240" w:lineRule="auto"/>
        <w:rPr>
          <w:rFonts w:ascii="Times New Roman" w:hAnsi="Times New Roman" w:cs="Times New Roman"/>
          <w:lang w:val="de-DE"/>
        </w:rPr>
      </w:pPr>
    </w:p>
    <w:p w14:paraId="7311B2DE"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klinischen Studien wurde bei 0,7</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bis 54,7</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Patienten über eine Proteinurie berichtet.</w:t>
      </w:r>
    </w:p>
    <w:p w14:paraId="0907E736" w14:textId="77777777" w:rsidR="00AF337C" w:rsidRPr="009737B5" w:rsidRDefault="00AF337C" w:rsidP="005F4D08">
      <w:pPr>
        <w:suppressAutoHyphens/>
        <w:spacing w:after="0" w:line="240" w:lineRule="auto"/>
        <w:rPr>
          <w:rFonts w:ascii="Times New Roman" w:hAnsi="Times New Roman" w:cs="Times New Roman"/>
          <w:lang w:val="de-DE"/>
        </w:rPr>
      </w:pPr>
    </w:p>
    <w:p w14:paraId="0F3DC023" w14:textId="050BDBB9"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Der Schweregrad der Proteinurie reichte von vorübergehender, klinisch asymptomatischer leichter</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Proteinurie bis zum nephrotischen Syndrom, wobei es sich in der Mehrzahl um eine Proteinurie vom Grad</w:t>
      </w:r>
      <w:r w:rsidR="008878EC">
        <w:rPr>
          <w:rFonts w:ascii="Times New Roman" w:hAnsi="Times New Roman" w:cs="Times New Roman"/>
          <w:lang w:val="de-DE"/>
        </w:rPr>
        <w:t> </w:t>
      </w:r>
      <w:r w:rsidRPr="009737B5">
        <w:rPr>
          <w:rFonts w:ascii="Times New Roman" w:hAnsi="Times New Roman" w:cs="Times New Roman"/>
          <w:lang w:val="de-DE"/>
        </w:rPr>
        <w:t>1 handelte (NCI-CTCAE v.3). Eine Proteinurie vom Grad</w:t>
      </w:r>
      <w:r w:rsidR="008878EC">
        <w:rPr>
          <w:rFonts w:ascii="Times New Roman" w:hAnsi="Times New Roman" w:cs="Times New Roman"/>
          <w:lang w:val="de-DE"/>
        </w:rPr>
        <w:t> </w:t>
      </w:r>
      <w:r w:rsidRPr="009737B5">
        <w:rPr>
          <w:rFonts w:ascii="Times New Roman" w:hAnsi="Times New Roman" w:cs="Times New Roman"/>
          <w:lang w:val="de-DE"/>
        </w:rPr>
        <w:t>3 wurde bei bis zu 10,9</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behandelten Patienten berichtet. Eine Grad</w:t>
      </w:r>
      <w:r w:rsidR="00AD4D92" w:rsidRPr="009737B5">
        <w:rPr>
          <w:rFonts w:ascii="Times New Roman" w:hAnsi="Times New Roman" w:cs="Times New Roman"/>
          <w:lang w:val="de-DE"/>
        </w:rPr>
        <w:t xml:space="preserve"> </w:t>
      </w:r>
      <w:r w:rsidRPr="009737B5">
        <w:rPr>
          <w:rFonts w:ascii="Times New Roman" w:hAnsi="Times New Roman" w:cs="Times New Roman"/>
          <w:lang w:val="de-DE"/>
        </w:rPr>
        <w:t>4-Proteinurie (ein nephrotisches Syndrom) wurde bei bis zu 1,4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behandelten Patienten beobachtet. Vor Beginn der </w:t>
      </w:r>
      <w:r w:rsidR="00885FD1" w:rsidRPr="009737B5">
        <w:rPr>
          <w:rFonts w:ascii="Times New Roman" w:hAnsi="Times New Roman" w:cs="Times New Roman"/>
          <w:lang w:val="de-DE"/>
        </w:rPr>
        <w:t>MVASI</w:t>
      </w:r>
      <w:r w:rsidR="004C438C" w:rsidRPr="009737B5">
        <w:rPr>
          <w:rFonts w:ascii="Times New Roman" w:hAnsi="Times New Roman" w:cs="Times New Roman"/>
          <w:lang w:val="de-DE"/>
        </w:rPr>
        <w:t>-</w:t>
      </w:r>
      <w:r w:rsidRPr="009737B5">
        <w:rPr>
          <w:rFonts w:ascii="Times New Roman" w:hAnsi="Times New Roman" w:cs="Times New Roman"/>
          <w:lang w:val="de-DE"/>
        </w:rPr>
        <w:t xml:space="preserve">Behandlung wird eine Untersuchung auf Proteinurie empfohlen. In den meisten klinischen Studien führten Urin-Proteinspiegel von </w:t>
      </w:r>
      <w:r w:rsidR="00E32D5C" w:rsidRPr="009737B5">
        <w:rPr>
          <w:rFonts w:ascii="Times New Roman" w:hAnsi="Times New Roman" w:cs="Times New Roman"/>
          <w:lang w:val="de-DE"/>
        </w:rPr>
        <w:t>≥ </w:t>
      </w:r>
      <w:r w:rsidRPr="009737B5">
        <w:rPr>
          <w:rFonts w:ascii="Times New Roman" w:hAnsi="Times New Roman" w:cs="Times New Roman"/>
          <w:lang w:val="de-DE"/>
        </w:rPr>
        <w:t>2</w:t>
      </w:r>
      <w:r w:rsidR="0052278F" w:rsidRPr="009737B5">
        <w:rPr>
          <w:rFonts w:ascii="Times New Roman" w:hAnsi="Times New Roman" w:cs="Times New Roman"/>
          <w:lang w:val="de-DE"/>
        </w:rPr>
        <w:t> </w:t>
      </w:r>
      <w:r w:rsidRPr="009737B5">
        <w:rPr>
          <w:rFonts w:ascii="Times New Roman" w:hAnsi="Times New Roman" w:cs="Times New Roman"/>
          <w:lang w:val="de-DE"/>
        </w:rPr>
        <w:t>g/24</w:t>
      </w:r>
      <w:r w:rsidR="008878EC">
        <w:rPr>
          <w:rFonts w:ascii="Times New Roman" w:hAnsi="Times New Roman" w:cs="Times New Roman"/>
          <w:lang w:val="de-DE"/>
        </w:rPr>
        <w:t> </w:t>
      </w:r>
      <w:r w:rsidRPr="009737B5">
        <w:rPr>
          <w:rFonts w:ascii="Times New Roman" w:hAnsi="Times New Roman" w:cs="Times New Roman"/>
          <w:lang w:val="de-DE"/>
        </w:rPr>
        <w:t xml:space="preserve">Stunden zu einem Aussetzen der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Behandlung bis zur Abnahme der Urin-Proteinspiegel auf </w:t>
      </w:r>
      <w:r w:rsidR="00E32D5C" w:rsidRPr="009737B5">
        <w:rPr>
          <w:rFonts w:ascii="Times New Roman" w:hAnsi="Times New Roman" w:cs="Times New Roman"/>
          <w:lang w:val="de-DE"/>
        </w:rPr>
        <w:t>&lt; </w:t>
      </w:r>
      <w:r w:rsidRPr="009737B5">
        <w:rPr>
          <w:rFonts w:ascii="Times New Roman" w:hAnsi="Times New Roman" w:cs="Times New Roman"/>
          <w:lang w:val="de-DE"/>
        </w:rPr>
        <w:t>2</w:t>
      </w:r>
      <w:r w:rsidR="0052278F" w:rsidRPr="009737B5">
        <w:rPr>
          <w:rFonts w:ascii="Times New Roman" w:hAnsi="Times New Roman" w:cs="Times New Roman"/>
          <w:lang w:val="de-DE"/>
        </w:rPr>
        <w:t> </w:t>
      </w:r>
      <w:r w:rsidRPr="009737B5">
        <w:rPr>
          <w:rFonts w:ascii="Times New Roman" w:hAnsi="Times New Roman" w:cs="Times New Roman"/>
          <w:lang w:val="de-DE"/>
        </w:rPr>
        <w:t>g/24</w:t>
      </w:r>
      <w:r w:rsidR="008878EC">
        <w:rPr>
          <w:rFonts w:ascii="Times New Roman" w:hAnsi="Times New Roman" w:cs="Times New Roman"/>
          <w:lang w:val="de-DE"/>
        </w:rPr>
        <w:t> </w:t>
      </w:r>
      <w:r w:rsidRPr="009737B5">
        <w:rPr>
          <w:rFonts w:ascii="Times New Roman" w:hAnsi="Times New Roman" w:cs="Times New Roman"/>
          <w:lang w:val="de-DE"/>
        </w:rPr>
        <w:t>Stunden.</w:t>
      </w:r>
    </w:p>
    <w:p w14:paraId="4F00B70F" w14:textId="77777777" w:rsidR="00AF337C" w:rsidRPr="009737B5" w:rsidRDefault="00AF337C" w:rsidP="005F4D08">
      <w:pPr>
        <w:suppressAutoHyphens/>
        <w:spacing w:after="0" w:line="240" w:lineRule="auto"/>
        <w:rPr>
          <w:rFonts w:ascii="Times New Roman" w:hAnsi="Times New Roman" w:cs="Times New Roman"/>
          <w:lang w:val="de-DE"/>
        </w:rPr>
      </w:pPr>
    </w:p>
    <w:p w14:paraId="697BAB10" w14:textId="32F90367" w:rsidR="00AF337C" w:rsidRPr="009737B5" w:rsidRDefault="00AF337C" w:rsidP="0052278F">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i/>
          <w:u w:val="single"/>
          <w:lang w:val="de-DE"/>
        </w:rPr>
        <w:t>Blutungen</w:t>
      </w:r>
      <w:r w:rsidRPr="009737B5">
        <w:rPr>
          <w:rFonts w:ascii="Times New Roman" w:hAnsi="Times New Roman" w:cs="Times New Roman"/>
          <w:u w:val="single"/>
          <w:lang w:val="de-DE"/>
        </w:rPr>
        <w:t xml:space="preserve"> (siehe Abschnitt</w:t>
      </w:r>
      <w:r w:rsidR="008878EC">
        <w:rPr>
          <w:rFonts w:ascii="Times New Roman" w:hAnsi="Times New Roman" w:cs="Times New Roman"/>
          <w:u w:val="single"/>
          <w:lang w:val="de-DE"/>
        </w:rPr>
        <w:t> </w:t>
      </w:r>
      <w:r w:rsidRPr="009737B5">
        <w:rPr>
          <w:rFonts w:ascii="Times New Roman" w:hAnsi="Times New Roman" w:cs="Times New Roman"/>
          <w:u w:val="single"/>
          <w:lang w:val="de-DE"/>
        </w:rPr>
        <w:t>4.4)</w:t>
      </w:r>
    </w:p>
    <w:p w14:paraId="485E853D" w14:textId="77777777" w:rsidR="0052278F" w:rsidRPr="009737B5" w:rsidRDefault="0052278F" w:rsidP="0052278F">
      <w:pPr>
        <w:keepNext/>
        <w:suppressAutoHyphens/>
        <w:spacing w:after="0" w:line="240" w:lineRule="auto"/>
        <w:rPr>
          <w:rFonts w:ascii="Times New Roman" w:hAnsi="Times New Roman" w:cs="Times New Roman"/>
          <w:lang w:val="de-DE"/>
        </w:rPr>
      </w:pPr>
    </w:p>
    <w:p w14:paraId="6D2A5BBC" w14:textId="529C22E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In klinischen Studien aller Indikationen </w:t>
      </w:r>
      <w:r w:rsidR="00AD4D92" w:rsidRPr="009737B5">
        <w:rPr>
          <w:rFonts w:ascii="Times New Roman" w:hAnsi="Times New Roman" w:cs="Times New Roman"/>
          <w:lang w:val="de-DE"/>
        </w:rPr>
        <w:t xml:space="preserve">reichte </w:t>
      </w:r>
      <w:r w:rsidRPr="009737B5">
        <w:rPr>
          <w:rFonts w:ascii="Times New Roman" w:hAnsi="Times New Roman" w:cs="Times New Roman"/>
          <w:lang w:val="de-DE"/>
        </w:rPr>
        <w:t>die Gesamtinzidenz der Blutungsereignisse von NCI-CTCAE v.3 Grad</w:t>
      </w:r>
      <w:r w:rsidR="009510FB">
        <w:rPr>
          <w:rFonts w:ascii="Times New Roman" w:hAnsi="Times New Roman" w:cs="Times New Roman"/>
          <w:lang w:val="de-DE"/>
        </w:rPr>
        <w:t> </w:t>
      </w:r>
      <w:r w:rsidRPr="009737B5">
        <w:rPr>
          <w:rFonts w:ascii="Times New Roman" w:hAnsi="Times New Roman" w:cs="Times New Roman"/>
          <w:lang w:val="de-DE"/>
        </w:rPr>
        <w:t>3</w:t>
      </w:r>
      <w:r w:rsidR="008878EC">
        <w:rPr>
          <w:rFonts w:ascii="Times New Roman" w:hAnsi="Times New Roman" w:cs="Times New Roman"/>
          <w:lang w:val="de-DE"/>
        </w:rPr>
        <w:t> </w:t>
      </w:r>
      <w:r w:rsidRPr="009737B5">
        <w:rPr>
          <w:rFonts w:ascii="Times New Roman" w:hAnsi="Times New Roman" w:cs="Times New Roman"/>
          <w:lang w:val="de-DE"/>
        </w:rPr>
        <w:t>-</w:t>
      </w:r>
      <w:r w:rsidR="008878EC">
        <w:rPr>
          <w:rFonts w:ascii="Times New Roman" w:hAnsi="Times New Roman" w:cs="Times New Roman"/>
          <w:lang w:val="de-DE"/>
        </w:rPr>
        <w:t> </w:t>
      </w:r>
      <w:r w:rsidRPr="009737B5">
        <w:rPr>
          <w:rFonts w:ascii="Times New Roman" w:hAnsi="Times New Roman" w:cs="Times New Roman"/>
          <w:lang w:val="de-DE"/>
        </w:rPr>
        <w:t xml:space="preserve">5 bei den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Patienten von 0,4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bis 6,9</w:t>
      </w:r>
      <w:r w:rsidR="00322E40" w:rsidRPr="009737B5">
        <w:rPr>
          <w:rFonts w:ascii="Times New Roman" w:hAnsi="Times New Roman" w:cs="Times New Roman"/>
          <w:lang w:val="de-DE"/>
        </w:rPr>
        <w:t> %</w:t>
      </w:r>
      <w:r w:rsidRPr="009737B5">
        <w:rPr>
          <w:rFonts w:ascii="Times New Roman" w:hAnsi="Times New Roman" w:cs="Times New Roman"/>
          <w:lang w:val="de-DE"/>
        </w:rPr>
        <w:t>, verglichen mit bis zu 4,5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bei Patienten in den Kontrollgruppen, die Chemotherapie erhielten.</w:t>
      </w:r>
    </w:p>
    <w:p w14:paraId="0D0E2EB1" w14:textId="77777777" w:rsidR="00AF337C" w:rsidRPr="009737B5" w:rsidRDefault="00AF337C" w:rsidP="005F4D08">
      <w:pPr>
        <w:suppressAutoHyphens/>
        <w:spacing w:after="0" w:line="240" w:lineRule="auto"/>
        <w:rPr>
          <w:rFonts w:ascii="Times New Roman" w:hAnsi="Times New Roman" w:cs="Times New Roman"/>
          <w:lang w:val="de-DE"/>
        </w:rPr>
      </w:pPr>
    </w:p>
    <w:p w14:paraId="7421E549" w14:textId="6FD666D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einer klinischen Studie mit Patienten mit persistierendem, rezidivierendem oder metastasiertem</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Zervixkarzinom (Studie</w:t>
      </w:r>
      <w:r w:rsidR="008878EC">
        <w:rPr>
          <w:rFonts w:ascii="Times New Roman" w:hAnsi="Times New Roman" w:cs="Times New Roman"/>
          <w:lang w:val="de-DE"/>
        </w:rPr>
        <w:t> </w:t>
      </w:r>
      <w:r w:rsidRPr="009737B5">
        <w:rPr>
          <w:rFonts w:ascii="Times New Roman" w:hAnsi="Times New Roman" w:cs="Times New Roman"/>
          <w:lang w:val="de-DE"/>
        </w:rPr>
        <w:t>GOG-0240) wurden bei bis zu 8,3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die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in </w:t>
      </w:r>
      <w:r w:rsidRPr="009737B5">
        <w:rPr>
          <w:rFonts w:ascii="Times New Roman" w:hAnsi="Times New Roman" w:cs="Times New Roman"/>
          <w:lang w:val="de-DE"/>
        </w:rPr>
        <w:lastRenderedPageBreak/>
        <w:t>Kombination mit Paclitaxel und Topotecan behandelt wurden, Blutungen der Grade</w:t>
      </w:r>
      <w:r w:rsidR="008878EC">
        <w:rPr>
          <w:rFonts w:ascii="Times New Roman" w:hAnsi="Times New Roman" w:cs="Times New Roman"/>
          <w:lang w:val="de-DE"/>
        </w:rPr>
        <w:t> </w:t>
      </w:r>
      <w:r w:rsidRPr="009737B5">
        <w:rPr>
          <w:rFonts w:ascii="Times New Roman" w:hAnsi="Times New Roman" w:cs="Times New Roman"/>
          <w:lang w:val="de-DE"/>
        </w:rPr>
        <w:t>3</w:t>
      </w:r>
      <w:r w:rsidR="008878EC">
        <w:rPr>
          <w:rFonts w:ascii="Times New Roman" w:hAnsi="Times New Roman" w:cs="Times New Roman"/>
          <w:lang w:val="de-DE"/>
        </w:rPr>
        <w:t> </w:t>
      </w:r>
      <w:r w:rsidRPr="009737B5">
        <w:rPr>
          <w:rFonts w:ascii="Times New Roman" w:hAnsi="Times New Roman" w:cs="Times New Roman"/>
          <w:lang w:val="de-DE"/>
        </w:rPr>
        <w:t>-</w:t>
      </w:r>
      <w:r w:rsidR="008878EC">
        <w:rPr>
          <w:rFonts w:ascii="Times New Roman" w:hAnsi="Times New Roman" w:cs="Times New Roman"/>
          <w:lang w:val="de-DE"/>
        </w:rPr>
        <w:t> </w:t>
      </w:r>
      <w:r w:rsidRPr="009737B5">
        <w:rPr>
          <w:rFonts w:ascii="Times New Roman" w:hAnsi="Times New Roman" w:cs="Times New Roman"/>
          <w:lang w:val="de-DE"/>
        </w:rPr>
        <w:t>5 berichtet, verglichen mit bis zu 4,6</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die mit Paclitaxel und Topotecan behandelt wurden.</w:t>
      </w:r>
    </w:p>
    <w:p w14:paraId="53660912" w14:textId="77777777" w:rsidR="00AF337C" w:rsidRPr="009737B5" w:rsidRDefault="00AF337C" w:rsidP="005F4D08">
      <w:pPr>
        <w:suppressAutoHyphens/>
        <w:spacing w:after="0" w:line="240" w:lineRule="auto"/>
        <w:rPr>
          <w:rFonts w:ascii="Times New Roman" w:hAnsi="Times New Roman" w:cs="Times New Roman"/>
          <w:lang w:val="de-DE"/>
        </w:rPr>
      </w:pPr>
    </w:p>
    <w:p w14:paraId="0C76D295" w14:textId="5F55663E"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den hämorrhagischen Ereignissen, die in den klinischen Studien beobachtet wurden, handelte es sich vorwiegend um tumorassoziierte Blutungen (s.</w:t>
      </w:r>
      <w:r w:rsidR="008878EC">
        <w:rPr>
          <w:rFonts w:ascii="Times New Roman" w:hAnsi="Times New Roman" w:cs="Times New Roman"/>
          <w:lang w:val="de-DE"/>
        </w:rPr>
        <w:t> </w:t>
      </w:r>
      <w:r w:rsidRPr="009737B5">
        <w:rPr>
          <w:rFonts w:ascii="Times New Roman" w:hAnsi="Times New Roman" w:cs="Times New Roman"/>
          <w:lang w:val="de-DE"/>
        </w:rPr>
        <w:t>u.) und kleinere Schleimhautblutungen (z.</w:t>
      </w:r>
      <w:r w:rsidR="008878EC">
        <w:rPr>
          <w:rFonts w:ascii="Times New Roman" w:hAnsi="Times New Roman" w:cs="Times New Roman"/>
          <w:lang w:val="de-DE"/>
        </w:rPr>
        <w:t> </w:t>
      </w:r>
      <w:r w:rsidRPr="009737B5">
        <w:rPr>
          <w:rFonts w:ascii="Times New Roman" w:hAnsi="Times New Roman" w:cs="Times New Roman"/>
          <w:lang w:val="de-DE"/>
        </w:rPr>
        <w:t>B. Nasenbluten).</w:t>
      </w:r>
    </w:p>
    <w:p w14:paraId="457945D7" w14:textId="77777777" w:rsidR="00AF337C" w:rsidRPr="009737B5" w:rsidRDefault="00AF337C" w:rsidP="005F4D08">
      <w:pPr>
        <w:suppressAutoHyphens/>
        <w:spacing w:after="0" w:line="240" w:lineRule="auto"/>
        <w:rPr>
          <w:rFonts w:ascii="Times New Roman" w:hAnsi="Times New Roman" w:cs="Times New Roman"/>
          <w:lang w:val="de-DE"/>
        </w:rPr>
      </w:pPr>
    </w:p>
    <w:p w14:paraId="58792D49" w14:textId="6A4031FC" w:rsidR="00AF337C" w:rsidRPr="009737B5" w:rsidRDefault="00AF337C" w:rsidP="0052278F">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i/>
          <w:u w:val="single"/>
          <w:lang w:val="de-DE"/>
        </w:rPr>
        <w:t>Tumorassoziierte Blutungen</w:t>
      </w:r>
      <w:r w:rsidRPr="009737B5">
        <w:rPr>
          <w:rFonts w:ascii="Times New Roman" w:hAnsi="Times New Roman" w:cs="Times New Roman"/>
          <w:u w:val="single"/>
          <w:lang w:val="de-DE"/>
        </w:rPr>
        <w:t xml:space="preserve"> (siehe Abschnitt</w:t>
      </w:r>
      <w:r w:rsidR="008878EC">
        <w:rPr>
          <w:rFonts w:ascii="Times New Roman" w:hAnsi="Times New Roman" w:cs="Times New Roman"/>
          <w:u w:val="single"/>
          <w:lang w:val="de-DE"/>
        </w:rPr>
        <w:t> </w:t>
      </w:r>
      <w:r w:rsidRPr="009737B5">
        <w:rPr>
          <w:rFonts w:ascii="Times New Roman" w:hAnsi="Times New Roman" w:cs="Times New Roman"/>
          <w:u w:val="single"/>
          <w:lang w:val="de-DE"/>
        </w:rPr>
        <w:t>4.4)</w:t>
      </w:r>
    </w:p>
    <w:p w14:paraId="3BCB1DBD" w14:textId="77777777" w:rsidR="0052278F" w:rsidRPr="009737B5" w:rsidRDefault="0052278F" w:rsidP="0052278F">
      <w:pPr>
        <w:keepNext/>
        <w:suppressAutoHyphens/>
        <w:spacing w:after="0" w:line="240" w:lineRule="auto"/>
        <w:rPr>
          <w:rFonts w:ascii="Times New Roman" w:hAnsi="Times New Roman" w:cs="Times New Roman"/>
          <w:lang w:val="de-DE"/>
        </w:rPr>
      </w:pPr>
    </w:p>
    <w:p w14:paraId="7A40BBCA" w14:textId="3BCA8C1B"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Schwere oder massive Lungeneinblutung/Bluthusten wurde in erster Linie in Studien mit Patienten mit nicht-kleinzelligem Bronchialkarzinom beobachtet. Mögliche Risikofaktoren sind Plattenepithel</w:t>
      </w:r>
      <w:r w:rsidR="00DE44DD" w:rsidRPr="009737B5">
        <w:rPr>
          <w:rFonts w:ascii="Times New Roman" w:hAnsi="Times New Roman" w:cs="Times New Roman"/>
          <w:lang w:val="de-DE"/>
        </w:rPr>
        <w:t>-</w:t>
      </w:r>
      <w:r w:rsidRPr="009737B5">
        <w:rPr>
          <w:rFonts w:ascii="Times New Roman" w:hAnsi="Times New Roman" w:cs="Times New Roman"/>
          <w:lang w:val="de-DE"/>
        </w:rPr>
        <w:t xml:space="preserve">Histologie, Behandlung mit antirheumatischen/entzündungshemmenden Wirkstoffen, Behandlung mit blutgerinnungshemmenden Wirkstoffen, vorhergehende Strahlentherapie,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Therapie, Atherosklerose in der Vorgeschichte, zentrale Tumorlokalisation und Tumorkavitation vor oder während der Therapie. Die einzigen Variablen mit statistisch signifikanter Korrelation zu den Blutungen waren die </w:t>
      </w:r>
      <w:r w:rsidR="004C438C" w:rsidRPr="009737B5">
        <w:rPr>
          <w:rFonts w:ascii="Times New Roman" w:hAnsi="Times New Roman" w:cs="Times New Roman"/>
          <w:lang w:val="de-DE"/>
        </w:rPr>
        <w:t>Bevacizumab-</w:t>
      </w:r>
      <w:r w:rsidRPr="009737B5">
        <w:rPr>
          <w:rFonts w:ascii="Times New Roman" w:hAnsi="Times New Roman" w:cs="Times New Roman"/>
          <w:lang w:val="de-DE"/>
        </w:rPr>
        <w:t>Therapie und die Plattenepithel-Histologie. Patienten mit nicht</w:t>
      </w:r>
      <w:r w:rsidR="00DE44DD" w:rsidRPr="009737B5">
        <w:rPr>
          <w:rFonts w:ascii="Times New Roman" w:hAnsi="Times New Roman" w:cs="Times New Roman"/>
          <w:lang w:val="de-DE"/>
        </w:rPr>
        <w:t>-</w:t>
      </w:r>
      <w:r w:rsidRPr="009737B5">
        <w:rPr>
          <w:rFonts w:ascii="Times New Roman" w:hAnsi="Times New Roman" w:cs="Times New Roman"/>
          <w:lang w:val="de-DE"/>
        </w:rPr>
        <w:t>kleinzelligem Bronchialkarzinom mit bekannter Plattenepithel-Histologie oder mit überwiegender Plattenepithel-Histologie bei gemischtem Zelltyp wurden von den nachfolgenden Phase</w:t>
      </w:r>
      <w:r w:rsidR="008878EC">
        <w:rPr>
          <w:rFonts w:ascii="Times New Roman" w:hAnsi="Times New Roman" w:cs="Times New Roman"/>
          <w:lang w:val="de-DE"/>
        </w:rPr>
        <w:t> </w:t>
      </w:r>
      <w:r w:rsidRPr="009737B5">
        <w:rPr>
          <w:rFonts w:ascii="Times New Roman" w:hAnsi="Times New Roman" w:cs="Times New Roman"/>
          <w:lang w:val="de-DE"/>
        </w:rPr>
        <w:t>III-Studien ausgeschlossen. Patienten mit unbekannter Tumor-Histologie wurden hingegen in die Studie eingeschlossen.</w:t>
      </w:r>
    </w:p>
    <w:p w14:paraId="20713650" w14:textId="77777777" w:rsidR="00AF337C" w:rsidRPr="009737B5" w:rsidRDefault="00AF337C" w:rsidP="005F4D08">
      <w:pPr>
        <w:suppressAutoHyphens/>
        <w:spacing w:after="0" w:line="240" w:lineRule="auto"/>
        <w:rPr>
          <w:rFonts w:ascii="Times New Roman" w:hAnsi="Times New Roman" w:cs="Times New Roman"/>
          <w:lang w:val="de-DE"/>
        </w:rPr>
      </w:pPr>
    </w:p>
    <w:p w14:paraId="323D4D57" w14:textId="43FCA2C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Patienten mit nicht-kleinzelligem Bronchialkarzinom ohne vorherrschende Plattenepithel</w:t>
      </w:r>
      <w:r w:rsidR="00DE44DD" w:rsidRPr="009737B5">
        <w:rPr>
          <w:rFonts w:ascii="Times New Roman" w:hAnsi="Times New Roman" w:cs="Times New Roman"/>
          <w:lang w:val="de-DE"/>
        </w:rPr>
        <w:t>-</w:t>
      </w:r>
      <w:r w:rsidRPr="009737B5">
        <w:rPr>
          <w:rFonts w:ascii="Times New Roman" w:hAnsi="Times New Roman" w:cs="Times New Roman"/>
          <w:lang w:val="de-DE"/>
        </w:rPr>
        <w:t>Histologie wurden Blutungsereignisse aller Schweregrade in einer Häufigkeit von bis zu 9,3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bei Behandlung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plus Chemotherapie beobachtet, verglichen mit bis zu 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bei Patienten, die nur mit Chemotherapie behandelt wurden. Blutungsereignisse vom Grad</w:t>
      </w:r>
      <w:r w:rsidR="008878EC">
        <w:rPr>
          <w:rFonts w:ascii="Times New Roman" w:hAnsi="Times New Roman" w:cs="Times New Roman"/>
          <w:lang w:val="de-DE"/>
        </w:rPr>
        <w:t> </w:t>
      </w:r>
      <w:r w:rsidRPr="009737B5">
        <w:rPr>
          <w:rFonts w:ascii="Times New Roman" w:hAnsi="Times New Roman" w:cs="Times New Roman"/>
          <w:lang w:val="de-DE"/>
        </w:rPr>
        <w:t>3</w:t>
      </w:r>
      <w:r w:rsidR="008878EC">
        <w:rPr>
          <w:rFonts w:ascii="Times New Roman" w:hAnsi="Times New Roman" w:cs="Times New Roman"/>
          <w:lang w:val="de-DE"/>
        </w:rPr>
        <w:t> </w:t>
      </w:r>
      <w:r w:rsidRPr="009737B5">
        <w:rPr>
          <w:rFonts w:ascii="Times New Roman" w:hAnsi="Times New Roman" w:cs="Times New Roman"/>
          <w:lang w:val="de-DE"/>
        </w:rPr>
        <w:t>-</w:t>
      </w:r>
      <w:r w:rsidR="008878EC">
        <w:rPr>
          <w:rFonts w:ascii="Times New Roman" w:hAnsi="Times New Roman" w:cs="Times New Roman"/>
          <w:lang w:val="de-DE"/>
        </w:rPr>
        <w:t> </w:t>
      </w:r>
      <w:r w:rsidRPr="009737B5">
        <w:rPr>
          <w:rFonts w:ascii="Times New Roman" w:hAnsi="Times New Roman" w:cs="Times New Roman"/>
          <w:lang w:val="de-DE"/>
        </w:rPr>
        <w:t>5 wurden bei bis zu 2,3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beobachtet, die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plus Chemotherapie behandelt wurden, gegenüber </w:t>
      </w:r>
      <w:r w:rsidR="00E32D5C" w:rsidRPr="009737B5">
        <w:rPr>
          <w:rFonts w:ascii="Times New Roman" w:hAnsi="Times New Roman" w:cs="Times New Roman"/>
          <w:lang w:val="de-DE"/>
        </w:rPr>
        <w:t>&lt; </w:t>
      </w:r>
      <w:r w:rsidRPr="009737B5">
        <w:rPr>
          <w:rFonts w:ascii="Times New Roman" w:hAnsi="Times New Roman" w:cs="Times New Roman"/>
          <w:lang w:val="de-DE"/>
        </w:rPr>
        <w:t>1</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bei Chemotherapie allein (NCI-CTCAE v.3). Schwere oder massive Lungeneinblutung/Bluthusten kann plötzlich auftreten</w:t>
      </w:r>
      <w:r w:rsidR="00AD4D92" w:rsidRPr="009737B5">
        <w:rPr>
          <w:rFonts w:ascii="Times New Roman" w:hAnsi="Times New Roman" w:cs="Times New Roman"/>
          <w:lang w:val="de-DE"/>
        </w:rPr>
        <w:t>,</w:t>
      </w:r>
      <w:r w:rsidRPr="009737B5">
        <w:rPr>
          <w:rFonts w:ascii="Times New Roman" w:hAnsi="Times New Roman" w:cs="Times New Roman"/>
          <w:lang w:val="de-DE"/>
        </w:rPr>
        <w:t xml:space="preserve"> und zwei Drittel der schwerwiegenden Lungeneinblutungen verliefen tödlich.</w:t>
      </w:r>
    </w:p>
    <w:p w14:paraId="74CCD7DF" w14:textId="77777777" w:rsidR="00AF337C" w:rsidRPr="009737B5" w:rsidRDefault="00AF337C" w:rsidP="005F4D08">
      <w:pPr>
        <w:suppressAutoHyphens/>
        <w:spacing w:after="0" w:line="240" w:lineRule="auto"/>
        <w:rPr>
          <w:rFonts w:ascii="Times New Roman" w:hAnsi="Times New Roman" w:cs="Times New Roman"/>
          <w:lang w:val="de-DE"/>
        </w:rPr>
      </w:pPr>
    </w:p>
    <w:p w14:paraId="71827AF9"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Patienten mit Kolorektalkarzinom wurden gastrointestinale Blutungen einschließlich Rektalblutungen und Melaena beschrieben, die jedoch als tumorassoziiert bewertet wurden.</w:t>
      </w:r>
    </w:p>
    <w:p w14:paraId="35B49121" w14:textId="77777777" w:rsidR="00AF337C" w:rsidRPr="009737B5" w:rsidRDefault="00AF337C" w:rsidP="005F4D08">
      <w:pPr>
        <w:suppressAutoHyphens/>
        <w:spacing w:after="0" w:line="240" w:lineRule="auto"/>
        <w:rPr>
          <w:rFonts w:ascii="Times New Roman" w:hAnsi="Times New Roman" w:cs="Times New Roman"/>
          <w:lang w:val="de-DE"/>
        </w:rPr>
      </w:pPr>
    </w:p>
    <w:p w14:paraId="6B305D67" w14:textId="4DFD9292"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seltenen Fällen wurden tumorassoziierte Blutungen auch bei anderen Tumorarten und -lokalisationen beobachtet, einschließlich Fälle von ZNS-Blutung (zentrales Nervensystem) bei Patienten mit ZNS-Metastasen (siehe Abschnitt</w:t>
      </w:r>
      <w:r w:rsidR="008878EC">
        <w:rPr>
          <w:rFonts w:ascii="Times New Roman" w:hAnsi="Times New Roman" w:cs="Times New Roman"/>
          <w:lang w:val="de-DE"/>
        </w:rPr>
        <w:t> </w:t>
      </w:r>
      <w:r w:rsidRPr="009737B5">
        <w:rPr>
          <w:rFonts w:ascii="Times New Roman" w:hAnsi="Times New Roman" w:cs="Times New Roman"/>
          <w:lang w:val="de-DE"/>
        </w:rPr>
        <w:t>4.4).</w:t>
      </w:r>
    </w:p>
    <w:p w14:paraId="397C1E05" w14:textId="77777777" w:rsidR="00AF337C" w:rsidRPr="009737B5" w:rsidRDefault="00AF337C" w:rsidP="005F4D08">
      <w:pPr>
        <w:suppressAutoHyphens/>
        <w:spacing w:after="0" w:line="240" w:lineRule="auto"/>
        <w:rPr>
          <w:rFonts w:ascii="Times New Roman" w:hAnsi="Times New Roman" w:cs="Times New Roman"/>
          <w:lang w:val="de-DE"/>
        </w:rPr>
      </w:pPr>
    </w:p>
    <w:p w14:paraId="69988B58" w14:textId="791C89E5"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Inzidenz von ZNS-Blutungen bei Patienten mit unbehandelten ZNS-Metastasen, die Bevacizumab erhalten, wurde nicht prospektiv in randomisierten klinischen Studien untersucht. In einer</w:t>
      </w:r>
      <w:r w:rsidR="0052278F" w:rsidRPr="009737B5">
        <w:rPr>
          <w:rFonts w:ascii="Times New Roman" w:hAnsi="Times New Roman" w:cs="Times New Roman"/>
          <w:lang w:val="de-DE"/>
        </w:rPr>
        <w:t xml:space="preserve"> </w:t>
      </w:r>
      <w:r w:rsidRPr="009737B5">
        <w:rPr>
          <w:rFonts w:ascii="Times New Roman" w:hAnsi="Times New Roman" w:cs="Times New Roman"/>
          <w:lang w:val="de-DE"/>
        </w:rPr>
        <w:t>exploratorischen, retrospektiven Auswertung der Daten von 13 beendeten randomisierten Studien mit Patienten mit verschiedenen Tumorarten traten bei 3 von 91</w:t>
      </w:r>
      <w:r w:rsidR="008878EC">
        <w:rPr>
          <w:rFonts w:ascii="Times New Roman" w:hAnsi="Times New Roman" w:cs="Times New Roman"/>
          <w:lang w:val="de-DE"/>
        </w:rPr>
        <w:t> </w:t>
      </w:r>
      <w:r w:rsidRPr="009737B5">
        <w:rPr>
          <w:rFonts w:ascii="Times New Roman" w:hAnsi="Times New Roman" w:cs="Times New Roman"/>
          <w:lang w:val="de-DE"/>
        </w:rPr>
        <w:t>Patienten mit Hirnmetastasen (3,3</w:t>
      </w:r>
      <w:r w:rsidR="00322E40" w:rsidRPr="009737B5">
        <w:rPr>
          <w:rFonts w:ascii="Times New Roman" w:hAnsi="Times New Roman" w:cs="Times New Roman"/>
          <w:lang w:val="de-DE"/>
        </w:rPr>
        <w:t> %</w:t>
      </w:r>
      <w:r w:rsidRPr="009737B5">
        <w:rPr>
          <w:rFonts w:ascii="Times New Roman" w:hAnsi="Times New Roman" w:cs="Times New Roman"/>
          <w:lang w:val="de-DE"/>
        </w:rPr>
        <w:t>) unter der Bevacizumab-Behandlung ZNS-Blutungen vom Grad</w:t>
      </w:r>
      <w:r w:rsidR="008878EC">
        <w:rPr>
          <w:rFonts w:ascii="Times New Roman" w:hAnsi="Times New Roman" w:cs="Times New Roman"/>
          <w:lang w:val="de-DE"/>
        </w:rPr>
        <w:t> </w:t>
      </w:r>
      <w:r w:rsidRPr="009737B5">
        <w:rPr>
          <w:rFonts w:ascii="Times New Roman" w:hAnsi="Times New Roman" w:cs="Times New Roman"/>
          <w:lang w:val="de-DE"/>
        </w:rPr>
        <w:t>4 auf, verglichen mit einer ZNS- Blutung vom Grad</w:t>
      </w:r>
      <w:r w:rsidR="008878EC">
        <w:rPr>
          <w:rFonts w:ascii="Times New Roman" w:hAnsi="Times New Roman" w:cs="Times New Roman"/>
          <w:lang w:val="de-DE"/>
        </w:rPr>
        <w:t> </w:t>
      </w:r>
      <w:r w:rsidRPr="009737B5">
        <w:rPr>
          <w:rFonts w:ascii="Times New Roman" w:hAnsi="Times New Roman" w:cs="Times New Roman"/>
          <w:lang w:val="de-DE"/>
        </w:rPr>
        <w:t>5 bei 1 von 96</w:t>
      </w:r>
      <w:r w:rsidR="008878EC">
        <w:rPr>
          <w:rFonts w:ascii="Times New Roman" w:hAnsi="Times New Roman" w:cs="Times New Roman"/>
          <w:lang w:val="de-DE"/>
        </w:rPr>
        <w:t> </w:t>
      </w:r>
      <w:r w:rsidRPr="009737B5">
        <w:rPr>
          <w:rFonts w:ascii="Times New Roman" w:hAnsi="Times New Roman" w:cs="Times New Roman"/>
          <w:lang w:val="de-DE"/>
        </w:rPr>
        <w:t>Patienten (1</w:t>
      </w:r>
      <w:r w:rsidR="00322E40" w:rsidRPr="009737B5">
        <w:rPr>
          <w:rFonts w:ascii="Times New Roman" w:hAnsi="Times New Roman" w:cs="Times New Roman"/>
          <w:lang w:val="de-DE"/>
        </w:rPr>
        <w:t> %</w:t>
      </w:r>
      <w:r w:rsidRPr="009737B5">
        <w:rPr>
          <w:rFonts w:ascii="Times New Roman" w:hAnsi="Times New Roman" w:cs="Times New Roman"/>
          <w:lang w:val="de-DE"/>
        </w:rPr>
        <w:t>), die nicht mit Bevacizumab behandelt wurden. In zwei nachfolgenden Studien, an denen ca. 800</w:t>
      </w:r>
      <w:r w:rsidR="008878EC">
        <w:rPr>
          <w:rFonts w:ascii="Times New Roman" w:hAnsi="Times New Roman" w:cs="Times New Roman"/>
          <w:lang w:val="de-DE"/>
        </w:rPr>
        <w:t> </w:t>
      </w:r>
      <w:r w:rsidRPr="009737B5">
        <w:rPr>
          <w:rFonts w:ascii="Times New Roman" w:hAnsi="Times New Roman" w:cs="Times New Roman"/>
          <w:lang w:val="de-DE"/>
        </w:rPr>
        <w:t>Patienten mit behandelten Hirnmetastasen teilnahmen, wurde zum Zeitpunkt der Zwischenauswertung der Sicherheitsdaten bei 83</w:t>
      </w:r>
      <w:r w:rsidR="008878EC">
        <w:rPr>
          <w:rFonts w:ascii="Times New Roman" w:hAnsi="Times New Roman" w:cs="Times New Roman"/>
          <w:lang w:val="de-DE"/>
        </w:rPr>
        <w:t> </w:t>
      </w:r>
      <w:r w:rsidRPr="009737B5">
        <w:rPr>
          <w:rFonts w:ascii="Times New Roman" w:hAnsi="Times New Roman" w:cs="Times New Roman"/>
          <w:lang w:val="de-DE"/>
        </w:rPr>
        <w:t>Patienten, die mit Bevacizumab behandelt wurden, 1</w:t>
      </w:r>
      <w:r w:rsidR="008878EC">
        <w:rPr>
          <w:rFonts w:ascii="Times New Roman" w:hAnsi="Times New Roman" w:cs="Times New Roman"/>
          <w:lang w:val="de-DE"/>
        </w:rPr>
        <w:t> </w:t>
      </w:r>
      <w:r w:rsidRPr="009737B5">
        <w:rPr>
          <w:rFonts w:ascii="Times New Roman" w:hAnsi="Times New Roman" w:cs="Times New Roman"/>
          <w:lang w:val="de-DE"/>
        </w:rPr>
        <w:t>Fall (1,2</w:t>
      </w:r>
      <w:r w:rsidR="00322E40" w:rsidRPr="009737B5">
        <w:rPr>
          <w:rFonts w:ascii="Times New Roman" w:hAnsi="Times New Roman" w:cs="Times New Roman"/>
          <w:lang w:val="de-DE"/>
        </w:rPr>
        <w:t> %</w:t>
      </w:r>
      <w:r w:rsidRPr="009737B5">
        <w:rPr>
          <w:rFonts w:ascii="Times New Roman" w:hAnsi="Times New Roman" w:cs="Times New Roman"/>
          <w:lang w:val="de-DE"/>
        </w:rPr>
        <w:t>) einer ZNS-Blutung vom Grad</w:t>
      </w:r>
      <w:r w:rsidR="008878EC">
        <w:rPr>
          <w:rFonts w:ascii="Times New Roman" w:hAnsi="Times New Roman" w:cs="Times New Roman"/>
          <w:lang w:val="de-DE"/>
        </w:rPr>
        <w:t> </w:t>
      </w:r>
      <w:r w:rsidRPr="009737B5">
        <w:rPr>
          <w:rFonts w:ascii="Times New Roman" w:hAnsi="Times New Roman" w:cs="Times New Roman"/>
          <w:lang w:val="de-DE"/>
        </w:rPr>
        <w:t>2 berichtet (NCI</w:t>
      </w:r>
      <w:r w:rsidR="001471DD" w:rsidRPr="009737B5">
        <w:rPr>
          <w:rFonts w:ascii="Times New Roman" w:hAnsi="Times New Roman" w:cs="Times New Roman"/>
          <w:lang w:val="de-DE"/>
        </w:rPr>
        <w:t>-</w:t>
      </w:r>
      <w:r w:rsidRPr="009737B5">
        <w:rPr>
          <w:rFonts w:ascii="Times New Roman" w:hAnsi="Times New Roman" w:cs="Times New Roman"/>
          <w:lang w:val="de-DE"/>
        </w:rPr>
        <w:t>CTCAE v.3).</w:t>
      </w:r>
    </w:p>
    <w:p w14:paraId="1C268D88" w14:textId="77777777" w:rsidR="0052278F" w:rsidRPr="009737B5" w:rsidRDefault="0052278F" w:rsidP="005F4D08">
      <w:pPr>
        <w:suppressAutoHyphens/>
        <w:spacing w:after="0" w:line="240" w:lineRule="auto"/>
        <w:rPr>
          <w:rFonts w:ascii="Times New Roman" w:hAnsi="Times New Roman" w:cs="Times New Roman"/>
          <w:lang w:val="de-DE"/>
        </w:rPr>
      </w:pPr>
    </w:p>
    <w:p w14:paraId="0E1056BA" w14:textId="61C4E81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Betrachtet man alle klinischen Studien zusammen, so wurden Schleimhautblutungen bei bis zu 50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Patienten beobachtet. In den meisten Fällen handelte es sich um Nasenbluten von Grad</w:t>
      </w:r>
      <w:r w:rsidR="008878EC">
        <w:rPr>
          <w:rFonts w:ascii="Times New Roman" w:hAnsi="Times New Roman" w:cs="Times New Roman"/>
          <w:lang w:val="de-DE"/>
        </w:rPr>
        <w:t> </w:t>
      </w:r>
      <w:r w:rsidRPr="009737B5">
        <w:rPr>
          <w:rFonts w:ascii="Times New Roman" w:hAnsi="Times New Roman" w:cs="Times New Roman"/>
          <w:lang w:val="de-DE"/>
        </w:rPr>
        <w:t xml:space="preserve">1 (NCI-CTCAE v.3) mit einer Dauer von max. 5 Minuten, das sich ohne medizinische Intervention zurückbildete und keine Veränderungen im </w:t>
      </w:r>
      <w:r w:rsidR="004C438C" w:rsidRPr="009737B5">
        <w:rPr>
          <w:rFonts w:ascii="Times New Roman" w:hAnsi="Times New Roman" w:cs="Times New Roman"/>
          <w:lang w:val="de-DE"/>
        </w:rPr>
        <w:t>Bevacizumab-</w:t>
      </w:r>
      <w:r w:rsidRPr="009737B5">
        <w:rPr>
          <w:rFonts w:ascii="Times New Roman" w:hAnsi="Times New Roman" w:cs="Times New Roman"/>
          <w:lang w:val="de-DE"/>
        </w:rPr>
        <w:t>Behandlungsschema</w:t>
      </w:r>
      <w:r w:rsidR="0052278F" w:rsidRPr="009737B5">
        <w:rPr>
          <w:rFonts w:ascii="Times New Roman" w:hAnsi="Times New Roman" w:cs="Times New Roman"/>
          <w:lang w:val="de-DE"/>
        </w:rPr>
        <w:t xml:space="preserve"> </w:t>
      </w:r>
      <w:r w:rsidRPr="009737B5">
        <w:rPr>
          <w:rFonts w:ascii="Times New Roman" w:hAnsi="Times New Roman" w:cs="Times New Roman"/>
          <w:lang w:val="de-DE"/>
        </w:rPr>
        <w:t>erforderte. Klinische Sicherheitsdaten legen nahe, dass die Inzidenz geringfügiger Schleimhautblutungen (z.</w:t>
      </w:r>
      <w:r w:rsidR="008878EC">
        <w:rPr>
          <w:rFonts w:ascii="Times New Roman" w:hAnsi="Times New Roman" w:cs="Times New Roman"/>
          <w:lang w:val="de-DE"/>
        </w:rPr>
        <w:t> </w:t>
      </w:r>
      <w:r w:rsidRPr="009737B5">
        <w:rPr>
          <w:rFonts w:ascii="Times New Roman" w:hAnsi="Times New Roman" w:cs="Times New Roman"/>
          <w:lang w:val="de-DE"/>
        </w:rPr>
        <w:t>B. Epistaxis) dosisabhängig sein kann.</w:t>
      </w:r>
    </w:p>
    <w:p w14:paraId="23DBD984" w14:textId="77777777" w:rsidR="00AF337C" w:rsidRPr="009737B5" w:rsidRDefault="00AF337C" w:rsidP="005F4D08">
      <w:pPr>
        <w:suppressAutoHyphens/>
        <w:spacing w:after="0" w:line="240" w:lineRule="auto"/>
        <w:rPr>
          <w:rFonts w:ascii="Times New Roman" w:hAnsi="Times New Roman" w:cs="Times New Roman"/>
          <w:lang w:val="de-DE"/>
        </w:rPr>
      </w:pPr>
    </w:p>
    <w:p w14:paraId="44345C6B" w14:textId="5A08AA4C"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Weniger häufig kam es auch zu geringfügigen Schleimhautblutungen an anderen Stellen, wie z.</w:t>
      </w:r>
      <w:r w:rsidR="008878EC">
        <w:rPr>
          <w:rFonts w:ascii="Times New Roman" w:hAnsi="Times New Roman" w:cs="Times New Roman"/>
          <w:lang w:val="de-DE"/>
        </w:rPr>
        <w:t> </w:t>
      </w:r>
      <w:r w:rsidRPr="009737B5">
        <w:rPr>
          <w:rFonts w:ascii="Times New Roman" w:hAnsi="Times New Roman" w:cs="Times New Roman"/>
          <w:lang w:val="de-DE"/>
        </w:rPr>
        <w:t>B. Zahnfleischbluten oder Vaginalblutungen.</w:t>
      </w:r>
    </w:p>
    <w:p w14:paraId="27CA48F1" w14:textId="77777777" w:rsidR="00AF337C" w:rsidRPr="009737B5" w:rsidRDefault="00AF337C" w:rsidP="005F4D08">
      <w:pPr>
        <w:suppressAutoHyphens/>
        <w:spacing w:after="0" w:line="240" w:lineRule="auto"/>
        <w:rPr>
          <w:rFonts w:ascii="Times New Roman" w:hAnsi="Times New Roman" w:cs="Times New Roman"/>
          <w:lang w:val="de-DE"/>
        </w:rPr>
      </w:pPr>
    </w:p>
    <w:p w14:paraId="165D17C0" w14:textId="197A0DB0" w:rsidR="00AF337C" w:rsidRPr="009737B5" w:rsidRDefault="00AF337C" w:rsidP="0052278F">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i/>
          <w:u w:val="single"/>
          <w:lang w:val="de-DE"/>
        </w:rPr>
        <w:t xml:space="preserve">Thromboembolien </w:t>
      </w:r>
      <w:r w:rsidRPr="009737B5">
        <w:rPr>
          <w:rFonts w:ascii="Times New Roman" w:hAnsi="Times New Roman" w:cs="Times New Roman"/>
          <w:u w:val="single"/>
          <w:lang w:val="de-DE"/>
        </w:rPr>
        <w:t>(siehe Abschnitt</w:t>
      </w:r>
      <w:r w:rsidR="008878EC">
        <w:rPr>
          <w:rFonts w:ascii="Times New Roman" w:hAnsi="Times New Roman" w:cs="Times New Roman"/>
          <w:u w:val="single"/>
          <w:lang w:val="de-DE"/>
        </w:rPr>
        <w:t> </w:t>
      </w:r>
      <w:r w:rsidRPr="009737B5">
        <w:rPr>
          <w:rFonts w:ascii="Times New Roman" w:hAnsi="Times New Roman" w:cs="Times New Roman"/>
          <w:u w:val="single"/>
          <w:lang w:val="de-DE"/>
        </w:rPr>
        <w:t>4.4)</w:t>
      </w:r>
    </w:p>
    <w:p w14:paraId="0C64DE32" w14:textId="77777777" w:rsidR="00AF337C" w:rsidRPr="009737B5" w:rsidRDefault="00AF337C" w:rsidP="0052278F">
      <w:pPr>
        <w:keepNext/>
        <w:suppressAutoHyphens/>
        <w:spacing w:after="0" w:line="240" w:lineRule="auto"/>
        <w:rPr>
          <w:rFonts w:ascii="Times New Roman" w:hAnsi="Times New Roman" w:cs="Times New Roman"/>
          <w:lang w:val="de-DE"/>
        </w:rPr>
      </w:pPr>
    </w:p>
    <w:p w14:paraId="14ACD58B"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i/>
          <w:lang w:val="de-DE"/>
        </w:rPr>
        <w:t>Arterielle Thromboembolien:</w:t>
      </w:r>
      <w:r w:rsidRPr="009737B5">
        <w:rPr>
          <w:rFonts w:ascii="Times New Roman" w:hAnsi="Times New Roman" w:cs="Times New Roman"/>
          <w:lang w:val="de-DE"/>
        </w:rPr>
        <w:t xml:space="preserve"> Bei Patienten unter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wurde unabhängig von der Indikation eine erhöhte Inzidenz arterieller Thromboembolien einschließlich Apoplexie, Myokardinfarkt, transitorischer ischämischer Attacken und anderer arterieller thromboembolischer Nebenwirkungen beobachtet.</w:t>
      </w:r>
    </w:p>
    <w:p w14:paraId="458903DF" w14:textId="77777777" w:rsidR="00AF337C" w:rsidRPr="009737B5" w:rsidRDefault="00AF337C" w:rsidP="005F4D08">
      <w:pPr>
        <w:suppressAutoHyphens/>
        <w:spacing w:after="0" w:line="240" w:lineRule="auto"/>
        <w:rPr>
          <w:rFonts w:ascii="Times New Roman" w:hAnsi="Times New Roman" w:cs="Times New Roman"/>
          <w:lang w:val="de-DE"/>
        </w:rPr>
      </w:pPr>
    </w:p>
    <w:p w14:paraId="34665BB4"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In klinischen Studien betrug die Gesamtinzidenz arterieller thromboembolischer Ereignisse bei den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Patienten bis zu 3,8</w:t>
      </w:r>
      <w:r w:rsidR="00322E40" w:rsidRPr="009737B5">
        <w:rPr>
          <w:rFonts w:ascii="Times New Roman" w:hAnsi="Times New Roman" w:cs="Times New Roman"/>
          <w:lang w:val="de-DE"/>
        </w:rPr>
        <w:t> %</w:t>
      </w:r>
      <w:r w:rsidRPr="009737B5">
        <w:rPr>
          <w:rFonts w:ascii="Times New Roman" w:hAnsi="Times New Roman" w:cs="Times New Roman"/>
          <w:lang w:val="de-DE"/>
        </w:rPr>
        <w:t>, verglichen mit bis zu 2,1</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den Kontrollarmen, die mit Chemotherapie allein behandelt wurden. Einen tödlichen Verlauf nahmen die arteriellen thromboembolischen Ereignisse bei 0,8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unter </w:t>
      </w:r>
      <w:r w:rsidR="004C438C" w:rsidRPr="009737B5">
        <w:rPr>
          <w:rFonts w:ascii="Times New Roman" w:hAnsi="Times New Roman" w:cs="Times New Roman"/>
          <w:lang w:val="de-DE"/>
        </w:rPr>
        <w:t>Bevacizumab</w:t>
      </w:r>
      <w:r w:rsidRPr="009737B5">
        <w:rPr>
          <w:rFonts w:ascii="Times New Roman" w:hAnsi="Times New Roman" w:cs="Times New Roman"/>
          <w:lang w:val="de-DE"/>
        </w:rPr>
        <w:t>, verglichen mit 0,5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bei mit Chemotherapie allein behandelten Patienten. Zerebrale Insulte (einschließlich transitorischer ischämischer Attacken) wurden bei bis zu 2,7</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unter der Kombination von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und Chemotherapie berichtet, verglichen mit bis zu 0,5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unter Chemotherapie allein. Myokardinfarkte wurden bei bis zu 1,4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unter der Kombination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und Chemotherapie</w:t>
      </w:r>
      <w:r w:rsidR="00AD4D92" w:rsidRPr="009737B5">
        <w:rPr>
          <w:rFonts w:ascii="Times New Roman" w:hAnsi="Times New Roman" w:cs="Times New Roman"/>
          <w:lang w:val="de-DE"/>
        </w:rPr>
        <w:t>,</w:t>
      </w:r>
      <w:r w:rsidRPr="009737B5">
        <w:rPr>
          <w:rFonts w:ascii="Times New Roman" w:hAnsi="Times New Roman" w:cs="Times New Roman"/>
          <w:lang w:val="de-DE"/>
        </w:rPr>
        <w:t xml:space="preserve"> verglichen mit bis zu 0,7</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unter Chemotherapie allein</w:t>
      </w:r>
      <w:r w:rsidR="00AD4D92" w:rsidRPr="009737B5">
        <w:rPr>
          <w:rFonts w:ascii="Times New Roman" w:hAnsi="Times New Roman" w:cs="Times New Roman"/>
          <w:lang w:val="de-DE"/>
        </w:rPr>
        <w:t>,</w:t>
      </w:r>
      <w:r w:rsidRPr="009737B5">
        <w:rPr>
          <w:rFonts w:ascii="Times New Roman" w:hAnsi="Times New Roman" w:cs="Times New Roman"/>
          <w:lang w:val="de-DE"/>
        </w:rPr>
        <w:t xml:space="preserve"> berichtet.</w:t>
      </w:r>
    </w:p>
    <w:p w14:paraId="55D8CC20" w14:textId="77777777" w:rsidR="00AF337C" w:rsidRPr="009737B5" w:rsidRDefault="00AF337C" w:rsidP="005F4D08">
      <w:pPr>
        <w:suppressAutoHyphens/>
        <w:spacing w:after="0" w:line="240" w:lineRule="auto"/>
        <w:rPr>
          <w:rFonts w:ascii="Times New Roman" w:hAnsi="Times New Roman" w:cs="Times New Roman"/>
          <w:lang w:val="de-DE"/>
        </w:rPr>
      </w:pPr>
    </w:p>
    <w:p w14:paraId="791BC941" w14:textId="7A6BD7E0"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Patienten mit metastasiertem Kolorektalkarzinom, die nicht für eine Behandlung mit Irinotecan geeignet waren, wurden in die klinische Studie</w:t>
      </w:r>
      <w:r w:rsidR="008878EC">
        <w:rPr>
          <w:rFonts w:ascii="Times New Roman" w:hAnsi="Times New Roman" w:cs="Times New Roman"/>
          <w:lang w:val="de-DE"/>
        </w:rPr>
        <w:t> </w:t>
      </w:r>
      <w:r w:rsidRPr="009737B5">
        <w:rPr>
          <w:rFonts w:ascii="Times New Roman" w:hAnsi="Times New Roman" w:cs="Times New Roman"/>
          <w:lang w:val="de-DE"/>
        </w:rPr>
        <w:t xml:space="preserve">AVF2192g eingeschlossen, in der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5-Fluorouracil/Folinsäure untersucht wurde. In dieser Studie wurden bei 11</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(11/100) der Patienten arterielle thromboembolische Ereignisse beobachtet, verglichen mit 5,8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(6/104) in der Kontrollgruppe mit Chemotherapie.</w:t>
      </w:r>
    </w:p>
    <w:p w14:paraId="3A04B674" w14:textId="77777777" w:rsidR="00AF337C" w:rsidRPr="009737B5" w:rsidRDefault="00AF337C" w:rsidP="005F4D08">
      <w:pPr>
        <w:suppressAutoHyphens/>
        <w:spacing w:after="0" w:line="240" w:lineRule="auto"/>
        <w:rPr>
          <w:rFonts w:ascii="Times New Roman" w:hAnsi="Times New Roman" w:cs="Times New Roman"/>
          <w:lang w:val="de-DE"/>
        </w:rPr>
      </w:pPr>
    </w:p>
    <w:p w14:paraId="61D85316" w14:textId="77777777" w:rsidR="00AF337C" w:rsidRPr="009737B5" w:rsidRDefault="00AF337C" w:rsidP="00CA003E">
      <w:pPr>
        <w:keepNext/>
        <w:suppressAutoHyphens/>
        <w:spacing w:after="0" w:line="240" w:lineRule="auto"/>
        <w:rPr>
          <w:rFonts w:ascii="Times New Roman" w:hAnsi="Times New Roman" w:cs="Times New Roman"/>
          <w:lang w:val="de-DE"/>
        </w:rPr>
      </w:pPr>
      <w:r w:rsidRPr="009737B5">
        <w:rPr>
          <w:rFonts w:ascii="Times New Roman" w:hAnsi="Times New Roman" w:cs="Times New Roman"/>
          <w:i/>
          <w:lang w:val="de-DE"/>
        </w:rPr>
        <w:t>Venöse Thromboembolien:</w:t>
      </w:r>
      <w:r w:rsidRPr="009737B5">
        <w:rPr>
          <w:rFonts w:ascii="Times New Roman" w:hAnsi="Times New Roman" w:cs="Times New Roman"/>
          <w:lang w:val="de-DE"/>
        </w:rPr>
        <w:t xml:space="preserve"> In klinischen Studien war die Inzidenz venöser Thromboembolien bei Patienten, die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Chemotherapie erhielten, vergleichbar zu der bei Patienten</w:t>
      </w:r>
      <w:r w:rsidR="0052278F" w:rsidRPr="009737B5">
        <w:rPr>
          <w:rFonts w:ascii="Times New Roman" w:hAnsi="Times New Roman" w:cs="Times New Roman"/>
          <w:lang w:val="de-DE"/>
        </w:rPr>
        <w:t xml:space="preserve"> </w:t>
      </w:r>
      <w:r w:rsidRPr="009737B5">
        <w:rPr>
          <w:rFonts w:ascii="Times New Roman" w:hAnsi="Times New Roman" w:cs="Times New Roman"/>
          <w:lang w:val="de-DE"/>
        </w:rPr>
        <w:t>unter Chemotherapie allein. Die venösen thromboembolischen Ereignisse umfassten tiefe Beinvenenthrombosen, Lungenembolien und Thrombophlebitis.</w:t>
      </w:r>
    </w:p>
    <w:p w14:paraId="42F84FC1" w14:textId="77777777" w:rsidR="00AF337C" w:rsidRPr="009737B5" w:rsidRDefault="00AF337C" w:rsidP="005F4D08">
      <w:pPr>
        <w:suppressAutoHyphens/>
        <w:spacing w:after="0" w:line="240" w:lineRule="auto"/>
        <w:rPr>
          <w:rFonts w:ascii="Times New Roman" w:hAnsi="Times New Roman" w:cs="Times New Roman"/>
          <w:lang w:val="de-DE"/>
        </w:rPr>
      </w:pPr>
    </w:p>
    <w:p w14:paraId="4B187402"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In klinischen Studien </w:t>
      </w:r>
      <w:r w:rsidR="00AD4D92" w:rsidRPr="009737B5">
        <w:rPr>
          <w:rFonts w:ascii="Times New Roman" w:hAnsi="Times New Roman" w:cs="Times New Roman"/>
          <w:lang w:val="de-DE"/>
        </w:rPr>
        <w:t xml:space="preserve">reichte </w:t>
      </w:r>
      <w:r w:rsidRPr="009737B5">
        <w:rPr>
          <w:rFonts w:ascii="Times New Roman" w:hAnsi="Times New Roman" w:cs="Times New Roman"/>
          <w:lang w:val="de-DE"/>
        </w:rPr>
        <w:t>die Gesamtinzidenz thromboembolischer Ereignisse unabhängig von der Indikation von 2,8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bis 17,3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Patienten, verglichen mit 3,2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bis 15,6</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den Kontrollarmen.</w:t>
      </w:r>
    </w:p>
    <w:p w14:paraId="042742DA" w14:textId="77777777" w:rsidR="00AF337C" w:rsidRPr="009737B5" w:rsidRDefault="00AF337C" w:rsidP="005F4D08">
      <w:pPr>
        <w:suppressAutoHyphens/>
        <w:spacing w:after="0" w:line="240" w:lineRule="auto"/>
        <w:rPr>
          <w:rFonts w:ascii="Times New Roman" w:hAnsi="Times New Roman" w:cs="Times New Roman"/>
          <w:lang w:val="de-DE"/>
        </w:rPr>
      </w:pPr>
    </w:p>
    <w:p w14:paraId="713C5BAA" w14:textId="5DF7D890"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Venöse thromboembolische Ereignisse vom Grad</w:t>
      </w:r>
      <w:r w:rsidR="008878EC">
        <w:rPr>
          <w:rFonts w:ascii="Times New Roman" w:hAnsi="Times New Roman" w:cs="Times New Roman"/>
          <w:lang w:val="de-DE"/>
        </w:rPr>
        <w:t> </w:t>
      </w:r>
      <w:r w:rsidRPr="009737B5">
        <w:rPr>
          <w:rFonts w:ascii="Times New Roman" w:hAnsi="Times New Roman" w:cs="Times New Roman"/>
          <w:lang w:val="de-DE"/>
        </w:rPr>
        <w:t>3</w:t>
      </w:r>
      <w:r w:rsidR="008878EC">
        <w:rPr>
          <w:rFonts w:ascii="Times New Roman" w:hAnsi="Times New Roman" w:cs="Times New Roman"/>
          <w:lang w:val="de-DE"/>
        </w:rPr>
        <w:t> </w:t>
      </w:r>
      <w:r w:rsidRPr="009737B5">
        <w:rPr>
          <w:rFonts w:ascii="Times New Roman" w:hAnsi="Times New Roman" w:cs="Times New Roman"/>
          <w:lang w:val="de-DE"/>
        </w:rPr>
        <w:t>-</w:t>
      </w:r>
      <w:r w:rsidR="008878EC">
        <w:rPr>
          <w:rFonts w:ascii="Times New Roman" w:hAnsi="Times New Roman" w:cs="Times New Roman"/>
          <w:lang w:val="de-DE"/>
        </w:rPr>
        <w:t> </w:t>
      </w:r>
      <w:r w:rsidRPr="009737B5">
        <w:rPr>
          <w:rFonts w:ascii="Times New Roman" w:hAnsi="Times New Roman" w:cs="Times New Roman"/>
          <w:lang w:val="de-DE"/>
        </w:rPr>
        <w:t>5 (NCI-CTCAE v.3) wurden bei bis zu 7,8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Patienten berichtet, die mit Chemotherapie plus Bevacizumab behandelt wurden, verglichen mit bis zu</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4,9</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die ausschließlich Chemotherapie erhielten (Dies betrifft alle Indikationen mit Ausnahme des persistierenden, rezidivierenden oder metastasierten Zervixkarzinoms.).</w:t>
      </w:r>
    </w:p>
    <w:p w14:paraId="33958AFC" w14:textId="77777777" w:rsidR="00AF337C" w:rsidRPr="009737B5" w:rsidRDefault="00AF337C" w:rsidP="005F4D08">
      <w:pPr>
        <w:suppressAutoHyphens/>
        <w:spacing w:after="0" w:line="240" w:lineRule="auto"/>
        <w:rPr>
          <w:rFonts w:ascii="Times New Roman" w:hAnsi="Times New Roman" w:cs="Times New Roman"/>
          <w:lang w:val="de-DE"/>
        </w:rPr>
      </w:pPr>
    </w:p>
    <w:p w14:paraId="0B01B3B3" w14:textId="7CA14450"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einer klinischen Studie mit Patienten mit persistierendem, rezidivierendem oder metastasiertem</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Zervixkarzinom (Studie</w:t>
      </w:r>
      <w:r w:rsidR="008878EC">
        <w:rPr>
          <w:rFonts w:ascii="Times New Roman" w:hAnsi="Times New Roman" w:cs="Times New Roman"/>
          <w:lang w:val="de-DE"/>
        </w:rPr>
        <w:t> </w:t>
      </w:r>
      <w:r w:rsidRPr="009737B5">
        <w:rPr>
          <w:rFonts w:ascii="Times New Roman" w:hAnsi="Times New Roman" w:cs="Times New Roman"/>
          <w:lang w:val="de-DE"/>
        </w:rPr>
        <w:t>GOG-0240) wurden bei bis zu 15,6</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Paclitaxel und Cisplatin behandelten Patienten venöse thromboembolische Ereignisse von Grad</w:t>
      </w:r>
      <w:r w:rsidR="008878EC">
        <w:rPr>
          <w:rFonts w:ascii="Times New Roman" w:hAnsi="Times New Roman" w:cs="Times New Roman"/>
          <w:lang w:val="de-DE"/>
        </w:rPr>
        <w:t> </w:t>
      </w:r>
      <w:r w:rsidRPr="009737B5">
        <w:rPr>
          <w:rFonts w:ascii="Times New Roman" w:hAnsi="Times New Roman" w:cs="Times New Roman"/>
          <w:lang w:val="de-DE"/>
        </w:rPr>
        <w:t>3</w:t>
      </w:r>
      <w:r w:rsidR="008878EC">
        <w:rPr>
          <w:rFonts w:ascii="Times New Roman" w:hAnsi="Times New Roman" w:cs="Times New Roman"/>
          <w:lang w:val="de-DE"/>
        </w:rPr>
        <w:t> </w:t>
      </w:r>
      <w:r w:rsidRPr="009737B5">
        <w:rPr>
          <w:rFonts w:ascii="Times New Roman" w:hAnsi="Times New Roman" w:cs="Times New Roman"/>
          <w:lang w:val="de-DE"/>
        </w:rPr>
        <w:t>-</w:t>
      </w:r>
      <w:r w:rsidR="008878EC">
        <w:rPr>
          <w:rFonts w:ascii="Times New Roman" w:hAnsi="Times New Roman" w:cs="Times New Roman"/>
          <w:lang w:val="de-DE"/>
        </w:rPr>
        <w:t> </w:t>
      </w:r>
      <w:r w:rsidRPr="009737B5">
        <w:rPr>
          <w:rFonts w:ascii="Times New Roman" w:hAnsi="Times New Roman" w:cs="Times New Roman"/>
          <w:lang w:val="de-DE"/>
        </w:rPr>
        <w:t>5 berichtet, im Vergleich zu bis zu 7,0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die mit Paclitaxel und Cisplatin behandelt wurden.</w:t>
      </w:r>
    </w:p>
    <w:p w14:paraId="5B579ECF" w14:textId="77777777" w:rsidR="00AF337C" w:rsidRPr="009737B5" w:rsidRDefault="00AF337C" w:rsidP="005F4D08">
      <w:pPr>
        <w:suppressAutoHyphens/>
        <w:spacing w:after="0" w:line="240" w:lineRule="auto"/>
        <w:rPr>
          <w:rFonts w:ascii="Times New Roman" w:hAnsi="Times New Roman" w:cs="Times New Roman"/>
          <w:lang w:val="de-DE"/>
        </w:rPr>
      </w:pPr>
    </w:p>
    <w:p w14:paraId="4B7461A9"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Patienten, die bereits eine venöse Thromboembolie hatten, können einem höheren Rezidiv-Risiko unterliegen, wenn sie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Chemotherapie erhalten, als Patienten unter Chemotherapie allein.</w:t>
      </w:r>
    </w:p>
    <w:p w14:paraId="4AD370E7" w14:textId="77777777" w:rsidR="00AF337C" w:rsidRPr="009737B5" w:rsidRDefault="00AF337C" w:rsidP="005F4D08">
      <w:pPr>
        <w:suppressAutoHyphens/>
        <w:spacing w:after="0" w:line="240" w:lineRule="auto"/>
        <w:rPr>
          <w:rFonts w:ascii="Times New Roman" w:hAnsi="Times New Roman" w:cs="Times New Roman"/>
          <w:lang w:val="de-DE"/>
        </w:rPr>
      </w:pPr>
    </w:p>
    <w:p w14:paraId="2C9F25F6" w14:textId="77777777" w:rsidR="00AF337C" w:rsidRPr="009737B5" w:rsidRDefault="00AF337C" w:rsidP="00610397">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Kongestive Herzinsuffizienz (KHI)</w:t>
      </w:r>
    </w:p>
    <w:p w14:paraId="70801240" w14:textId="77777777" w:rsidR="00610397" w:rsidRPr="009737B5" w:rsidRDefault="00610397" w:rsidP="00610397">
      <w:pPr>
        <w:keepNext/>
        <w:suppressAutoHyphens/>
        <w:spacing w:after="0" w:line="240" w:lineRule="auto"/>
        <w:rPr>
          <w:rFonts w:ascii="Times New Roman" w:hAnsi="Times New Roman" w:cs="Times New Roman"/>
          <w:lang w:val="de-DE"/>
        </w:rPr>
      </w:pPr>
    </w:p>
    <w:p w14:paraId="7C4910D1" w14:textId="6EA3D426"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Kongestive Herzinsuffizienz (KHI) wurde in klinischen Studien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bisher in allen</w:t>
      </w:r>
      <w:r w:rsidR="003C5E88" w:rsidRPr="009737B5">
        <w:rPr>
          <w:rFonts w:ascii="Times New Roman" w:hAnsi="Times New Roman" w:cs="Times New Roman"/>
          <w:lang w:val="de-DE"/>
        </w:rPr>
        <w:t xml:space="preserve"> </w:t>
      </w:r>
      <w:r w:rsidR="00AD4D92" w:rsidRPr="009737B5">
        <w:rPr>
          <w:rFonts w:ascii="Times New Roman" w:hAnsi="Times New Roman" w:cs="Times New Roman"/>
          <w:lang w:val="de-DE"/>
        </w:rPr>
        <w:t xml:space="preserve">onkologischen </w:t>
      </w:r>
      <w:r w:rsidRPr="009737B5">
        <w:rPr>
          <w:rFonts w:ascii="Times New Roman" w:hAnsi="Times New Roman" w:cs="Times New Roman"/>
          <w:lang w:val="de-DE"/>
        </w:rPr>
        <w:t>Indikationen beobachtet; sie trat jedoch überwiegend bei Patienten mit metastasiertem</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Mammakarzinom auf. In vier Phase</w:t>
      </w:r>
      <w:r w:rsidR="008878EC">
        <w:rPr>
          <w:rFonts w:ascii="Times New Roman" w:hAnsi="Times New Roman" w:cs="Times New Roman"/>
          <w:lang w:val="de-DE"/>
        </w:rPr>
        <w:t> </w:t>
      </w:r>
      <w:r w:rsidRPr="009737B5">
        <w:rPr>
          <w:rFonts w:ascii="Times New Roman" w:hAnsi="Times New Roman" w:cs="Times New Roman"/>
          <w:lang w:val="de-DE"/>
        </w:rPr>
        <w:t>III-Studien (AVF2119g, E2100, BO17708 und AVF3694g) zum metastasierten Mammakarzinom wurde bei bis zu 3,5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die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einer Chemotherapie behandelt wurden, eine KHI vom Grad</w:t>
      </w:r>
      <w:r w:rsidR="008878EC">
        <w:rPr>
          <w:rFonts w:ascii="Times New Roman" w:hAnsi="Times New Roman" w:cs="Times New Roman"/>
          <w:lang w:val="de-DE"/>
        </w:rPr>
        <w:t> </w:t>
      </w:r>
      <w:r w:rsidRPr="009737B5">
        <w:rPr>
          <w:rFonts w:ascii="Times New Roman" w:hAnsi="Times New Roman" w:cs="Times New Roman"/>
          <w:lang w:val="de-DE"/>
        </w:rPr>
        <w:t>3 (NCI-CTCAE v.3) oder höher berichtet, verglichen mit bis zu 0,9</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den Kontrollarmen. Bei den Patienten in der AVF3694g</w:t>
      </w:r>
      <w:r w:rsidR="00AD4D92" w:rsidRPr="009737B5">
        <w:rPr>
          <w:rFonts w:ascii="Times New Roman" w:hAnsi="Times New Roman" w:cs="Times New Roman"/>
          <w:lang w:val="de-DE"/>
        </w:rPr>
        <w:t>-</w:t>
      </w:r>
      <w:r w:rsidRPr="009737B5">
        <w:rPr>
          <w:rFonts w:ascii="Times New Roman" w:hAnsi="Times New Roman" w:cs="Times New Roman"/>
          <w:lang w:val="de-DE"/>
        </w:rPr>
        <w:t xml:space="preserve">Studie, die Anthracycline in Kombination mit Bevacizumab erhielten, war das Auftreten </w:t>
      </w:r>
      <w:r w:rsidRPr="009737B5">
        <w:rPr>
          <w:rFonts w:ascii="Times New Roman" w:hAnsi="Times New Roman" w:cs="Times New Roman"/>
          <w:lang w:val="de-DE"/>
        </w:rPr>
        <w:lastRenderedPageBreak/>
        <w:t>von KHI vom Grad</w:t>
      </w:r>
      <w:r w:rsidR="008878EC">
        <w:rPr>
          <w:rFonts w:ascii="Times New Roman" w:hAnsi="Times New Roman" w:cs="Times New Roman"/>
          <w:lang w:val="de-DE"/>
        </w:rPr>
        <w:t> </w:t>
      </w:r>
      <w:r w:rsidRPr="009737B5">
        <w:rPr>
          <w:rFonts w:ascii="Times New Roman" w:hAnsi="Times New Roman" w:cs="Times New Roman"/>
          <w:lang w:val="de-DE"/>
        </w:rPr>
        <w:t>3 oder höher in den jeweiligen Bevacizumab- und Kontrollarmen vergleichbar zu dem in anderen Studien zum metastasierten Mammakarzinom: 2,9</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Anthracyclin +</w:t>
      </w:r>
      <w:r w:rsidR="00610397" w:rsidRPr="009737B5">
        <w:rPr>
          <w:rFonts w:ascii="Times New Roman" w:hAnsi="Times New Roman" w:cs="Times New Roman"/>
          <w:lang w:val="de-DE"/>
        </w:rPr>
        <w:t xml:space="preserve"> </w:t>
      </w:r>
      <w:r w:rsidRPr="009737B5">
        <w:rPr>
          <w:rFonts w:ascii="Times New Roman" w:hAnsi="Times New Roman" w:cs="Times New Roman"/>
          <w:lang w:val="de-DE"/>
        </w:rPr>
        <w:t>Bevacizumab-Arm und 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Anthracyclin + Placebo-Arm. Zusätzlich war in der Studie</w:t>
      </w:r>
      <w:r w:rsidR="008878EC">
        <w:rPr>
          <w:rFonts w:ascii="Times New Roman" w:hAnsi="Times New Roman" w:cs="Times New Roman"/>
          <w:lang w:val="de-DE"/>
        </w:rPr>
        <w:t> </w:t>
      </w:r>
      <w:r w:rsidRPr="009737B5">
        <w:rPr>
          <w:rFonts w:ascii="Times New Roman" w:hAnsi="Times New Roman" w:cs="Times New Roman"/>
          <w:lang w:val="de-DE"/>
        </w:rPr>
        <w:t xml:space="preserve">AVF3694g das Auftreten von KHI aller Grade zwischen dem Anthracyclin + </w:t>
      </w:r>
      <w:r w:rsidR="004C438C" w:rsidRPr="009737B5">
        <w:rPr>
          <w:rFonts w:ascii="Times New Roman" w:hAnsi="Times New Roman" w:cs="Times New Roman"/>
          <w:lang w:val="de-DE"/>
        </w:rPr>
        <w:t>Bevacizumab</w:t>
      </w:r>
      <w:r w:rsidR="00AD4D92" w:rsidRPr="009737B5">
        <w:rPr>
          <w:rFonts w:ascii="Times New Roman" w:hAnsi="Times New Roman" w:cs="Times New Roman"/>
          <w:lang w:val="de-DE"/>
        </w:rPr>
        <w:t>-</w:t>
      </w:r>
      <w:r w:rsidRPr="009737B5">
        <w:rPr>
          <w:rFonts w:ascii="Times New Roman" w:hAnsi="Times New Roman" w:cs="Times New Roman"/>
          <w:lang w:val="de-DE"/>
        </w:rPr>
        <w:t>Arm (6,2</w:t>
      </w:r>
      <w:r w:rsidR="00322E40" w:rsidRPr="009737B5">
        <w:rPr>
          <w:rFonts w:ascii="Times New Roman" w:hAnsi="Times New Roman" w:cs="Times New Roman"/>
          <w:lang w:val="de-DE"/>
        </w:rPr>
        <w:t> %</w:t>
      </w:r>
      <w:r w:rsidRPr="009737B5">
        <w:rPr>
          <w:rFonts w:ascii="Times New Roman" w:hAnsi="Times New Roman" w:cs="Times New Roman"/>
          <w:lang w:val="de-DE"/>
        </w:rPr>
        <w:t>) und dem Anthracyclin + Placebo-Arm (6,0</w:t>
      </w:r>
      <w:r w:rsidR="00322E40" w:rsidRPr="009737B5">
        <w:rPr>
          <w:rFonts w:ascii="Times New Roman" w:hAnsi="Times New Roman" w:cs="Times New Roman"/>
          <w:lang w:val="de-DE"/>
        </w:rPr>
        <w:t> %</w:t>
      </w:r>
      <w:r w:rsidRPr="009737B5">
        <w:rPr>
          <w:rFonts w:ascii="Times New Roman" w:hAnsi="Times New Roman" w:cs="Times New Roman"/>
          <w:lang w:val="de-DE"/>
        </w:rPr>
        <w:t>) vergleichbar.</w:t>
      </w:r>
    </w:p>
    <w:p w14:paraId="1A170D9A" w14:textId="77777777" w:rsidR="00AF337C" w:rsidRPr="009737B5" w:rsidRDefault="00AF337C" w:rsidP="005F4D08">
      <w:pPr>
        <w:suppressAutoHyphens/>
        <w:spacing w:after="0" w:line="240" w:lineRule="auto"/>
        <w:rPr>
          <w:rFonts w:ascii="Times New Roman" w:hAnsi="Times New Roman" w:cs="Times New Roman"/>
          <w:lang w:val="de-DE"/>
        </w:rPr>
      </w:pPr>
    </w:p>
    <w:p w14:paraId="0171812D"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Nach entsprechender medizinischer Behandlung besserten sich bei den meisten Patienten, die während Studien zum metastasierten Mammakarzinom eine KHI entwickelten, die Symptome und/oder die linksventrikuläre Funktion.</w:t>
      </w:r>
    </w:p>
    <w:p w14:paraId="7A753F9C" w14:textId="77777777" w:rsidR="00AF337C" w:rsidRPr="009737B5" w:rsidRDefault="00AF337C" w:rsidP="005F4D08">
      <w:pPr>
        <w:suppressAutoHyphens/>
        <w:spacing w:after="0" w:line="240" w:lineRule="auto"/>
        <w:rPr>
          <w:rFonts w:ascii="Times New Roman" w:hAnsi="Times New Roman" w:cs="Times New Roman"/>
          <w:lang w:val="de-DE"/>
        </w:rPr>
      </w:pPr>
    </w:p>
    <w:p w14:paraId="7F164093"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In den meisten klinischen Studien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wurden Patienten mit vorbestehender KHI NYHA (</w:t>
      </w:r>
      <w:r w:rsidRPr="00D87918">
        <w:rPr>
          <w:rFonts w:ascii="Times New Roman" w:hAnsi="Times New Roman" w:cs="Times New Roman"/>
          <w:i/>
          <w:iCs/>
          <w:lang w:val="de-DE"/>
        </w:rPr>
        <w:t>New York Heart Association</w:t>
      </w:r>
      <w:r w:rsidRPr="009737B5">
        <w:rPr>
          <w:rFonts w:ascii="Times New Roman" w:hAnsi="Times New Roman" w:cs="Times New Roman"/>
          <w:lang w:val="de-DE"/>
        </w:rPr>
        <w:t>) II-IV ausgeschlossen. Deshalb liegen keine Informationen zum Risiko einer KHI in dieser Studienpopulation vor.</w:t>
      </w:r>
    </w:p>
    <w:p w14:paraId="13B84B5B" w14:textId="77777777" w:rsidR="00AF337C" w:rsidRPr="009737B5" w:rsidRDefault="00AF337C" w:rsidP="005F4D08">
      <w:pPr>
        <w:suppressAutoHyphens/>
        <w:spacing w:after="0" w:line="240" w:lineRule="auto"/>
        <w:rPr>
          <w:rFonts w:ascii="Times New Roman" w:hAnsi="Times New Roman" w:cs="Times New Roman"/>
          <w:lang w:val="de-DE"/>
        </w:rPr>
      </w:pPr>
    </w:p>
    <w:p w14:paraId="202F9097"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Eine vorhergehende Anthracyclin-Behandlung und/oder Bestrahlung der Brustwand können mögliche Risikofaktoren für die Entwicklung einer KHI sein.</w:t>
      </w:r>
    </w:p>
    <w:p w14:paraId="5BCAC2FA" w14:textId="77777777" w:rsidR="00AF337C" w:rsidRPr="009737B5" w:rsidRDefault="00AF337C" w:rsidP="005F4D08">
      <w:pPr>
        <w:suppressAutoHyphens/>
        <w:spacing w:after="0" w:line="240" w:lineRule="auto"/>
        <w:rPr>
          <w:rFonts w:ascii="Times New Roman" w:hAnsi="Times New Roman" w:cs="Times New Roman"/>
          <w:lang w:val="de-DE"/>
        </w:rPr>
      </w:pPr>
    </w:p>
    <w:p w14:paraId="0CA6CDA9" w14:textId="1E0EA7B3"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einer klinischen Studie mit Patienten mit diffusem großzelligen B-Zell-Lymphom wurde nach Gabe von Bevacizumab zusammen mit einer kumulativen Doxorubicin-Dosis von mehr als 300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ein vermehrtes Auftreten von KHI beobachtet. In dieser klinischen Studie der Phase</w:t>
      </w:r>
      <w:r w:rsidR="008878EC">
        <w:rPr>
          <w:rFonts w:ascii="Times New Roman" w:hAnsi="Times New Roman" w:cs="Times New Roman"/>
          <w:lang w:val="de-DE"/>
        </w:rPr>
        <w:t> </w:t>
      </w:r>
      <w:r w:rsidRPr="009737B5">
        <w:rPr>
          <w:rFonts w:ascii="Times New Roman" w:hAnsi="Times New Roman" w:cs="Times New Roman"/>
          <w:lang w:val="de-DE"/>
        </w:rPr>
        <w:t>III wurde die</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Behandlung mit Rituximab/Cyclophosphamid/Doxorubicin/Vincristin/Prednison (R-CHOP) plus</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Bevacizumab mit einer R-CHOP-Behandlung ohne Bevacizumab verglichen. In beiden</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Behandlungsarmen war die Häufigkeit von KHI höher als bei bisherigen Behandlungen mit</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Doxorubicin; der Anteil von KHI war jedoch im R-CHOP plus Bevacizumab-Arm höher. Diese</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Ergebnisse weisen darauf hin, dass eine enge klinische Überwachung mit geeigneten</w:t>
      </w:r>
      <w:r w:rsidR="003C5E88" w:rsidRPr="009737B5">
        <w:rPr>
          <w:rFonts w:ascii="Times New Roman" w:hAnsi="Times New Roman" w:cs="Times New Roman"/>
          <w:lang w:val="de-DE"/>
        </w:rPr>
        <w:t xml:space="preserve"> </w:t>
      </w:r>
      <w:r w:rsidRPr="009737B5">
        <w:rPr>
          <w:rFonts w:ascii="Times New Roman" w:hAnsi="Times New Roman" w:cs="Times New Roman"/>
          <w:lang w:val="de-DE"/>
        </w:rPr>
        <w:t>Herzuntersuchungen für Patienten in Erwägung gezogen werden sollte, die eine kumulative Dosis an Doxorubicin größer als 300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in Kombination mit Bevacizumab erhalten haben.</w:t>
      </w:r>
    </w:p>
    <w:p w14:paraId="762C81E4" w14:textId="77777777" w:rsidR="00AF337C" w:rsidRPr="009737B5" w:rsidRDefault="00AF337C" w:rsidP="005F4D08">
      <w:pPr>
        <w:suppressAutoHyphens/>
        <w:spacing w:after="0" w:line="240" w:lineRule="auto"/>
        <w:rPr>
          <w:rFonts w:ascii="Times New Roman" w:hAnsi="Times New Roman" w:cs="Times New Roman"/>
          <w:lang w:val="de-DE"/>
        </w:rPr>
      </w:pPr>
    </w:p>
    <w:p w14:paraId="247FFC32" w14:textId="5ED9A2C3" w:rsidR="00AF337C" w:rsidRPr="009737B5" w:rsidRDefault="00AF337C" w:rsidP="00610397">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i/>
          <w:u w:val="single"/>
          <w:lang w:val="de-DE"/>
        </w:rPr>
        <w:t>Überempfindlichkeits</w:t>
      </w:r>
      <w:r w:rsidR="00537F24">
        <w:rPr>
          <w:rFonts w:ascii="Times New Roman" w:hAnsi="Times New Roman" w:cs="Times New Roman"/>
          <w:i/>
          <w:u w:val="single"/>
          <w:lang w:val="de-DE"/>
        </w:rPr>
        <w:t>reaktionen (einschließlich anaphylaktischer Schock)/</w:t>
      </w:r>
      <w:r w:rsidRPr="009737B5">
        <w:rPr>
          <w:rFonts w:ascii="Times New Roman" w:hAnsi="Times New Roman" w:cs="Times New Roman"/>
          <w:i/>
          <w:u w:val="single"/>
          <w:lang w:val="de-DE"/>
        </w:rPr>
        <w:t xml:space="preserve">Infusionsreaktionen </w:t>
      </w:r>
      <w:r w:rsidRPr="009737B5">
        <w:rPr>
          <w:rFonts w:ascii="Times New Roman" w:hAnsi="Times New Roman" w:cs="Times New Roman"/>
          <w:u w:val="single"/>
          <w:lang w:val="de-DE"/>
        </w:rPr>
        <w:t>(siehe Abschnitt</w:t>
      </w:r>
      <w:r w:rsidR="008878EC">
        <w:rPr>
          <w:rFonts w:ascii="Times New Roman" w:hAnsi="Times New Roman" w:cs="Times New Roman"/>
          <w:u w:val="single"/>
          <w:lang w:val="de-DE"/>
        </w:rPr>
        <w:t> </w:t>
      </w:r>
      <w:r w:rsidRPr="009737B5">
        <w:rPr>
          <w:rFonts w:ascii="Times New Roman" w:hAnsi="Times New Roman" w:cs="Times New Roman"/>
          <w:u w:val="single"/>
          <w:lang w:val="de-DE"/>
        </w:rPr>
        <w:t xml:space="preserve">4.4 und </w:t>
      </w:r>
      <w:r w:rsidRPr="009737B5">
        <w:rPr>
          <w:rFonts w:ascii="Times New Roman" w:hAnsi="Times New Roman" w:cs="Times New Roman"/>
          <w:i/>
          <w:u w:val="single"/>
          <w:lang w:val="de-DE"/>
        </w:rPr>
        <w:t xml:space="preserve">Erfahrungen nach der Markteinführung </w:t>
      </w:r>
      <w:r w:rsidRPr="009737B5">
        <w:rPr>
          <w:rFonts w:ascii="Times New Roman" w:hAnsi="Times New Roman" w:cs="Times New Roman"/>
          <w:u w:val="single"/>
          <w:lang w:val="de-DE"/>
        </w:rPr>
        <w:t>untenstehend)</w:t>
      </w:r>
    </w:p>
    <w:p w14:paraId="5CFAC116" w14:textId="77777777" w:rsidR="00610397" w:rsidRPr="009737B5" w:rsidRDefault="00610397" w:rsidP="00610397">
      <w:pPr>
        <w:keepNext/>
        <w:suppressAutoHyphens/>
        <w:spacing w:after="0" w:line="240" w:lineRule="auto"/>
        <w:rPr>
          <w:rFonts w:ascii="Times New Roman" w:hAnsi="Times New Roman" w:cs="Times New Roman"/>
          <w:lang w:val="de-DE"/>
        </w:rPr>
      </w:pPr>
    </w:p>
    <w:p w14:paraId="1ACE484E"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einigen klinischen Studien wurden anaphylaktische und anaphylaktoide Reaktionen häufiger bei</w:t>
      </w:r>
      <w:r w:rsidR="0035088C" w:rsidRPr="009737B5">
        <w:rPr>
          <w:rFonts w:ascii="Times New Roman" w:hAnsi="Times New Roman" w:cs="Times New Roman"/>
          <w:lang w:val="de-DE"/>
        </w:rPr>
        <w:t xml:space="preserve"> </w:t>
      </w:r>
      <w:r w:rsidRPr="009737B5">
        <w:rPr>
          <w:rFonts w:ascii="Times New Roman" w:hAnsi="Times New Roman" w:cs="Times New Roman"/>
          <w:lang w:val="de-DE"/>
        </w:rPr>
        <w:t xml:space="preserve">Patienten berichtet, die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Chemotherapie erhalten hatten, als bei Chemotherapie allein. Das Auftreten dieser Reaktionen in klinischen Studien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ist häufig (bis zu 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bei mit Bevacizumab behandelten Patienten).</w:t>
      </w:r>
    </w:p>
    <w:p w14:paraId="76B88D9B" w14:textId="77777777" w:rsidR="00AF337C" w:rsidRPr="009737B5" w:rsidRDefault="00AF337C" w:rsidP="005F4D08">
      <w:pPr>
        <w:suppressAutoHyphens/>
        <w:spacing w:after="0" w:line="240" w:lineRule="auto"/>
        <w:rPr>
          <w:rFonts w:ascii="Times New Roman" w:hAnsi="Times New Roman" w:cs="Times New Roman"/>
          <w:lang w:val="de-DE"/>
        </w:rPr>
      </w:pPr>
    </w:p>
    <w:p w14:paraId="211D7922" w14:textId="77777777" w:rsidR="00AF337C" w:rsidRPr="009737B5" w:rsidRDefault="00AF337C" w:rsidP="00610397">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Infektionen</w:t>
      </w:r>
    </w:p>
    <w:p w14:paraId="02BCD0B7" w14:textId="77777777" w:rsidR="00610397" w:rsidRPr="009737B5" w:rsidRDefault="00610397" w:rsidP="00610397">
      <w:pPr>
        <w:keepNext/>
        <w:suppressAutoHyphens/>
        <w:spacing w:after="0" w:line="240" w:lineRule="auto"/>
        <w:rPr>
          <w:rFonts w:ascii="Times New Roman" w:hAnsi="Times New Roman" w:cs="Times New Roman"/>
          <w:lang w:val="de-DE"/>
        </w:rPr>
      </w:pPr>
    </w:p>
    <w:p w14:paraId="209FBB46" w14:textId="2B371F61"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einer klinischen Studie mit Patienten mit persistierendem, rezidivierendem oder metastasiertem</w:t>
      </w:r>
      <w:r w:rsidR="0035088C" w:rsidRPr="009737B5">
        <w:rPr>
          <w:rFonts w:ascii="Times New Roman" w:hAnsi="Times New Roman" w:cs="Times New Roman"/>
          <w:lang w:val="de-DE"/>
        </w:rPr>
        <w:t xml:space="preserve"> </w:t>
      </w:r>
      <w:r w:rsidRPr="009737B5">
        <w:rPr>
          <w:rFonts w:ascii="Times New Roman" w:hAnsi="Times New Roman" w:cs="Times New Roman"/>
          <w:lang w:val="de-DE"/>
        </w:rPr>
        <w:t>Zervixkarzinom (Studie</w:t>
      </w:r>
      <w:r w:rsidR="008878EC">
        <w:rPr>
          <w:rFonts w:ascii="Times New Roman" w:hAnsi="Times New Roman" w:cs="Times New Roman"/>
          <w:lang w:val="de-DE"/>
        </w:rPr>
        <w:t> </w:t>
      </w:r>
      <w:r w:rsidRPr="009737B5">
        <w:rPr>
          <w:rFonts w:ascii="Times New Roman" w:hAnsi="Times New Roman" w:cs="Times New Roman"/>
          <w:lang w:val="de-DE"/>
        </w:rPr>
        <w:t>GOG-0240) wurden bei bis zu 24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die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in</w:t>
      </w:r>
      <w:r w:rsidR="0035088C" w:rsidRPr="009737B5">
        <w:rPr>
          <w:rFonts w:ascii="Times New Roman" w:hAnsi="Times New Roman" w:cs="Times New Roman"/>
          <w:lang w:val="de-DE"/>
        </w:rPr>
        <w:t xml:space="preserve"> </w:t>
      </w:r>
      <w:r w:rsidRPr="009737B5">
        <w:rPr>
          <w:rFonts w:ascii="Times New Roman" w:hAnsi="Times New Roman" w:cs="Times New Roman"/>
          <w:lang w:val="de-DE"/>
        </w:rPr>
        <w:t>Kombination mit Paclitaxel und Topotecan behandelt wurden, Infektionen von Grad</w:t>
      </w:r>
      <w:r w:rsidR="008878EC">
        <w:rPr>
          <w:rFonts w:ascii="Times New Roman" w:hAnsi="Times New Roman" w:cs="Times New Roman"/>
          <w:lang w:val="de-DE"/>
        </w:rPr>
        <w:t> </w:t>
      </w:r>
      <w:r w:rsidRPr="009737B5">
        <w:rPr>
          <w:rFonts w:ascii="Times New Roman" w:hAnsi="Times New Roman" w:cs="Times New Roman"/>
          <w:lang w:val="de-DE"/>
        </w:rPr>
        <w:t>3</w:t>
      </w:r>
      <w:r w:rsidR="008878EC">
        <w:rPr>
          <w:rFonts w:ascii="Times New Roman" w:hAnsi="Times New Roman" w:cs="Times New Roman"/>
          <w:lang w:val="de-DE"/>
        </w:rPr>
        <w:t> </w:t>
      </w:r>
      <w:r w:rsidRPr="009737B5">
        <w:rPr>
          <w:rFonts w:ascii="Times New Roman" w:hAnsi="Times New Roman" w:cs="Times New Roman"/>
          <w:lang w:val="de-DE"/>
        </w:rPr>
        <w:t>-</w:t>
      </w:r>
      <w:r w:rsidR="008878EC">
        <w:rPr>
          <w:rFonts w:ascii="Times New Roman" w:hAnsi="Times New Roman" w:cs="Times New Roman"/>
          <w:lang w:val="de-DE"/>
        </w:rPr>
        <w:t> </w:t>
      </w:r>
      <w:r w:rsidRPr="009737B5">
        <w:rPr>
          <w:rFonts w:ascii="Times New Roman" w:hAnsi="Times New Roman" w:cs="Times New Roman"/>
          <w:lang w:val="de-DE"/>
        </w:rPr>
        <w:t>5 berichtet, im Vergleich zu bis zu 13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die mit Paclitaxel und Topotecan behandelt wurden.</w:t>
      </w:r>
    </w:p>
    <w:p w14:paraId="2AE02827" w14:textId="77777777" w:rsidR="00AF337C" w:rsidRPr="009737B5" w:rsidRDefault="00AF337C" w:rsidP="005F4D08">
      <w:pPr>
        <w:suppressAutoHyphens/>
        <w:spacing w:after="0" w:line="240" w:lineRule="auto"/>
        <w:rPr>
          <w:rFonts w:ascii="Times New Roman" w:hAnsi="Times New Roman" w:cs="Times New Roman"/>
          <w:lang w:val="de-DE"/>
        </w:rPr>
      </w:pPr>
    </w:p>
    <w:p w14:paraId="747121BA" w14:textId="7CBB901F" w:rsidR="00AF337C" w:rsidRPr="009737B5" w:rsidRDefault="00AF337C" w:rsidP="00610397">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i/>
          <w:u w:val="single"/>
          <w:lang w:val="de-DE"/>
        </w:rPr>
        <w:t xml:space="preserve">Ovarialinsuffizienz/Fertilität </w:t>
      </w:r>
      <w:r w:rsidRPr="009737B5">
        <w:rPr>
          <w:rFonts w:ascii="Times New Roman" w:hAnsi="Times New Roman" w:cs="Times New Roman"/>
          <w:u w:val="single"/>
          <w:lang w:val="de-DE"/>
        </w:rPr>
        <w:t>(siehe Abschnitte</w:t>
      </w:r>
      <w:r w:rsidR="008878EC">
        <w:rPr>
          <w:rFonts w:ascii="Times New Roman" w:hAnsi="Times New Roman" w:cs="Times New Roman"/>
          <w:u w:val="single"/>
          <w:lang w:val="de-DE"/>
        </w:rPr>
        <w:t> </w:t>
      </w:r>
      <w:r w:rsidRPr="009737B5">
        <w:rPr>
          <w:rFonts w:ascii="Times New Roman" w:hAnsi="Times New Roman" w:cs="Times New Roman"/>
          <w:u w:val="single"/>
          <w:lang w:val="de-DE"/>
        </w:rPr>
        <w:t>4.4 und 4.6)</w:t>
      </w:r>
    </w:p>
    <w:p w14:paraId="3327DA4D" w14:textId="77777777" w:rsidR="00610397" w:rsidRPr="009737B5" w:rsidRDefault="00610397" w:rsidP="00610397">
      <w:pPr>
        <w:keepNext/>
        <w:suppressAutoHyphens/>
        <w:spacing w:after="0" w:line="240" w:lineRule="auto"/>
        <w:rPr>
          <w:rFonts w:ascii="Times New Roman" w:hAnsi="Times New Roman" w:cs="Times New Roman"/>
          <w:lang w:val="de-DE"/>
        </w:rPr>
      </w:pPr>
    </w:p>
    <w:p w14:paraId="1AEE8E06" w14:textId="6BBE2E73"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der Phase</w:t>
      </w:r>
      <w:r w:rsidR="00C41775">
        <w:rPr>
          <w:rFonts w:ascii="Times New Roman" w:hAnsi="Times New Roman" w:cs="Times New Roman"/>
          <w:lang w:val="de-DE"/>
        </w:rPr>
        <w:t> </w:t>
      </w:r>
      <w:r w:rsidRPr="009737B5">
        <w:rPr>
          <w:rFonts w:ascii="Times New Roman" w:hAnsi="Times New Roman" w:cs="Times New Roman"/>
          <w:lang w:val="de-DE"/>
        </w:rPr>
        <w:t>III-Studie NSABP</w:t>
      </w:r>
      <w:r w:rsidR="00C41775">
        <w:rPr>
          <w:rFonts w:ascii="Times New Roman" w:hAnsi="Times New Roman" w:cs="Times New Roman"/>
          <w:lang w:val="de-DE"/>
        </w:rPr>
        <w:t> </w:t>
      </w:r>
      <w:r w:rsidRPr="009737B5">
        <w:rPr>
          <w:rFonts w:ascii="Times New Roman" w:hAnsi="Times New Roman" w:cs="Times New Roman"/>
          <w:lang w:val="de-DE"/>
        </w:rPr>
        <w:t xml:space="preserve">C-08 zur adjuvanten Behandlung von Patienten mit Kolonkarzinom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wurde die Häufigkeit neuer Fälle von Ovarialinsuffizienz bei 295 prämenopausalen Frauen untersucht. Eine Ovarialinsuffizienz wurde dabei als Amenorrhö von mindestens 3</w:t>
      </w:r>
      <w:r w:rsidR="00C41775">
        <w:rPr>
          <w:rFonts w:ascii="Times New Roman" w:hAnsi="Times New Roman" w:cs="Times New Roman"/>
          <w:lang w:val="de-DE"/>
        </w:rPr>
        <w:t> </w:t>
      </w:r>
      <w:r w:rsidRPr="009737B5">
        <w:rPr>
          <w:rFonts w:ascii="Times New Roman" w:hAnsi="Times New Roman" w:cs="Times New Roman"/>
          <w:lang w:val="de-DE"/>
        </w:rPr>
        <w:t>Monat</w:t>
      </w:r>
      <w:r w:rsidR="00610397" w:rsidRPr="009737B5">
        <w:rPr>
          <w:rFonts w:ascii="Times New Roman" w:hAnsi="Times New Roman" w:cs="Times New Roman"/>
          <w:lang w:val="de-DE"/>
        </w:rPr>
        <w:t xml:space="preserve">en Dauer, </w:t>
      </w:r>
      <w:r w:rsidR="00AD4D92" w:rsidRPr="009737B5">
        <w:rPr>
          <w:rFonts w:ascii="Times New Roman" w:hAnsi="Times New Roman" w:cs="Times New Roman"/>
          <w:lang w:val="de-DE"/>
        </w:rPr>
        <w:t xml:space="preserve">mit </w:t>
      </w:r>
      <w:r w:rsidR="00610397" w:rsidRPr="009737B5">
        <w:rPr>
          <w:rFonts w:ascii="Times New Roman" w:hAnsi="Times New Roman" w:cs="Times New Roman"/>
          <w:lang w:val="de-DE"/>
        </w:rPr>
        <w:t xml:space="preserve">FSH-Spiegeln von </w:t>
      </w:r>
      <w:r w:rsidR="00E32D5C" w:rsidRPr="009737B5">
        <w:rPr>
          <w:rFonts w:ascii="Times New Roman" w:hAnsi="Times New Roman" w:cs="Times New Roman"/>
          <w:lang w:val="de-DE"/>
        </w:rPr>
        <w:t>≥ </w:t>
      </w:r>
      <w:r w:rsidR="00610397" w:rsidRPr="009737B5">
        <w:rPr>
          <w:rFonts w:ascii="Times New Roman" w:hAnsi="Times New Roman" w:cs="Times New Roman"/>
          <w:lang w:val="de-DE"/>
        </w:rPr>
        <w:t>30 </w:t>
      </w:r>
      <w:r w:rsidRPr="009737B5">
        <w:rPr>
          <w:rFonts w:ascii="Times New Roman" w:hAnsi="Times New Roman" w:cs="Times New Roman"/>
          <w:lang w:val="de-DE"/>
        </w:rPr>
        <w:t>mIE/ml sowie einem negativen Serum-Schwangerschaftstest (ß-HCG) definiert. Neue Fälle von Ovarialinsuffizienz wurden bei 2,6</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w:t>
      </w:r>
      <w:r w:rsidR="00610397" w:rsidRPr="009737B5">
        <w:rPr>
          <w:rFonts w:ascii="Times New Roman" w:hAnsi="Times New Roman" w:cs="Times New Roman"/>
          <w:lang w:val="de-DE"/>
        </w:rPr>
        <w:t>er Patientinnen aus der mFOLFOX</w:t>
      </w:r>
      <w:r w:rsidR="00610397" w:rsidRPr="009737B5">
        <w:rPr>
          <w:rFonts w:ascii="Times New Roman" w:hAnsi="Times New Roman" w:cs="Times New Roman"/>
          <w:lang w:val="de-DE"/>
        </w:rPr>
        <w:noBreakHyphen/>
      </w:r>
      <w:r w:rsidRPr="009737B5">
        <w:rPr>
          <w:rFonts w:ascii="Times New Roman" w:hAnsi="Times New Roman" w:cs="Times New Roman"/>
          <w:lang w:val="de-DE"/>
        </w:rPr>
        <w:t>6-Gruppe</w:t>
      </w:r>
      <w:r w:rsidR="00AD4D92" w:rsidRPr="009737B5">
        <w:rPr>
          <w:rFonts w:ascii="Times New Roman" w:hAnsi="Times New Roman" w:cs="Times New Roman"/>
          <w:lang w:val="de-DE"/>
        </w:rPr>
        <w:t>,</w:t>
      </w:r>
      <w:r w:rsidRPr="009737B5">
        <w:rPr>
          <w:rFonts w:ascii="Times New Roman" w:hAnsi="Times New Roman" w:cs="Times New Roman"/>
          <w:lang w:val="de-DE"/>
        </w:rPr>
        <w:t xml:space="preserve"> verglichen mit 39</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Patientinnen aus der mFOLFOX-6 + Bevacizumab</w:t>
      </w:r>
      <w:r w:rsidR="00E4512C" w:rsidRPr="009737B5">
        <w:rPr>
          <w:rFonts w:ascii="Times New Roman" w:hAnsi="Times New Roman" w:cs="Times New Roman"/>
          <w:lang w:val="de-DE"/>
        </w:rPr>
        <w:t>-</w:t>
      </w:r>
      <w:r w:rsidRPr="009737B5">
        <w:rPr>
          <w:rFonts w:ascii="Times New Roman" w:hAnsi="Times New Roman" w:cs="Times New Roman"/>
          <w:lang w:val="de-DE"/>
        </w:rPr>
        <w:t>Gruppe</w:t>
      </w:r>
      <w:r w:rsidR="00AD4D92" w:rsidRPr="009737B5">
        <w:rPr>
          <w:rFonts w:ascii="Times New Roman" w:hAnsi="Times New Roman" w:cs="Times New Roman"/>
          <w:lang w:val="de-DE"/>
        </w:rPr>
        <w:t>,</w:t>
      </w:r>
      <w:r w:rsidRPr="009737B5">
        <w:rPr>
          <w:rFonts w:ascii="Times New Roman" w:hAnsi="Times New Roman" w:cs="Times New Roman"/>
          <w:lang w:val="de-DE"/>
        </w:rPr>
        <w:t xml:space="preserve"> berichtet. Nach Abbruch der Behandlung mit Bevacizumab kam es bei 86,2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dieser Frauen zu einer Wiederherstellung der Ovarialfunktion. Die Langzeitauswirkungen einer Behandlung mit Bevacizumab auf die Fertilität sind nicht bekannt.</w:t>
      </w:r>
    </w:p>
    <w:p w14:paraId="4CCB2BAF" w14:textId="77777777" w:rsidR="00AF337C" w:rsidRPr="009737B5" w:rsidRDefault="00AF337C" w:rsidP="005F4D08">
      <w:pPr>
        <w:suppressAutoHyphens/>
        <w:spacing w:after="0" w:line="240" w:lineRule="auto"/>
        <w:rPr>
          <w:rFonts w:ascii="Times New Roman" w:hAnsi="Times New Roman" w:cs="Times New Roman"/>
          <w:lang w:val="de-DE"/>
        </w:rPr>
      </w:pPr>
    </w:p>
    <w:p w14:paraId="2957B88F" w14:textId="77777777" w:rsidR="00AF337C" w:rsidRPr="009737B5" w:rsidRDefault="00AF337C" w:rsidP="00610397">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lastRenderedPageBreak/>
        <w:t>Laborauffälligkeiten</w:t>
      </w:r>
    </w:p>
    <w:p w14:paraId="25501394" w14:textId="77777777" w:rsidR="00610397" w:rsidRPr="009737B5" w:rsidRDefault="00610397" w:rsidP="00610397">
      <w:pPr>
        <w:keepNext/>
        <w:suppressAutoHyphens/>
        <w:spacing w:after="0" w:line="240" w:lineRule="auto"/>
        <w:rPr>
          <w:rFonts w:ascii="Times New Roman" w:hAnsi="Times New Roman" w:cs="Times New Roman"/>
          <w:lang w:val="de-DE"/>
        </w:rPr>
      </w:pPr>
    </w:p>
    <w:p w14:paraId="0C0BCF23"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Eine reduzierte Neutrophilenzahl, eine reduzierte Leukozytenzahl und das Vorhandensein von Protein im Urin können eine Folge der </w:t>
      </w:r>
      <w:r w:rsidR="00885FD1" w:rsidRPr="009737B5">
        <w:rPr>
          <w:rFonts w:ascii="Times New Roman" w:hAnsi="Times New Roman" w:cs="Times New Roman"/>
          <w:lang w:val="de-DE"/>
        </w:rPr>
        <w:t>MVASI</w:t>
      </w:r>
      <w:r w:rsidR="004C438C" w:rsidRPr="009737B5">
        <w:rPr>
          <w:rFonts w:ascii="Times New Roman" w:hAnsi="Times New Roman" w:cs="Times New Roman"/>
          <w:lang w:val="de-DE"/>
        </w:rPr>
        <w:t>-</w:t>
      </w:r>
      <w:r w:rsidRPr="009737B5">
        <w:rPr>
          <w:rFonts w:ascii="Times New Roman" w:hAnsi="Times New Roman" w:cs="Times New Roman"/>
          <w:lang w:val="de-DE"/>
        </w:rPr>
        <w:t>Behandlung sein.</w:t>
      </w:r>
    </w:p>
    <w:p w14:paraId="3C16384C" w14:textId="77777777" w:rsidR="00AF337C" w:rsidRPr="009737B5" w:rsidRDefault="00AF337C" w:rsidP="005F4D08">
      <w:pPr>
        <w:suppressAutoHyphens/>
        <w:spacing w:after="0" w:line="240" w:lineRule="auto"/>
        <w:rPr>
          <w:rFonts w:ascii="Times New Roman" w:hAnsi="Times New Roman" w:cs="Times New Roman"/>
          <w:lang w:val="de-DE"/>
        </w:rPr>
      </w:pPr>
    </w:p>
    <w:p w14:paraId="3B7A997F" w14:textId="7A08DBCC"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Über alle klinischen Studien hinweg traten bei Patienten, die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 wurden, die folgenden Laborauffälligkeiten 3. und 4.</w:t>
      </w:r>
      <w:r w:rsidR="00C41775">
        <w:rPr>
          <w:rFonts w:ascii="Times New Roman" w:hAnsi="Times New Roman" w:cs="Times New Roman"/>
          <w:lang w:val="de-DE"/>
        </w:rPr>
        <w:t> </w:t>
      </w:r>
      <w:r w:rsidRPr="009737B5">
        <w:rPr>
          <w:rFonts w:ascii="Times New Roman" w:hAnsi="Times New Roman" w:cs="Times New Roman"/>
          <w:lang w:val="de-DE"/>
        </w:rPr>
        <w:t>Grades (NCI-CTCAE v.3) mit einem Unterschied von mindestens 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Vergleich zu den entsprechenden Kontrollgruppen auf: Hyperglykämie, erniedrigter Hämoglobinwert, Hypokaliämie, Hyponatriämie, reduzierte Leukozytenzahl, erhöhte </w:t>
      </w:r>
      <w:r w:rsidRPr="009737B5">
        <w:rPr>
          <w:rFonts w:ascii="Times New Roman" w:hAnsi="Times New Roman" w:cs="Times New Roman"/>
          <w:i/>
          <w:lang w:val="de-DE"/>
        </w:rPr>
        <w:t>International Normalised Ratio</w:t>
      </w:r>
      <w:r w:rsidRPr="009737B5">
        <w:rPr>
          <w:rFonts w:ascii="Times New Roman" w:hAnsi="Times New Roman" w:cs="Times New Roman"/>
          <w:lang w:val="de-DE"/>
        </w:rPr>
        <w:t xml:space="preserve"> (INR).</w:t>
      </w:r>
    </w:p>
    <w:p w14:paraId="695F6777" w14:textId="77777777" w:rsidR="00AF337C" w:rsidRPr="009737B5" w:rsidRDefault="00AF337C" w:rsidP="005F4D08">
      <w:pPr>
        <w:suppressAutoHyphens/>
        <w:spacing w:after="0" w:line="240" w:lineRule="auto"/>
        <w:rPr>
          <w:rFonts w:ascii="Times New Roman" w:hAnsi="Times New Roman" w:cs="Times New Roman"/>
          <w:lang w:val="de-DE"/>
        </w:rPr>
      </w:pPr>
    </w:p>
    <w:p w14:paraId="0C112144"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In klinischen Studien wurde gezeigt, dass vorübergehende Erhöhungen der Serumkreatininspiegel (in einem Bereich von 1,5-fach bis 1,9-fach höher als die Ausgangswerte), sowohl mit als auch ohne Proteinurie, mit der Anwendung von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in Verbindung stehen. Der beobachtete Anstieg der Serumkreatininspiegel war bei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Patienten nicht mit einem vermehrten Auftreten klinischer Manifestationen von Nierenfunktionsstörungen verbunden.</w:t>
      </w:r>
    </w:p>
    <w:p w14:paraId="0835E9CD" w14:textId="77777777" w:rsidR="00AF337C" w:rsidRPr="009737B5" w:rsidRDefault="00AF337C" w:rsidP="005F4D08">
      <w:pPr>
        <w:suppressAutoHyphens/>
        <w:spacing w:after="0" w:line="240" w:lineRule="auto"/>
        <w:rPr>
          <w:rFonts w:ascii="Times New Roman" w:hAnsi="Times New Roman" w:cs="Times New Roman"/>
          <w:lang w:val="de-DE"/>
        </w:rPr>
      </w:pPr>
    </w:p>
    <w:p w14:paraId="17570483" w14:textId="77777777" w:rsidR="00AF337C" w:rsidRPr="009737B5" w:rsidRDefault="00AF337C" w:rsidP="00610397">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Andere spezielle Patientengruppen</w:t>
      </w:r>
    </w:p>
    <w:p w14:paraId="0054E16C" w14:textId="77777777" w:rsidR="00AF337C" w:rsidRPr="009737B5" w:rsidRDefault="00AF337C" w:rsidP="00610397">
      <w:pPr>
        <w:keepNext/>
        <w:suppressAutoHyphens/>
        <w:spacing w:after="0" w:line="240" w:lineRule="auto"/>
        <w:rPr>
          <w:rFonts w:ascii="Times New Roman" w:hAnsi="Times New Roman" w:cs="Times New Roman"/>
          <w:lang w:val="de-DE"/>
        </w:rPr>
      </w:pPr>
    </w:p>
    <w:p w14:paraId="535898D1" w14:textId="77777777" w:rsidR="00AF337C" w:rsidRPr="009737B5" w:rsidRDefault="00AF337C" w:rsidP="00610397">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Ältere Patienten</w:t>
      </w:r>
    </w:p>
    <w:p w14:paraId="08EB66B1" w14:textId="77777777" w:rsidR="00610397" w:rsidRPr="009737B5" w:rsidRDefault="00610397" w:rsidP="00610397">
      <w:pPr>
        <w:keepNext/>
        <w:suppressAutoHyphens/>
        <w:spacing w:after="0" w:line="240" w:lineRule="auto"/>
        <w:rPr>
          <w:rFonts w:ascii="Times New Roman" w:hAnsi="Times New Roman" w:cs="Times New Roman"/>
          <w:lang w:val="de-DE"/>
        </w:rPr>
      </w:pPr>
    </w:p>
    <w:p w14:paraId="49CF5138" w14:textId="70A219A3"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In randomisierten klinischen Prüfungen war ein Alter von </w:t>
      </w:r>
      <w:r w:rsidR="00E32D5C" w:rsidRPr="009737B5">
        <w:rPr>
          <w:rFonts w:ascii="Times New Roman" w:hAnsi="Times New Roman" w:cs="Times New Roman"/>
          <w:lang w:val="de-DE"/>
        </w:rPr>
        <w:t>&gt; </w:t>
      </w:r>
      <w:r w:rsidRPr="009737B5">
        <w:rPr>
          <w:rFonts w:ascii="Times New Roman" w:hAnsi="Times New Roman" w:cs="Times New Roman"/>
          <w:lang w:val="de-DE"/>
        </w:rPr>
        <w:t>65</w:t>
      </w:r>
      <w:r w:rsidR="004C438C" w:rsidRPr="009737B5">
        <w:rPr>
          <w:rFonts w:ascii="Times New Roman" w:hAnsi="Times New Roman" w:cs="Times New Roman"/>
          <w:lang w:val="de-DE"/>
        </w:rPr>
        <w:t> </w:t>
      </w:r>
      <w:r w:rsidRPr="009737B5">
        <w:rPr>
          <w:rFonts w:ascii="Times New Roman" w:hAnsi="Times New Roman" w:cs="Times New Roman"/>
          <w:lang w:val="de-DE"/>
        </w:rPr>
        <w:t>Jahren mit einem höheren Risiko für die Entwicklung arterieller thromboembolischer Ereignisse einschließlich zerebraler Insulte, transitorischer ischämischer Attacken und Myokardinfarkte verbunden. Andere Nebenwirkungen mit größerer Häufigkeit bei Patienten über 65</w:t>
      </w:r>
      <w:r w:rsidR="004C438C" w:rsidRPr="009737B5">
        <w:rPr>
          <w:rFonts w:ascii="Times New Roman" w:hAnsi="Times New Roman" w:cs="Times New Roman"/>
          <w:lang w:val="de-DE"/>
        </w:rPr>
        <w:t> </w:t>
      </w:r>
      <w:r w:rsidRPr="009737B5">
        <w:rPr>
          <w:rFonts w:ascii="Times New Roman" w:hAnsi="Times New Roman" w:cs="Times New Roman"/>
          <w:lang w:val="de-DE"/>
        </w:rPr>
        <w:t>Jahren als bei Patienten ≤</w:t>
      </w:r>
      <w:r w:rsidR="00DE3BD0" w:rsidRPr="009737B5">
        <w:rPr>
          <w:rFonts w:ascii="Times New Roman" w:hAnsi="Times New Roman" w:cs="Times New Roman"/>
          <w:lang w:val="de-DE"/>
        </w:rPr>
        <w:t> </w:t>
      </w:r>
      <w:r w:rsidRPr="009737B5">
        <w:rPr>
          <w:rFonts w:ascii="Times New Roman" w:hAnsi="Times New Roman" w:cs="Times New Roman"/>
          <w:lang w:val="de-DE"/>
        </w:rPr>
        <w:t>65</w:t>
      </w:r>
      <w:r w:rsidR="004C438C" w:rsidRPr="009737B5">
        <w:rPr>
          <w:rFonts w:ascii="Times New Roman" w:hAnsi="Times New Roman" w:cs="Times New Roman"/>
          <w:lang w:val="de-DE"/>
        </w:rPr>
        <w:t> </w:t>
      </w:r>
      <w:r w:rsidRPr="009737B5">
        <w:rPr>
          <w:rFonts w:ascii="Times New Roman" w:hAnsi="Times New Roman" w:cs="Times New Roman"/>
          <w:lang w:val="de-DE"/>
        </w:rPr>
        <w:t xml:space="preserve">Jahren, wenn diese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 werden, waren Leukopenien und Thrombozytopenien vom Grad</w:t>
      </w:r>
      <w:r w:rsidR="00C41775">
        <w:rPr>
          <w:rFonts w:ascii="Times New Roman" w:hAnsi="Times New Roman" w:cs="Times New Roman"/>
          <w:lang w:val="de-DE"/>
        </w:rPr>
        <w:t> </w:t>
      </w:r>
      <w:r w:rsidRPr="009737B5">
        <w:rPr>
          <w:rFonts w:ascii="Times New Roman" w:hAnsi="Times New Roman" w:cs="Times New Roman"/>
          <w:lang w:val="de-DE"/>
        </w:rPr>
        <w:t>3</w:t>
      </w:r>
      <w:r w:rsidR="00C41775">
        <w:rPr>
          <w:rFonts w:ascii="Times New Roman" w:hAnsi="Times New Roman" w:cs="Times New Roman"/>
          <w:lang w:val="de-DE"/>
        </w:rPr>
        <w:t> </w:t>
      </w:r>
      <w:r w:rsidRPr="009737B5">
        <w:rPr>
          <w:rFonts w:ascii="Times New Roman" w:hAnsi="Times New Roman" w:cs="Times New Roman"/>
          <w:lang w:val="de-DE"/>
        </w:rPr>
        <w:t>-</w:t>
      </w:r>
      <w:r w:rsidR="00C41775">
        <w:rPr>
          <w:rFonts w:ascii="Times New Roman" w:hAnsi="Times New Roman" w:cs="Times New Roman"/>
          <w:lang w:val="de-DE"/>
        </w:rPr>
        <w:t> </w:t>
      </w:r>
      <w:r w:rsidRPr="009737B5">
        <w:rPr>
          <w:rFonts w:ascii="Times New Roman" w:hAnsi="Times New Roman" w:cs="Times New Roman"/>
          <w:lang w:val="de-DE"/>
        </w:rPr>
        <w:t>4 (NCI-CTCAE v.3), Neutropenien aller Grade, Diarrhö, Übelkeit, Kopfschmerzen und Müdigkeit (siehe Abschnitte</w:t>
      </w:r>
      <w:r w:rsidR="00C41775">
        <w:rPr>
          <w:rFonts w:ascii="Times New Roman" w:hAnsi="Times New Roman" w:cs="Times New Roman"/>
          <w:lang w:val="de-DE"/>
        </w:rPr>
        <w:t> </w:t>
      </w:r>
      <w:r w:rsidRPr="009737B5">
        <w:rPr>
          <w:rFonts w:ascii="Times New Roman" w:hAnsi="Times New Roman" w:cs="Times New Roman"/>
          <w:lang w:val="de-DE"/>
        </w:rPr>
        <w:t xml:space="preserve">4.4 und 4.8 bei </w:t>
      </w:r>
      <w:r w:rsidRPr="009737B5">
        <w:rPr>
          <w:rFonts w:ascii="Times New Roman" w:hAnsi="Times New Roman" w:cs="Times New Roman"/>
          <w:i/>
          <w:lang w:val="de-DE"/>
        </w:rPr>
        <w:t>Thromboembolien</w:t>
      </w:r>
      <w:r w:rsidRPr="009737B5">
        <w:rPr>
          <w:rFonts w:ascii="Times New Roman" w:hAnsi="Times New Roman" w:cs="Times New Roman"/>
          <w:lang w:val="de-DE"/>
        </w:rPr>
        <w:t>). In einer klinischen Studie war die Inzidenz einer Hypertonie vom Grad</w:t>
      </w:r>
      <w:r w:rsidR="00C41775">
        <w:rPr>
          <w:rFonts w:ascii="Times New Roman" w:hAnsi="Times New Roman" w:cs="Times New Roman"/>
          <w:lang w:val="de-DE"/>
        </w:rPr>
        <w:t> </w:t>
      </w:r>
      <w:r w:rsidR="00E32D5C" w:rsidRPr="009737B5">
        <w:rPr>
          <w:rFonts w:ascii="Times New Roman" w:hAnsi="Times New Roman" w:cs="Times New Roman"/>
          <w:lang w:val="de-DE"/>
        </w:rPr>
        <w:t>≥ </w:t>
      </w:r>
      <w:r w:rsidRPr="009737B5">
        <w:rPr>
          <w:rFonts w:ascii="Times New Roman" w:hAnsi="Times New Roman" w:cs="Times New Roman"/>
          <w:lang w:val="de-DE"/>
        </w:rPr>
        <w:t xml:space="preserve">3 bei Patienten </w:t>
      </w:r>
      <w:r w:rsidR="00E32D5C" w:rsidRPr="009737B5">
        <w:rPr>
          <w:rFonts w:ascii="Times New Roman" w:hAnsi="Times New Roman" w:cs="Times New Roman"/>
          <w:lang w:val="de-DE"/>
        </w:rPr>
        <w:t>&gt; </w:t>
      </w:r>
      <w:r w:rsidRPr="009737B5">
        <w:rPr>
          <w:rFonts w:ascii="Times New Roman" w:hAnsi="Times New Roman" w:cs="Times New Roman"/>
          <w:lang w:val="de-DE"/>
        </w:rPr>
        <w:t>65</w:t>
      </w:r>
      <w:r w:rsidR="0091668D" w:rsidRPr="009737B5">
        <w:rPr>
          <w:rFonts w:ascii="Times New Roman" w:hAnsi="Times New Roman" w:cs="Times New Roman"/>
          <w:lang w:val="de-DE"/>
        </w:rPr>
        <w:t> </w:t>
      </w:r>
      <w:r w:rsidRPr="009737B5">
        <w:rPr>
          <w:rFonts w:ascii="Times New Roman" w:hAnsi="Times New Roman" w:cs="Times New Roman"/>
          <w:lang w:val="de-DE"/>
        </w:rPr>
        <w:t>Jahre doppelt so hoch wie in der Gruppe der jüngeren Patienten (</w:t>
      </w:r>
      <w:r w:rsidR="00E32D5C" w:rsidRPr="009737B5">
        <w:rPr>
          <w:rFonts w:ascii="Times New Roman" w:hAnsi="Times New Roman" w:cs="Times New Roman"/>
          <w:lang w:val="de-DE"/>
        </w:rPr>
        <w:t>&lt; </w:t>
      </w:r>
      <w:r w:rsidRPr="009737B5">
        <w:rPr>
          <w:rFonts w:ascii="Times New Roman" w:hAnsi="Times New Roman" w:cs="Times New Roman"/>
          <w:lang w:val="de-DE"/>
        </w:rPr>
        <w:t>65</w:t>
      </w:r>
      <w:r w:rsidR="004C438C" w:rsidRPr="009737B5">
        <w:rPr>
          <w:rFonts w:ascii="Times New Roman" w:hAnsi="Times New Roman" w:cs="Times New Roman"/>
          <w:lang w:val="de-DE"/>
        </w:rPr>
        <w:t> </w:t>
      </w:r>
      <w:r w:rsidRPr="009737B5">
        <w:rPr>
          <w:rFonts w:ascii="Times New Roman" w:hAnsi="Times New Roman" w:cs="Times New Roman"/>
          <w:lang w:val="de-DE"/>
        </w:rPr>
        <w:t>Jahre). In einer Studie mit Patienten mit platinresistentem rezidivierenden Ovarialkarzinom wurden auch Alopezie, Schleimhautentzündungen, periphere sensorische Neuropathie, Proteinurie und Hypertonie berichtet und traten mit einer mindestens 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höheren Rate im CT</w:t>
      </w:r>
      <w:r w:rsidR="0099604B">
        <w:rPr>
          <w:rFonts w:ascii="Times New Roman" w:hAnsi="Times New Roman" w:cs="Times New Roman"/>
          <w:lang w:val="de-DE"/>
        </w:rPr>
        <w:t xml:space="preserve"> </w:t>
      </w:r>
      <w:r w:rsidRPr="009737B5">
        <w:rPr>
          <w:rFonts w:ascii="Times New Roman" w:hAnsi="Times New Roman" w:cs="Times New Roman"/>
          <w:lang w:val="de-DE"/>
        </w:rPr>
        <w:t>+</w:t>
      </w:r>
      <w:r w:rsidR="0099604B">
        <w:rPr>
          <w:rFonts w:ascii="Times New Roman" w:hAnsi="Times New Roman" w:cs="Times New Roman"/>
          <w:lang w:val="de-DE"/>
        </w:rPr>
        <w:t xml:space="preserve"> </w:t>
      </w:r>
      <w:r w:rsidRPr="009737B5">
        <w:rPr>
          <w:rFonts w:ascii="Times New Roman" w:hAnsi="Times New Roman" w:cs="Times New Roman"/>
          <w:lang w:val="de-DE"/>
        </w:rPr>
        <w:t xml:space="preserve">BV-Arm bei mit Bevacizumab behandelten Patienten </w:t>
      </w:r>
      <w:r w:rsidR="00E32D5C" w:rsidRPr="009737B5">
        <w:rPr>
          <w:rFonts w:ascii="Times New Roman" w:hAnsi="Times New Roman" w:cs="Times New Roman"/>
          <w:lang w:val="de-DE"/>
        </w:rPr>
        <w:t>≥ </w:t>
      </w:r>
      <w:r w:rsidRPr="009737B5">
        <w:rPr>
          <w:rFonts w:ascii="Times New Roman" w:hAnsi="Times New Roman" w:cs="Times New Roman"/>
          <w:lang w:val="de-DE"/>
        </w:rPr>
        <w:t>65</w:t>
      </w:r>
      <w:r w:rsidR="004C438C" w:rsidRPr="009737B5">
        <w:rPr>
          <w:rFonts w:ascii="Times New Roman" w:hAnsi="Times New Roman" w:cs="Times New Roman"/>
          <w:lang w:val="de-DE"/>
        </w:rPr>
        <w:t> </w:t>
      </w:r>
      <w:r w:rsidRPr="009737B5">
        <w:rPr>
          <w:rFonts w:ascii="Times New Roman" w:hAnsi="Times New Roman" w:cs="Times New Roman"/>
          <w:lang w:val="de-DE"/>
        </w:rPr>
        <w:t>Jahren auf, verglichen mit Bevacizumab</w:t>
      </w:r>
      <w:r w:rsidR="00AD4D92" w:rsidRPr="009737B5">
        <w:rPr>
          <w:rFonts w:ascii="Times New Roman" w:hAnsi="Times New Roman" w:cs="Times New Roman"/>
          <w:lang w:val="de-DE"/>
        </w:rPr>
        <w:t>-</w:t>
      </w:r>
      <w:r w:rsidRPr="009737B5">
        <w:rPr>
          <w:rFonts w:ascii="Times New Roman" w:hAnsi="Times New Roman" w:cs="Times New Roman"/>
          <w:lang w:val="de-DE"/>
        </w:rPr>
        <w:t xml:space="preserve">behandelten Patienten </w:t>
      </w:r>
      <w:r w:rsidR="00E32D5C" w:rsidRPr="009737B5">
        <w:rPr>
          <w:rFonts w:ascii="Times New Roman" w:hAnsi="Times New Roman" w:cs="Times New Roman"/>
          <w:lang w:val="de-DE"/>
        </w:rPr>
        <w:t>&lt; </w:t>
      </w:r>
      <w:r w:rsidRPr="009737B5">
        <w:rPr>
          <w:rFonts w:ascii="Times New Roman" w:hAnsi="Times New Roman" w:cs="Times New Roman"/>
          <w:lang w:val="de-DE"/>
        </w:rPr>
        <w:t>65</w:t>
      </w:r>
      <w:r w:rsidR="004C438C" w:rsidRPr="009737B5">
        <w:rPr>
          <w:rFonts w:ascii="Times New Roman" w:hAnsi="Times New Roman" w:cs="Times New Roman"/>
          <w:lang w:val="de-DE"/>
        </w:rPr>
        <w:t> </w:t>
      </w:r>
      <w:r w:rsidRPr="009737B5">
        <w:rPr>
          <w:rFonts w:ascii="Times New Roman" w:hAnsi="Times New Roman" w:cs="Times New Roman"/>
          <w:lang w:val="de-DE"/>
        </w:rPr>
        <w:t>Jahren.</w:t>
      </w:r>
    </w:p>
    <w:p w14:paraId="316B9EAC" w14:textId="77777777" w:rsidR="00610397" w:rsidRPr="009737B5" w:rsidRDefault="00610397" w:rsidP="005F4D08">
      <w:pPr>
        <w:suppressAutoHyphens/>
        <w:spacing w:after="0" w:line="240" w:lineRule="auto"/>
        <w:rPr>
          <w:rFonts w:ascii="Times New Roman" w:hAnsi="Times New Roman" w:cs="Times New Roman"/>
          <w:lang w:val="de-DE"/>
        </w:rPr>
      </w:pPr>
    </w:p>
    <w:p w14:paraId="08B2F159"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Inzidenz anderer Nebenwirkungen einschließlich Magen-Darm-Perforation,</w:t>
      </w:r>
      <w:r w:rsidR="00DE3BD0" w:rsidRPr="009737B5">
        <w:rPr>
          <w:rFonts w:ascii="Times New Roman" w:hAnsi="Times New Roman" w:cs="Times New Roman"/>
          <w:lang w:val="de-DE"/>
        </w:rPr>
        <w:t xml:space="preserve"> </w:t>
      </w:r>
      <w:r w:rsidRPr="009737B5">
        <w:rPr>
          <w:rFonts w:ascii="Times New Roman" w:hAnsi="Times New Roman" w:cs="Times New Roman"/>
          <w:lang w:val="de-DE"/>
        </w:rPr>
        <w:t>Wundheilungsstörungen, kongestiver Herzinsuffizienz und Blutungen war nicht erhöht bei älteren Patienten (</w:t>
      </w:r>
      <w:r w:rsidR="00E32D5C" w:rsidRPr="009737B5">
        <w:rPr>
          <w:rFonts w:ascii="Times New Roman" w:hAnsi="Times New Roman" w:cs="Times New Roman"/>
          <w:lang w:val="de-DE"/>
        </w:rPr>
        <w:t>&gt; </w:t>
      </w:r>
      <w:r w:rsidRPr="009737B5">
        <w:rPr>
          <w:rFonts w:ascii="Times New Roman" w:hAnsi="Times New Roman" w:cs="Times New Roman"/>
          <w:lang w:val="de-DE"/>
        </w:rPr>
        <w:t>65</w:t>
      </w:r>
      <w:r w:rsidR="0091668D" w:rsidRPr="009737B5">
        <w:rPr>
          <w:rFonts w:ascii="Times New Roman" w:hAnsi="Times New Roman" w:cs="Times New Roman"/>
          <w:lang w:val="de-DE"/>
        </w:rPr>
        <w:t> </w:t>
      </w:r>
      <w:r w:rsidRPr="009737B5">
        <w:rPr>
          <w:rFonts w:ascii="Times New Roman" w:hAnsi="Times New Roman" w:cs="Times New Roman"/>
          <w:lang w:val="de-DE"/>
        </w:rPr>
        <w:t xml:space="preserve">Jahre) unter </w:t>
      </w:r>
      <w:r w:rsidR="004C438C" w:rsidRPr="009737B5">
        <w:rPr>
          <w:rFonts w:ascii="Times New Roman" w:hAnsi="Times New Roman" w:cs="Times New Roman"/>
          <w:lang w:val="de-DE"/>
        </w:rPr>
        <w:t>Bevacizumab-</w:t>
      </w:r>
      <w:r w:rsidRPr="009737B5">
        <w:rPr>
          <w:rFonts w:ascii="Times New Roman" w:hAnsi="Times New Roman" w:cs="Times New Roman"/>
          <w:lang w:val="de-DE"/>
        </w:rPr>
        <w:t>Behandlung verglichen mit den bis zu 65-Jährigen (≤</w:t>
      </w:r>
      <w:r w:rsidR="00DE3BD0" w:rsidRPr="009737B5">
        <w:rPr>
          <w:rFonts w:ascii="Times New Roman" w:hAnsi="Times New Roman" w:cs="Times New Roman"/>
          <w:lang w:val="de-DE"/>
        </w:rPr>
        <w:t> </w:t>
      </w:r>
      <w:r w:rsidRPr="009737B5">
        <w:rPr>
          <w:rFonts w:ascii="Times New Roman" w:hAnsi="Times New Roman" w:cs="Times New Roman"/>
          <w:lang w:val="de-DE"/>
        </w:rPr>
        <w:t>65</w:t>
      </w:r>
      <w:r w:rsidR="0091668D" w:rsidRPr="00402720">
        <w:rPr>
          <w:rFonts w:ascii="Times New Roman" w:eastAsia="PMingLiU" w:hAnsi="Times New Roman" w:cs="Times New Roman"/>
          <w:lang w:val="de-DE" w:eastAsia="zh-TW"/>
        </w:rPr>
        <w:t> </w:t>
      </w:r>
      <w:r w:rsidRPr="009737B5">
        <w:rPr>
          <w:rFonts w:ascii="Times New Roman" w:hAnsi="Times New Roman" w:cs="Times New Roman"/>
          <w:lang w:val="de-DE"/>
        </w:rPr>
        <w:t xml:space="preserve">Jahre) unter </w:t>
      </w:r>
      <w:r w:rsidR="004C438C" w:rsidRPr="009737B5">
        <w:rPr>
          <w:rFonts w:ascii="Times New Roman" w:hAnsi="Times New Roman" w:cs="Times New Roman"/>
          <w:lang w:val="de-DE"/>
        </w:rPr>
        <w:t>Bevacizumab-</w:t>
      </w:r>
      <w:r w:rsidRPr="009737B5">
        <w:rPr>
          <w:rFonts w:ascii="Times New Roman" w:hAnsi="Times New Roman" w:cs="Times New Roman"/>
          <w:lang w:val="de-DE"/>
        </w:rPr>
        <w:t>Behandlung.</w:t>
      </w:r>
    </w:p>
    <w:p w14:paraId="53E19409" w14:textId="77777777" w:rsidR="00AF337C" w:rsidRPr="009737B5" w:rsidRDefault="00AF337C" w:rsidP="005F4D08">
      <w:pPr>
        <w:suppressAutoHyphens/>
        <w:spacing w:after="0" w:line="240" w:lineRule="auto"/>
        <w:rPr>
          <w:rFonts w:ascii="Times New Roman" w:hAnsi="Times New Roman" w:cs="Times New Roman"/>
          <w:lang w:val="de-DE"/>
        </w:rPr>
      </w:pPr>
    </w:p>
    <w:p w14:paraId="0FF8F9A9" w14:textId="77777777" w:rsidR="00AF337C" w:rsidRPr="009737B5" w:rsidRDefault="00AF337C" w:rsidP="00610397">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Kinder und Jugendliche</w:t>
      </w:r>
    </w:p>
    <w:p w14:paraId="5D8E7A72" w14:textId="77777777" w:rsidR="00610397" w:rsidRPr="009737B5" w:rsidRDefault="00610397" w:rsidP="00610397">
      <w:pPr>
        <w:keepNext/>
        <w:suppressAutoHyphens/>
        <w:spacing w:after="0" w:line="240" w:lineRule="auto"/>
        <w:rPr>
          <w:rFonts w:ascii="Times New Roman" w:hAnsi="Times New Roman" w:cs="Times New Roman"/>
          <w:lang w:val="de-DE"/>
        </w:rPr>
      </w:pPr>
    </w:p>
    <w:p w14:paraId="3DFC4E24"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Sicherheit und Wirksamkeit von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bei Kindern unter 18</w:t>
      </w:r>
      <w:r w:rsidR="004C438C" w:rsidRPr="009737B5">
        <w:rPr>
          <w:rFonts w:ascii="Times New Roman" w:hAnsi="Times New Roman" w:cs="Times New Roman"/>
          <w:lang w:val="de-DE"/>
        </w:rPr>
        <w:t> </w:t>
      </w:r>
      <w:r w:rsidRPr="009737B5">
        <w:rPr>
          <w:rFonts w:ascii="Times New Roman" w:hAnsi="Times New Roman" w:cs="Times New Roman"/>
          <w:lang w:val="de-DE"/>
        </w:rPr>
        <w:t>Jahren wurde</w:t>
      </w:r>
      <w:r w:rsidR="0093210E" w:rsidRPr="009737B5">
        <w:rPr>
          <w:rFonts w:ascii="Times New Roman" w:hAnsi="Times New Roman" w:cs="Times New Roman"/>
          <w:lang w:val="de-DE"/>
        </w:rPr>
        <w:t>n</w:t>
      </w:r>
      <w:r w:rsidRPr="009737B5">
        <w:rPr>
          <w:rFonts w:ascii="Times New Roman" w:hAnsi="Times New Roman" w:cs="Times New Roman"/>
          <w:lang w:val="de-DE"/>
        </w:rPr>
        <w:t xml:space="preserve"> nicht nachgewiesen.</w:t>
      </w:r>
    </w:p>
    <w:p w14:paraId="134E960B" w14:textId="77777777" w:rsidR="00AF337C" w:rsidRPr="009737B5" w:rsidRDefault="00AF337C" w:rsidP="005F4D08">
      <w:pPr>
        <w:suppressAutoHyphens/>
        <w:spacing w:after="0" w:line="240" w:lineRule="auto"/>
        <w:rPr>
          <w:rFonts w:ascii="Times New Roman" w:hAnsi="Times New Roman" w:cs="Times New Roman"/>
          <w:lang w:val="de-DE"/>
        </w:rPr>
      </w:pPr>
    </w:p>
    <w:p w14:paraId="48DEEB1A" w14:textId="15BE8651"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der klinischen Studie</w:t>
      </w:r>
      <w:r w:rsidR="00C41775">
        <w:rPr>
          <w:rFonts w:ascii="Times New Roman" w:hAnsi="Times New Roman" w:cs="Times New Roman"/>
          <w:lang w:val="de-DE"/>
        </w:rPr>
        <w:t> </w:t>
      </w:r>
      <w:r w:rsidRPr="009737B5">
        <w:rPr>
          <w:rFonts w:ascii="Times New Roman" w:hAnsi="Times New Roman" w:cs="Times New Roman"/>
          <w:lang w:val="de-DE"/>
        </w:rPr>
        <w:t xml:space="preserve">BO25041 wurde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zusätzlich zu einer postoperativen Strahlentherapie (RT) mit gleichzeitiger und adjuvanter Temozolomid-Therapie Kindern und Jugendlichen mit neu diagnostiziertem supratentoriellem und infratentoriellem bzw. zerebellärem sowie pedunkulärem höhergradigem Gliom verabreicht; das Sicherheitsprofil war vergleichbar mit jenem, welches bei anderen Tumortypen bei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Erwachsenen beobachtet wurde.</w:t>
      </w:r>
    </w:p>
    <w:p w14:paraId="2AEE2CBF" w14:textId="77777777" w:rsidR="00AF337C" w:rsidRPr="009737B5" w:rsidRDefault="00AF337C" w:rsidP="005F4D08">
      <w:pPr>
        <w:suppressAutoHyphens/>
        <w:spacing w:after="0" w:line="240" w:lineRule="auto"/>
        <w:rPr>
          <w:rFonts w:ascii="Times New Roman" w:hAnsi="Times New Roman" w:cs="Times New Roman"/>
          <w:lang w:val="de-DE"/>
        </w:rPr>
      </w:pPr>
    </w:p>
    <w:p w14:paraId="0E376F3C" w14:textId="49338DE5"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der klinischen Studie</w:t>
      </w:r>
      <w:r w:rsidR="00C41775">
        <w:rPr>
          <w:rFonts w:ascii="Times New Roman" w:hAnsi="Times New Roman" w:cs="Times New Roman"/>
          <w:lang w:val="de-DE"/>
        </w:rPr>
        <w:t> </w:t>
      </w:r>
      <w:r w:rsidRPr="009737B5">
        <w:rPr>
          <w:rFonts w:ascii="Times New Roman" w:hAnsi="Times New Roman" w:cs="Times New Roman"/>
          <w:lang w:val="de-DE"/>
        </w:rPr>
        <w:t xml:space="preserve">BO20924 von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mit der aktuellen Standardtherapie bei Rhabdomyosarkom und Nicht-Rhabdomyosarkom</w:t>
      </w:r>
      <w:r w:rsidR="00AD4D92" w:rsidRPr="009737B5">
        <w:rPr>
          <w:rFonts w:ascii="Times New Roman" w:hAnsi="Times New Roman" w:cs="Times New Roman"/>
          <w:lang w:val="de-DE"/>
        </w:rPr>
        <w:t>-</w:t>
      </w:r>
      <w:r w:rsidRPr="009737B5">
        <w:rPr>
          <w:rFonts w:ascii="Times New Roman" w:hAnsi="Times New Roman" w:cs="Times New Roman"/>
          <w:lang w:val="de-DE"/>
        </w:rPr>
        <w:t xml:space="preserve">Weichteilsarkom war das Sicherheitsprofil von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Kindern vergleichbar mit dem, welches bei mit </w:t>
      </w:r>
      <w:r w:rsidR="004C438C"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Erwachsenen beobachtet wurde.</w:t>
      </w:r>
    </w:p>
    <w:p w14:paraId="7FB30E16" w14:textId="77777777" w:rsidR="00AF337C" w:rsidRPr="009737B5" w:rsidRDefault="00AF337C" w:rsidP="005F4D08">
      <w:pPr>
        <w:suppressAutoHyphens/>
        <w:spacing w:after="0" w:line="240" w:lineRule="auto"/>
        <w:rPr>
          <w:rFonts w:ascii="Times New Roman" w:hAnsi="Times New Roman" w:cs="Times New Roman"/>
          <w:lang w:val="de-DE"/>
        </w:rPr>
      </w:pPr>
    </w:p>
    <w:p w14:paraId="1330522A" w14:textId="77777777" w:rsidR="00AF337C"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lastRenderedPageBreak/>
        <w:t>MVASI</w:t>
      </w:r>
      <w:r w:rsidR="004C438C" w:rsidRPr="009737B5">
        <w:rPr>
          <w:rFonts w:ascii="Times New Roman" w:hAnsi="Times New Roman" w:cs="Times New Roman"/>
          <w:lang w:val="de-DE"/>
        </w:rPr>
        <w:t xml:space="preserve"> </w:t>
      </w:r>
      <w:r w:rsidR="00AF337C" w:rsidRPr="009737B5">
        <w:rPr>
          <w:rFonts w:ascii="Times New Roman" w:hAnsi="Times New Roman" w:cs="Times New Roman"/>
          <w:lang w:val="de-DE"/>
        </w:rPr>
        <w:t>ist zur Anwendung bei Patienten unter 18</w:t>
      </w:r>
      <w:r w:rsidR="004C438C" w:rsidRPr="009737B5">
        <w:rPr>
          <w:rFonts w:ascii="Times New Roman" w:hAnsi="Times New Roman" w:cs="Times New Roman"/>
          <w:lang w:val="de-DE"/>
        </w:rPr>
        <w:t> </w:t>
      </w:r>
      <w:r w:rsidR="00AF337C" w:rsidRPr="009737B5">
        <w:rPr>
          <w:rFonts w:ascii="Times New Roman" w:hAnsi="Times New Roman" w:cs="Times New Roman"/>
          <w:lang w:val="de-DE"/>
        </w:rPr>
        <w:t>Jahren nicht zugelassen. In der wissenschaftlichen</w:t>
      </w:r>
      <w:r w:rsidR="00610397" w:rsidRPr="009737B5">
        <w:rPr>
          <w:rFonts w:ascii="Times New Roman" w:hAnsi="Times New Roman" w:cs="Times New Roman"/>
          <w:lang w:val="de-DE"/>
        </w:rPr>
        <w:t xml:space="preserve"> </w:t>
      </w:r>
      <w:r w:rsidR="00AF337C" w:rsidRPr="009737B5">
        <w:rPr>
          <w:rFonts w:ascii="Times New Roman" w:hAnsi="Times New Roman" w:cs="Times New Roman"/>
          <w:lang w:val="de-DE"/>
        </w:rPr>
        <w:t>Literatur wurden Fälle von nicht-mandibulärer Osteonekrose bei Patienten unter 18</w:t>
      </w:r>
      <w:r w:rsidR="004C438C" w:rsidRPr="009737B5">
        <w:rPr>
          <w:rFonts w:ascii="Times New Roman" w:hAnsi="Times New Roman" w:cs="Times New Roman"/>
          <w:lang w:val="de-DE"/>
        </w:rPr>
        <w:t> </w:t>
      </w:r>
      <w:r w:rsidR="00AF337C" w:rsidRPr="009737B5">
        <w:rPr>
          <w:rFonts w:ascii="Times New Roman" w:hAnsi="Times New Roman" w:cs="Times New Roman"/>
          <w:lang w:val="de-DE"/>
        </w:rPr>
        <w:t xml:space="preserve">Jahren, die mit </w:t>
      </w:r>
      <w:r w:rsidR="004C438C" w:rsidRPr="009737B5">
        <w:rPr>
          <w:rFonts w:ascii="Times New Roman" w:hAnsi="Times New Roman" w:cs="Times New Roman"/>
          <w:lang w:val="de-DE"/>
        </w:rPr>
        <w:t>Bevacizumab</w:t>
      </w:r>
      <w:r w:rsidR="00AF337C" w:rsidRPr="009737B5">
        <w:rPr>
          <w:rFonts w:ascii="Times New Roman" w:hAnsi="Times New Roman" w:cs="Times New Roman"/>
          <w:lang w:val="de-DE"/>
        </w:rPr>
        <w:t xml:space="preserve"> behandelt wurden, berichtet.</w:t>
      </w:r>
    </w:p>
    <w:p w14:paraId="3FCCC596" w14:textId="77777777" w:rsidR="00AF337C" w:rsidRPr="009737B5" w:rsidRDefault="00AF337C" w:rsidP="005F4D08">
      <w:pPr>
        <w:suppressAutoHyphens/>
        <w:spacing w:after="0" w:line="240" w:lineRule="auto"/>
        <w:rPr>
          <w:rFonts w:ascii="Times New Roman" w:hAnsi="Times New Roman" w:cs="Times New Roman"/>
          <w:lang w:val="de-DE"/>
        </w:rPr>
      </w:pPr>
    </w:p>
    <w:p w14:paraId="2DC4EB67" w14:textId="77777777" w:rsidR="00AF337C" w:rsidRPr="009737B5" w:rsidRDefault="00AF337C" w:rsidP="00B07BE9">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Erfahrungen nach der Markteinführung</w:t>
      </w:r>
    </w:p>
    <w:p w14:paraId="76879513" w14:textId="77777777" w:rsidR="00AF337C" w:rsidRPr="009737B5" w:rsidRDefault="00AF337C" w:rsidP="00B07BE9">
      <w:pPr>
        <w:keepNext/>
        <w:suppressAutoHyphens/>
        <w:spacing w:after="0" w:line="240" w:lineRule="auto"/>
        <w:rPr>
          <w:rFonts w:ascii="Times New Roman" w:hAnsi="Times New Roman" w:cs="Times New Roman"/>
          <w:lang w:val="de-DE"/>
        </w:rPr>
      </w:pPr>
    </w:p>
    <w:p w14:paraId="4A6EDEC1" w14:textId="59D75412" w:rsidR="00AF337C" w:rsidRPr="009737B5" w:rsidRDefault="00AF337C" w:rsidP="00B07BE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C41775">
        <w:rPr>
          <w:rFonts w:ascii="Times New Roman" w:hAnsi="Times New Roman" w:cs="Times New Roman"/>
          <w:b/>
          <w:lang w:val="de-DE"/>
        </w:rPr>
        <w:t> </w:t>
      </w:r>
      <w:r w:rsidRPr="009737B5">
        <w:rPr>
          <w:rFonts w:ascii="Times New Roman" w:hAnsi="Times New Roman" w:cs="Times New Roman"/>
          <w:b/>
          <w:lang w:val="de-DE"/>
        </w:rPr>
        <w:t>3</w:t>
      </w:r>
      <w:r w:rsidR="00E251E5" w:rsidRPr="009737B5">
        <w:rPr>
          <w:rFonts w:ascii="Times New Roman" w:hAnsi="Times New Roman" w:cs="Times New Roman"/>
          <w:b/>
          <w:lang w:val="de-DE"/>
        </w:rPr>
        <w:t>.</w:t>
      </w:r>
      <w:r w:rsidRPr="009737B5">
        <w:rPr>
          <w:rFonts w:ascii="Times New Roman" w:hAnsi="Times New Roman" w:cs="Times New Roman"/>
          <w:b/>
          <w:lang w:val="de-DE"/>
        </w:rPr>
        <w:t xml:space="preserve"> Nebenwirkungen aus dem Spontanmeldesystem nach der Markteinführung</w:t>
      </w:r>
    </w:p>
    <w:p w14:paraId="1A647ED6" w14:textId="77777777" w:rsidR="008D5886" w:rsidRPr="009737B5" w:rsidRDefault="008D5886" w:rsidP="00B07BE9">
      <w:pPr>
        <w:keepNext/>
        <w:suppressAutoHyphens/>
        <w:spacing w:after="0" w:line="240" w:lineRule="auto"/>
        <w:rPr>
          <w:rFonts w:ascii="Times New Roman" w:hAnsi="Times New Roman" w:cs="Times New Roman"/>
          <w:lang w:val="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78"/>
      </w:tblGrid>
      <w:tr w:rsidR="008D5886" w:rsidRPr="00402720" w14:paraId="77B4EA76" w14:textId="77777777" w:rsidTr="00402720">
        <w:trPr>
          <w:trHeight w:val="20"/>
          <w:tblHeader/>
        </w:trPr>
        <w:tc>
          <w:tcPr>
            <w:tcW w:w="2689" w:type="dxa"/>
          </w:tcPr>
          <w:p w14:paraId="1C62A0BA" w14:textId="77777777" w:rsidR="008D5886" w:rsidRPr="00402720" w:rsidRDefault="008D5886" w:rsidP="00402720">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Systemorganklasse</w:t>
            </w:r>
          </w:p>
        </w:tc>
        <w:tc>
          <w:tcPr>
            <w:tcW w:w="6378" w:type="dxa"/>
          </w:tcPr>
          <w:p w14:paraId="0EBCAFE7" w14:textId="77777777" w:rsidR="008D5886" w:rsidRPr="00402720" w:rsidRDefault="008D5886" w:rsidP="00402720">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Nebenwirkung (Häufigkeit*)</w:t>
            </w:r>
          </w:p>
        </w:tc>
      </w:tr>
      <w:tr w:rsidR="008D5886" w:rsidRPr="002A434E" w14:paraId="058BD9F2" w14:textId="77777777" w:rsidTr="00402720">
        <w:trPr>
          <w:trHeight w:val="20"/>
        </w:trPr>
        <w:tc>
          <w:tcPr>
            <w:tcW w:w="2689" w:type="dxa"/>
          </w:tcPr>
          <w:p w14:paraId="72939DE3" w14:textId="77777777" w:rsidR="008D5886" w:rsidRPr="00402720" w:rsidRDefault="008D5886" w:rsidP="00402720">
            <w:pPr>
              <w:keepNext/>
              <w:spacing w:after="0" w:line="240" w:lineRule="auto"/>
              <w:rPr>
                <w:rFonts w:ascii="Times New Roman" w:hAnsi="Times New Roman" w:cs="Times New Roman"/>
                <w:lang w:val="de-DE"/>
              </w:rPr>
            </w:pPr>
            <w:r w:rsidRPr="00402720">
              <w:rPr>
                <w:rFonts w:ascii="Times New Roman" w:hAnsi="Times New Roman" w:cs="Times New Roman"/>
                <w:lang w:val="de-DE"/>
              </w:rPr>
              <w:t xml:space="preserve">Infektionen und parasitäre Erkrankungen </w:t>
            </w:r>
          </w:p>
        </w:tc>
        <w:tc>
          <w:tcPr>
            <w:tcW w:w="6378" w:type="dxa"/>
          </w:tcPr>
          <w:p w14:paraId="241CF265" w14:textId="6E2DE471" w:rsidR="008D5886" w:rsidRPr="00402720" w:rsidRDefault="008D5886" w:rsidP="00402720">
            <w:pPr>
              <w:keepNext/>
              <w:spacing w:after="0" w:line="240" w:lineRule="auto"/>
              <w:rPr>
                <w:rFonts w:ascii="Times New Roman" w:hAnsi="Times New Roman" w:cs="Times New Roman"/>
                <w:lang w:val="de-DE"/>
              </w:rPr>
            </w:pPr>
            <w:r w:rsidRPr="00402720">
              <w:rPr>
                <w:rFonts w:ascii="Times New Roman" w:hAnsi="Times New Roman" w:cs="Times New Roman"/>
                <w:lang w:val="de-DE"/>
              </w:rPr>
              <w:t>Nekrotisierende Fasziitis, gewöhnlich sekundär bei Wundheilungskomplikationen, Magen-Darm-Perforation oder Fistelbildung (selten) (siehe Abschnitt</w:t>
            </w:r>
            <w:r w:rsidR="00C41775">
              <w:rPr>
                <w:rFonts w:ascii="Times New Roman" w:hAnsi="Times New Roman" w:cs="Times New Roman"/>
                <w:lang w:val="de-DE"/>
              </w:rPr>
              <w:t> </w:t>
            </w:r>
            <w:r w:rsidRPr="00402720">
              <w:rPr>
                <w:rFonts w:ascii="Times New Roman" w:hAnsi="Times New Roman" w:cs="Times New Roman"/>
                <w:lang w:val="de-DE"/>
              </w:rPr>
              <w:t>4.4)</w:t>
            </w:r>
          </w:p>
        </w:tc>
      </w:tr>
      <w:tr w:rsidR="008D5886" w:rsidRPr="00B83674" w14:paraId="76065A30" w14:textId="77777777" w:rsidTr="00402720">
        <w:trPr>
          <w:trHeight w:val="20"/>
        </w:trPr>
        <w:tc>
          <w:tcPr>
            <w:tcW w:w="2689" w:type="dxa"/>
          </w:tcPr>
          <w:p w14:paraId="6134D6CE" w14:textId="77777777" w:rsidR="008D5886" w:rsidRPr="00402720" w:rsidRDefault="008D5886" w:rsidP="00402720">
            <w:pPr>
              <w:keepNext/>
              <w:spacing w:after="0" w:line="240" w:lineRule="auto"/>
              <w:rPr>
                <w:rFonts w:ascii="Times New Roman" w:hAnsi="Times New Roman" w:cs="Times New Roman"/>
                <w:lang w:val="de-DE"/>
              </w:rPr>
            </w:pPr>
            <w:r w:rsidRPr="00402720">
              <w:rPr>
                <w:rFonts w:ascii="Times New Roman" w:hAnsi="Times New Roman" w:cs="Times New Roman"/>
                <w:lang w:val="de-DE"/>
              </w:rPr>
              <w:t xml:space="preserve">Erkrankungen des Immunsystems </w:t>
            </w:r>
          </w:p>
        </w:tc>
        <w:tc>
          <w:tcPr>
            <w:tcW w:w="6378" w:type="dxa"/>
          </w:tcPr>
          <w:p w14:paraId="14F0425D" w14:textId="5E45F226" w:rsidR="008D5886" w:rsidRDefault="008D5886" w:rsidP="00402720">
            <w:pPr>
              <w:keepNext/>
              <w:spacing w:after="0" w:line="240" w:lineRule="auto"/>
              <w:rPr>
                <w:rFonts w:ascii="Times New Roman" w:hAnsi="Times New Roman" w:cs="Times New Roman"/>
                <w:lang w:val="de-DE"/>
              </w:rPr>
            </w:pPr>
            <w:r w:rsidRPr="00402720">
              <w:rPr>
                <w:rFonts w:ascii="Times New Roman" w:hAnsi="Times New Roman" w:cs="Times New Roman"/>
                <w:lang w:val="de-DE"/>
              </w:rPr>
              <w:t>Überempfindlichkeits- und Infusionsreaktionen (</w:t>
            </w:r>
            <w:r w:rsidR="00537F24">
              <w:rPr>
                <w:rFonts w:ascii="Times New Roman" w:hAnsi="Times New Roman" w:cs="Times New Roman"/>
                <w:lang w:val="de-DE"/>
              </w:rPr>
              <w:t>häufig</w:t>
            </w:r>
            <w:r w:rsidRPr="00402720">
              <w:rPr>
                <w:rFonts w:ascii="Times New Roman" w:hAnsi="Times New Roman" w:cs="Times New Roman"/>
                <w:lang w:val="de-DE"/>
              </w:rPr>
              <w:t>), mit den folgenden möglichen Ko-Manifestationen: Dyspnoe/Atemnot, Flush/Rötung/Ausschlag, Hypotonie oder Hypertonie, verminderte Sauerstoffsättigung, Schmerzen im Brustkorb, Schüttelfrost und Übelkeit/Erbrechen (siehe Abschnitt</w:t>
            </w:r>
            <w:r w:rsidR="00C41775">
              <w:rPr>
                <w:rFonts w:ascii="Times New Roman" w:hAnsi="Times New Roman" w:cs="Times New Roman"/>
                <w:lang w:val="de-DE"/>
              </w:rPr>
              <w:t> </w:t>
            </w:r>
            <w:r w:rsidRPr="00402720">
              <w:rPr>
                <w:rFonts w:ascii="Times New Roman" w:hAnsi="Times New Roman" w:cs="Times New Roman"/>
                <w:lang w:val="de-DE"/>
              </w:rPr>
              <w:t xml:space="preserve">4.4 und </w:t>
            </w:r>
            <w:r w:rsidRPr="00402720">
              <w:rPr>
                <w:rFonts w:ascii="Times New Roman" w:hAnsi="Times New Roman" w:cs="Times New Roman"/>
                <w:i/>
                <w:lang w:val="de-DE"/>
              </w:rPr>
              <w:t xml:space="preserve">Überempfindlichkeits- </w:t>
            </w:r>
            <w:r w:rsidR="009A03C0">
              <w:rPr>
                <w:rFonts w:ascii="Times New Roman" w:hAnsi="Times New Roman" w:cs="Times New Roman"/>
                <w:i/>
                <w:lang w:val="de-DE"/>
              </w:rPr>
              <w:t>oder</w:t>
            </w:r>
            <w:r w:rsidR="009A03C0" w:rsidRPr="00402720">
              <w:rPr>
                <w:rFonts w:ascii="Times New Roman" w:hAnsi="Times New Roman" w:cs="Times New Roman"/>
                <w:i/>
                <w:lang w:val="de-DE"/>
              </w:rPr>
              <w:t xml:space="preserve"> </w:t>
            </w:r>
            <w:r w:rsidRPr="00402720">
              <w:rPr>
                <w:rFonts w:ascii="Times New Roman" w:hAnsi="Times New Roman" w:cs="Times New Roman"/>
                <w:i/>
                <w:lang w:val="de-DE"/>
              </w:rPr>
              <w:t>Infusionsreaktionen</w:t>
            </w:r>
            <w:r w:rsidRPr="00402720">
              <w:rPr>
                <w:rFonts w:ascii="Times New Roman" w:hAnsi="Times New Roman" w:cs="Times New Roman"/>
                <w:lang w:val="de-DE"/>
              </w:rPr>
              <w:t xml:space="preserve"> obenstehend)</w:t>
            </w:r>
            <w:r w:rsidR="000D1934">
              <w:rPr>
                <w:rFonts w:ascii="Times New Roman" w:hAnsi="Times New Roman" w:cs="Times New Roman"/>
                <w:lang w:val="de-DE"/>
              </w:rPr>
              <w:t>.</w:t>
            </w:r>
          </w:p>
          <w:p w14:paraId="7836FACB" w14:textId="77777777" w:rsidR="00537F24" w:rsidRDefault="00537F24" w:rsidP="00402720">
            <w:pPr>
              <w:keepNext/>
              <w:spacing w:after="0" w:line="240" w:lineRule="auto"/>
              <w:rPr>
                <w:rFonts w:ascii="Times New Roman" w:hAnsi="Times New Roman" w:cs="Times New Roman"/>
                <w:lang w:val="de-DE"/>
              </w:rPr>
            </w:pPr>
          </w:p>
          <w:p w14:paraId="43217806" w14:textId="6751D29C" w:rsidR="00537F24" w:rsidRPr="00402720" w:rsidRDefault="00537F24" w:rsidP="00402720">
            <w:pPr>
              <w:keepNext/>
              <w:spacing w:after="0" w:line="240" w:lineRule="auto"/>
              <w:rPr>
                <w:rFonts w:ascii="Times New Roman" w:hAnsi="Times New Roman" w:cs="Times New Roman"/>
                <w:lang w:val="de-DE"/>
              </w:rPr>
            </w:pPr>
            <w:r>
              <w:rPr>
                <w:rFonts w:ascii="Times New Roman" w:hAnsi="Times New Roman" w:cs="Times New Roman"/>
                <w:lang w:val="de-DE"/>
              </w:rPr>
              <w:t>Anaphylaktischer Schock (selten) (siehe auch Abschnitt</w:t>
            </w:r>
            <w:r w:rsidR="000D1934">
              <w:rPr>
                <w:rFonts w:ascii="Times New Roman" w:hAnsi="Times New Roman" w:cs="Times New Roman"/>
                <w:lang w:val="de-DE"/>
              </w:rPr>
              <w:t> </w:t>
            </w:r>
            <w:r>
              <w:rPr>
                <w:rFonts w:ascii="Times New Roman" w:hAnsi="Times New Roman" w:cs="Times New Roman"/>
                <w:lang w:val="de-DE"/>
              </w:rPr>
              <w:t>4.4)</w:t>
            </w:r>
          </w:p>
        </w:tc>
      </w:tr>
      <w:tr w:rsidR="008D5886" w:rsidRPr="00DA11F8" w14:paraId="328DDD51" w14:textId="77777777" w:rsidTr="00402720">
        <w:trPr>
          <w:trHeight w:val="20"/>
        </w:trPr>
        <w:tc>
          <w:tcPr>
            <w:tcW w:w="2689" w:type="dxa"/>
          </w:tcPr>
          <w:p w14:paraId="6CBEE5BC" w14:textId="77777777" w:rsidR="008D5886" w:rsidRPr="00402720" w:rsidRDefault="008D5886"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Erkrankungen des Nervensystems </w:t>
            </w:r>
          </w:p>
        </w:tc>
        <w:tc>
          <w:tcPr>
            <w:tcW w:w="6378" w:type="dxa"/>
          </w:tcPr>
          <w:p w14:paraId="728058B3" w14:textId="2E5721D5" w:rsidR="008D5886" w:rsidRPr="00402720" w:rsidRDefault="008D5886" w:rsidP="00402720">
            <w:pPr>
              <w:spacing w:after="0" w:line="240" w:lineRule="auto"/>
              <w:contextualSpacing/>
              <w:rPr>
                <w:rFonts w:ascii="Times New Roman" w:hAnsi="Times New Roman" w:cs="Times New Roman"/>
                <w:lang w:val="de-DE"/>
              </w:rPr>
            </w:pPr>
            <w:r w:rsidRPr="00402720">
              <w:rPr>
                <w:rFonts w:ascii="Times New Roman" w:hAnsi="Times New Roman" w:cs="Times New Roman"/>
                <w:lang w:val="de-DE"/>
              </w:rPr>
              <w:t>Hypertensive Enzephalopathie (sehr selten) (siehe Abschnitt</w:t>
            </w:r>
            <w:r w:rsidR="00C41775">
              <w:rPr>
                <w:rFonts w:ascii="Times New Roman" w:hAnsi="Times New Roman" w:cs="Times New Roman"/>
                <w:lang w:val="de-DE"/>
              </w:rPr>
              <w:t> </w:t>
            </w:r>
            <w:r w:rsidRPr="00402720">
              <w:rPr>
                <w:rFonts w:ascii="Times New Roman" w:hAnsi="Times New Roman" w:cs="Times New Roman"/>
                <w:lang w:val="de-DE"/>
              </w:rPr>
              <w:t xml:space="preserve">4.4 sowie </w:t>
            </w:r>
            <w:r w:rsidRPr="00402720">
              <w:rPr>
                <w:rFonts w:ascii="Times New Roman" w:hAnsi="Times New Roman" w:cs="Times New Roman"/>
                <w:i/>
                <w:lang w:val="de-DE"/>
              </w:rPr>
              <w:t>Hypertonie</w:t>
            </w:r>
            <w:r w:rsidRPr="00402720">
              <w:rPr>
                <w:rFonts w:ascii="Times New Roman" w:hAnsi="Times New Roman" w:cs="Times New Roman"/>
                <w:lang w:val="de-DE"/>
              </w:rPr>
              <w:t xml:space="preserve"> in Abschnitt</w:t>
            </w:r>
            <w:r w:rsidR="00C41775">
              <w:rPr>
                <w:rFonts w:ascii="Times New Roman" w:hAnsi="Times New Roman" w:cs="Times New Roman"/>
                <w:lang w:val="de-DE"/>
              </w:rPr>
              <w:t> </w:t>
            </w:r>
            <w:r w:rsidRPr="00402720">
              <w:rPr>
                <w:rFonts w:ascii="Times New Roman" w:hAnsi="Times New Roman" w:cs="Times New Roman"/>
                <w:lang w:val="de-DE"/>
              </w:rPr>
              <w:t>4.8)</w:t>
            </w:r>
          </w:p>
          <w:p w14:paraId="40D7D186" w14:textId="730F3F04" w:rsidR="008D5886" w:rsidRPr="00402720" w:rsidRDefault="008D5886" w:rsidP="00402720">
            <w:pPr>
              <w:spacing w:after="0" w:line="240" w:lineRule="auto"/>
              <w:contextualSpacing/>
              <w:rPr>
                <w:rFonts w:ascii="Times New Roman" w:hAnsi="Times New Roman" w:cs="Times New Roman"/>
                <w:lang w:val="de-DE"/>
              </w:rPr>
            </w:pPr>
            <w:r w:rsidRPr="00402720">
              <w:rPr>
                <w:rFonts w:ascii="Times New Roman" w:hAnsi="Times New Roman" w:cs="Times New Roman"/>
                <w:lang w:val="de-DE"/>
              </w:rPr>
              <w:t>Posteriores reversibles Enzephalopathie-Syndrom (PRES) (selten) (siehe Abschnitt</w:t>
            </w:r>
            <w:r w:rsidR="00C41775">
              <w:rPr>
                <w:rFonts w:ascii="Times New Roman" w:hAnsi="Times New Roman" w:cs="Times New Roman"/>
                <w:lang w:val="de-DE"/>
              </w:rPr>
              <w:t> </w:t>
            </w:r>
            <w:r w:rsidRPr="00402720">
              <w:rPr>
                <w:rFonts w:ascii="Times New Roman" w:hAnsi="Times New Roman" w:cs="Times New Roman"/>
                <w:lang w:val="de-DE"/>
              </w:rPr>
              <w:t>4.4)</w:t>
            </w:r>
          </w:p>
        </w:tc>
      </w:tr>
      <w:tr w:rsidR="008D5886" w:rsidRPr="00B83674" w14:paraId="2038F211" w14:textId="77777777" w:rsidTr="00402720">
        <w:trPr>
          <w:trHeight w:val="20"/>
        </w:trPr>
        <w:tc>
          <w:tcPr>
            <w:tcW w:w="2689" w:type="dxa"/>
          </w:tcPr>
          <w:p w14:paraId="07704BE3" w14:textId="77777777" w:rsidR="008D5886" w:rsidRPr="00402720" w:rsidRDefault="008D5886"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Gefäßerkrankungen </w:t>
            </w:r>
          </w:p>
        </w:tc>
        <w:tc>
          <w:tcPr>
            <w:tcW w:w="6378" w:type="dxa"/>
          </w:tcPr>
          <w:p w14:paraId="7A1C06AC" w14:textId="0A1D6F40" w:rsidR="008D5886" w:rsidRPr="00402720" w:rsidRDefault="008D5886"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Renale thrombotische Mikroangiopathie, die sich mit oder ohne gleichzeitige Anwendung von Sunitinib als Proteinurie klinisch manifestieren kann (nicht bekannt). Zu weiteren Informationen zur Proteinurie siehe Abschnitt</w:t>
            </w:r>
            <w:r w:rsidR="00C41775">
              <w:rPr>
                <w:rFonts w:ascii="Times New Roman" w:hAnsi="Times New Roman" w:cs="Times New Roman"/>
                <w:lang w:val="de-DE"/>
              </w:rPr>
              <w:t> </w:t>
            </w:r>
            <w:r w:rsidRPr="00402720">
              <w:rPr>
                <w:rFonts w:ascii="Times New Roman" w:hAnsi="Times New Roman" w:cs="Times New Roman"/>
                <w:lang w:val="de-DE"/>
              </w:rPr>
              <w:t xml:space="preserve">4.4 sowie </w:t>
            </w:r>
            <w:r w:rsidRPr="00402720">
              <w:rPr>
                <w:rFonts w:ascii="Times New Roman" w:hAnsi="Times New Roman" w:cs="Times New Roman"/>
                <w:i/>
                <w:lang w:val="de-DE"/>
              </w:rPr>
              <w:t>Proteinurie</w:t>
            </w:r>
            <w:r w:rsidRPr="00402720">
              <w:rPr>
                <w:rFonts w:ascii="Times New Roman" w:hAnsi="Times New Roman" w:cs="Times New Roman"/>
                <w:lang w:val="de-DE"/>
              </w:rPr>
              <w:t xml:space="preserve"> in Abschnitt</w:t>
            </w:r>
            <w:r w:rsidR="00C41775">
              <w:rPr>
                <w:rFonts w:ascii="Times New Roman" w:hAnsi="Times New Roman" w:cs="Times New Roman"/>
                <w:lang w:val="de-DE"/>
              </w:rPr>
              <w:t> </w:t>
            </w:r>
            <w:r w:rsidRPr="00402720">
              <w:rPr>
                <w:rFonts w:ascii="Times New Roman" w:hAnsi="Times New Roman" w:cs="Times New Roman"/>
                <w:lang w:val="de-DE"/>
              </w:rPr>
              <w:t>4.8</w:t>
            </w:r>
          </w:p>
        </w:tc>
      </w:tr>
      <w:tr w:rsidR="008D5886" w:rsidRPr="000D2587" w14:paraId="1F6C9638" w14:textId="77777777" w:rsidTr="00402720">
        <w:trPr>
          <w:trHeight w:val="20"/>
        </w:trPr>
        <w:tc>
          <w:tcPr>
            <w:tcW w:w="2689" w:type="dxa"/>
          </w:tcPr>
          <w:p w14:paraId="43AB3A23" w14:textId="77777777" w:rsidR="008D5886" w:rsidRPr="00402720" w:rsidRDefault="008D5886"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Erkrankungen der Atemwege, des Brustraums und Mediastinums</w:t>
            </w:r>
          </w:p>
        </w:tc>
        <w:tc>
          <w:tcPr>
            <w:tcW w:w="6378" w:type="dxa"/>
          </w:tcPr>
          <w:p w14:paraId="1AE220E4" w14:textId="77777777" w:rsidR="008D5886" w:rsidRPr="00402720" w:rsidRDefault="008D5886"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Perforation der Nasenscheidewand (nicht bekannt)</w:t>
            </w:r>
          </w:p>
          <w:p w14:paraId="70148BF0" w14:textId="77777777" w:rsidR="008D5886" w:rsidRPr="00402720" w:rsidRDefault="008D5886"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Pulmonale Hypertonie (nicht bekannt)</w:t>
            </w:r>
          </w:p>
          <w:p w14:paraId="5F497078" w14:textId="77777777" w:rsidR="008D5886" w:rsidRPr="00402720" w:rsidRDefault="008D5886"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Dysphonie (häufig)</w:t>
            </w:r>
          </w:p>
        </w:tc>
      </w:tr>
      <w:tr w:rsidR="008D5886" w:rsidRPr="002A434E" w14:paraId="4CCDBC30" w14:textId="77777777" w:rsidTr="00402720">
        <w:trPr>
          <w:trHeight w:val="20"/>
        </w:trPr>
        <w:tc>
          <w:tcPr>
            <w:tcW w:w="2689" w:type="dxa"/>
          </w:tcPr>
          <w:p w14:paraId="23CBA807" w14:textId="77777777" w:rsidR="008D5886" w:rsidRPr="00402720" w:rsidRDefault="008D5886"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Erkrankungen des Gastrointestinaltrakts </w:t>
            </w:r>
          </w:p>
        </w:tc>
        <w:tc>
          <w:tcPr>
            <w:tcW w:w="6378" w:type="dxa"/>
          </w:tcPr>
          <w:p w14:paraId="56F9EB89" w14:textId="77777777" w:rsidR="008D5886" w:rsidRPr="00402720" w:rsidRDefault="008D5886"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Magen-Darm-Ulzera (nicht bekannt)</w:t>
            </w:r>
          </w:p>
        </w:tc>
      </w:tr>
      <w:tr w:rsidR="008D5886" w:rsidRPr="00402720" w14:paraId="62A962AF" w14:textId="77777777" w:rsidTr="00402720">
        <w:trPr>
          <w:trHeight w:val="20"/>
        </w:trPr>
        <w:tc>
          <w:tcPr>
            <w:tcW w:w="2689" w:type="dxa"/>
          </w:tcPr>
          <w:p w14:paraId="0BB959FA" w14:textId="77777777" w:rsidR="008D5886" w:rsidRPr="00402720" w:rsidRDefault="008D5886"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Leber- und Gallenerkrankungen </w:t>
            </w:r>
          </w:p>
        </w:tc>
        <w:tc>
          <w:tcPr>
            <w:tcW w:w="6378" w:type="dxa"/>
          </w:tcPr>
          <w:p w14:paraId="60BD8BCF" w14:textId="77777777" w:rsidR="008D5886" w:rsidRPr="00402720" w:rsidRDefault="008D5886"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Gallenblasenperforation (nicht bekannt)</w:t>
            </w:r>
          </w:p>
        </w:tc>
      </w:tr>
      <w:tr w:rsidR="008D5886" w:rsidRPr="002A434E" w14:paraId="5BAD4E5E" w14:textId="77777777" w:rsidTr="00402720">
        <w:trPr>
          <w:trHeight w:val="20"/>
        </w:trPr>
        <w:tc>
          <w:tcPr>
            <w:tcW w:w="2689" w:type="dxa"/>
            <w:vMerge w:val="restart"/>
          </w:tcPr>
          <w:p w14:paraId="173BAF4A" w14:textId="77777777" w:rsidR="008D5886" w:rsidRPr="00402720" w:rsidRDefault="008D5886"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Skelettmuskulatur-, Bindegewebs- und Knochenerkrankungen </w:t>
            </w:r>
          </w:p>
        </w:tc>
        <w:tc>
          <w:tcPr>
            <w:tcW w:w="6378" w:type="dxa"/>
          </w:tcPr>
          <w:p w14:paraId="67C069F2" w14:textId="40F5FB98" w:rsidR="008D5886" w:rsidRPr="00402720" w:rsidRDefault="008D5886"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Fälle von Kiefernekrosen wurden bei Patienten unter Behandlung mit </w:t>
            </w:r>
            <w:r w:rsidR="004C438C" w:rsidRPr="00402720">
              <w:rPr>
                <w:rFonts w:ascii="Times New Roman" w:hAnsi="Times New Roman" w:cs="Times New Roman"/>
                <w:lang w:val="de-DE"/>
              </w:rPr>
              <w:t>Bevacizumab</w:t>
            </w:r>
            <w:r w:rsidRPr="00402720">
              <w:rPr>
                <w:rFonts w:ascii="Times New Roman" w:hAnsi="Times New Roman" w:cs="Times New Roman"/>
                <w:lang w:val="de-DE"/>
              </w:rPr>
              <w:t xml:space="preserve"> berichtet. Die meisten dieser Fälle traten bei Patienten mit bekannten Risikofaktoren für die Entstehung einer Kiefernekrose auf, darunter insbesondere die intravenöse Anwendung von Bisphosphonaten und/oder Zahnerkrankungen in der Anamnese, die invasive zahnärztliche Eingriffe erfordert hatten (siehe Abschnitt</w:t>
            </w:r>
            <w:r w:rsidR="00C41775">
              <w:rPr>
                <w:rFonts w:ascii="Times New Roman" w:hAnsi="Times New Roman" w:cs="Times New Roman"/>
                <w:lang w:val="de-DE"/>
              </w:rPr>
              <w:t> </w:t>
            </w:r>
            <w:r w:rsidRPr="00402720">
              <w:rPr>
                <w:rFonts w:ascii="Times New Roman" w:hAnsi="Times New Roman" w:cs="Times New Roman"/>
                <w:lang w:val="de-DE"/>
              </w:rPr>
              <w:t>4.4)</w:t>
            </w:r>
          </w:p>
        </w:tc>
      </w:tr>
      <w:tr w:rsidR="00AF337C" w:rsidRPr="002A434E" w14:paraId="0CFDE0CD" w14:textId="77777777" w:rsidTr="00402720">
        <w:trPr>
          <w:trHeight w:val="20"/>
        </w:trPr>
        <w:tc>
          <w:tcPr>
            <w:tcW w:w="2689" w:type="dxa"/>
            <w:vMerge/>
          </w:tcPr>
          <w:p w14:paraId="22A443BE" w14:textId="77777777" w:rsidR="00AF337C" w:rsidRPr="00402720" w:rsidRDefault="00AF337C" w:rsidP="00402720">
            <w:pPr>
              <w:suppressAutoHyphens/>
              <w:autoSpaceDE w:val="0"/>
              <w:autoSpaceDN w:val="0"/>
              <w:adjustRightInd w:val="0"/>
              <w:spacing w:after="0" w:line="240" w:lineRule="auto"/>
              <w:rPr>
                <w:rFonts w:ascii="Times New Roman" w:hAnsi="Times New Roman" w:cs="Times New Roman"/>
                <w:iCs/>
                <w:color w:val="000000"/>
                <w:lang w:val="de-DE"/>
              </w:rPr>
            </w:pPr>
          </w:p>
        </w:tc>
        <w:tc>
          <w:tcPr>
            <w:tcW w:w="6378" w:type="dxa"/>
          </w:tcPr>
          <w:p w14:paraId="12C79077" w14:textId="37C1BE00" w:rsidR="00AF337C" w:rsidRPr="00402720" w:rsidRDefault="008D5886" w:rsidP="00402720">
            <w:pPr>
              <w:suppressAutoHyphens/>
              <w:autoSpaceDE w:val="0"/>
              <w:autoSpaceDN w:val="0"/>
              <w:adjustRightInd w:val="0"/>
              <w:spacing w:after="0" w:line="240" w:lineRule="auto"/>
              <w:rPr>
                <w:rFonts w:ascii="Times New Roman" w:hAnsi="Times New Roman" w:cs="Times New Roman"/>
                <w:color w:val="000000"/>
                <w:lang w:val="de-DE"/>
              </w:rPr>
            </w:pPr>
            <w:r w:rsidRPr="00402720">
              <w:rPr>
                <w:rFonts w:ascii="Times New Roman" w:hAnsi="Times New Roman" w:cs="Times New Roman"/>
                <w:color w:val="000000"/>
                <w:lang w:val="de-DE"/>
              </w:rPr>
              <w:t xml:space="preserve">Bei Kindern und Jugendlichen, die mit </w:t>
            </w:r>
            <w:r w:rsidR="004C438C" w:rsidRPr="00402720">
              <w:rPr>
                <w:rFonts w:ascii="Times New Roman" w:hAnsi="Times New Roman" w:cs="Times New Roman"/>
                <w:color w:val="000000"/>
                <w:lang w:val="de-DE"/>
              </w:rPr>
              <w:t>Bevacizumab</w:t>
            </w:r>
            <w:r w:rsidRPr="00402720">
              <w:rPr>
                <w:rFonts w:ascii="Times New Roman" w:hAnsi="Times New Roman" w:cs="Times New Roman"/>
                <w:color w:val="000000"/>
                <w:lang w:val="de-DE"/>
              </w:rPr>
              <w:t xml:space="preserve"> behandelt wurden, sind Fälle von nicht-mandibulärer Osteonekrose berichtet worden (siehe Abschnitt</w:t>
            </w:r>
            <w:r w:rsidR="00C41775">
              <w:rPr>
                <w:rFonts w:ascii="Times New Roman" w:hAnsi="Times New Roman" w:cs="Times New Roman"/>
                <w:color w:val="000000"/>
                <w:lang w:val="de-DE"/>
              </w:rPr>
              <w:t> </w:t>
            </w:r>
            <w:r w:rsidRPr="00402720">
              <w:rPr>
                <w:rFonts w:ascii="Times New Roman" w:hAnsi="Times New Roman" w:cs="Times New Roman"/>
                <w:color w:val="000000"/>
                <w:lang w:val="de-DE"/>
              </w:rPr>
              <w:t>4.8, Kinder und Jugendliche)</w:t>
            </w:r>
          </w:p>
        </w:tc>
      </w:tr>
      <w:tr w:rsidR="00AF337C" w:rsidRPr="002A434E" w14:paraId="65D0B509" w14:textId="77777777" w:rsidTr="00402720">
        <w:trPr>
          <w:trHeight w:val="20"/>
        </w:trPr>
        <w:tc>
          <w:tcPr>
            <w:tcW w:w="2689" w:type="dxa"/>
          </w:tcPr>
          <w:p w14:paraId="02A5DB76" w14:textId="77777777" w:rsidR="00AF337C" w:rsidRPr="00402720" w:rsidRDefault="008D5886" w:rsidP="00402720">
            <w:pPr>
              <w:suppressAutoHyphens/>
              <w:autoSpaceDE w:val="0"/>
              <w:autoSpaceDN w:val="0"/>
              <w:adjustRightInd w:val="0"/>
              <w:spacing w:after="0" w:line="240" w:lineRule="auto"/>
              <w:rPr>
                <w:rFonts w:ascii="Times New Roman" w:hAnsi="Times New Roman" w:cs="Times New Roman"/>
                <w:iCs/>
                <w:color w:val="000000"/>
                <w:lang w:val="de-DE"/>
              </w:rPr>
            </w:pPr>
            <w:r w:rsidRPr="00402720">
              <w:rPr>
                <w:rFonts w:ascii="Times New Roman" w:hAnsi="Times New Roman" w:cs="Times New Roman"/>
                <w:iCs/>
                <w:color w:val="000000"/>
                <w:lang w:val="de-DE"/>
              </w:rPr>
              <w:t>Kongenitale, familiäre und genetische Erkrankungen</w:t>
            </w:r>
          </w:p>
        </w:tc>
        <w:tc>
          <w:tcPr>
            <w:tcW w:w="6378" w:type="dxa"/>
          </w:tcPr>
          <w:p w14:paraId="2FE1002E" w14:textId="1EA2E04A" w:rsidR="00AF337C" w:rsidRPr="00402720" w:rsidRDefault="008D5886" w:rsidP="00402720">
            <w:pPr>
              <w:suppressAutoHyphens/>
              <w:autoSpaceDE w:val="0"/>
              <w:autoSpaceDN w:val="0"/>
              <w:adjustRightInd w:val="0"/>
              <w:spacing w:after="0" w:line="240" w:lineRule="auto"/>
              <w:rPr>
                <w:rFonts w:ascii="Times New Roman" w:hAnsi="Times New Roman" w:cs="Times New Roman"/>
                <w:color w:val="000000"/>
                <w:lang w:val="de-DE"/>
              </w:rPr>
            </w:pPr>
            <w:r w:rsidRPr="00402720">
              <w:rPr>
                <w:rFonts w:ascii="Times New Roman" w:hAnsi="Times New Roman" w:cs="Times New Roman"/>
                <w:color w:val="000000"/>
                <w:lang w:val="de-DE"/>
              </w:rPr>
              <w:t>Fälle von fetalen Anomalien wurden bei Frauen beobachtet, die mit Bevacizumab allein oder in Kombination mit bekannt</w:t>
            </w:r>
            <w:r w:rsidR="00742397" w:rsidRPr="00402720">
              <w:rPr>
                <w:rFonts w:ascii="Times New Roman" w:hAnsi="Times New Roman" w:cs="Times New Roman"/>
                <w:color w:val="000000"/>
                <w:lang w:val="de-DE"/>
              </w:rPr>
              <w:t>en</w:t>
            </w:r>
            <w:r w:rsidRPr="00402720">
              <w:rPr>
                <w:rFonts w:ascii="Times New Roman" w:hAnsi="Times New Roman" w:cs="Times New Roman"/>
                <w:color w:val="000000"/>
                <w:lang w:val="de-DE"/>
              </w:rPr>
              <w:t xml:space="preserve"> embryotoxischen Chemotherapeutika behandelt wurden (siehe Abschnitt</w:t>
            </w:r>
            <w:r w:rsidR="00C41775">
              <w:rPr>
                <w:rFonts w:ascii="Times New Roman" w:hAnsi="Times New Roman" w:cs="Times New Roman"/>
                <w:color w:val="000000"/>
                <w:lang w:val="de-DE"/>
              </w:rPr>
              <w:t> </w:t>
            </w:r>
            <w:r w:rsidRPr="00402720">
              <w:rPr>
                <w:rFonts w:ascii="Times New Roman" w:hAnsi="Times New Roman" w:cs="Times New Roman"/>
                <w:color w:val="000000"/>
                <w:lang w:val="de-DE"/>
              </w:rPr>
              <w:t>4.6)</w:t>
            </w:r>
          </w:p>
        </w:tc>
      </w:tr>
    </w:tbl>
    <w:p w14:paraId="12BE0053" w14:textId="77777777" w:rsidR="00AF337C" w:rsidRPr="009737B5" w:rsidRDefault="00AF337C" w:rsidP="008D5886">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lang w:val="de-DE"/>
        </w:rPr>
        <w:t>*</w:t>
      </w:r>
      <w:r w:rsidRPr="009737B5">
        <w:rPr>
          <w:rFonts w:ascii="Times New Roman" w:hAnsi="Times New Roman" w:cs="Times New Roman"/>
          <w:sz w:val="20"/>
          <w:szCs w:val="20"/>
          <w:lang w:val="de-DE"/>
        </w:rPr>
        <w:tab/>
        <w:t>Angegebene Häufigkeiten wurden aus den Daten klinischer Studien abgeleitet.</w:t>
      </w:r>
    </w:p>
    <w:p w14:paraId="1E1F32C4" w14:textId="77777777" w:rsidR="00AF337C" w:rsidRPr="009737B5" w:rsidRDefault="00AF337C" w:rsidP="005F4D08">
      <w:pPr>
        <w:suppressAutoHyphens/>
        <w:spacing w:after="0" w:line="240" w:lineRule="auto"/>
        <w:rPr>
          <w:rFonts w:ascii="Times New Roman" w:hAnsi="Times New Roman" w:cs="Times New Roman"/>
          <w:lang w:val="de-DE"/>
        </w:rPr>
      </w:pPr>
    </w:p>
    <w:p w14:paraId="2DEB4F0A" w14:textId="77777777" w:rsidR="00AF337C" w:rsidRPr="009737B5" w:rsidRDefault="00AF337C" w:rsidP="0021062D">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Meldung des Verdachts auf Nebenwirkungen</w:t>
      </w:r>
    </w:p>
    <w:p w14:paraId="3743F133" w14:textId="77777777" w:rsidR="0021062D" w:rsidRPr="009737B5" w:rsidRDefault="0021062D" w:rsidP="0021062D">
      <w:pPr>
        <w:keepNext/>
        <w:suppressAutoHyphens/>
        <w:spacing w:after="0" w:line="240" w:lineRule="auto"/>
        <w:rPr>
          <w:rFonts w:ascii="Times New Roman" w:hAnsi="Times New Roman" w:cs="Times New Roman"/>
          <w:lang w:val="de-DE"/>
        </w:rPr>
      </w:pPr>
    </w:p>
    <w:p w14:paraId="4488FEB4"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00D645FA">
        <w:rPr>
          <w:rFonts w:ascii="Times New Roman" w:eastAsia="Times New Roman" w:hAnsi="Times New Roman" w:cs="Times New Roman"/>
          <w:szCs w:val="20"/>
          <w:highlight w:val="lightGray"/>
          <w:lang w:val="de-DE" w:eastAsia="de-DE" w:bidi="de-DE"/>
        </w:rPr>
        <w:t xml:space="preserve">das in </w:t>
      </w:r>
      <w:r w:rsidR="00D645FA">
        <w:fldChar w:fldCharType="begin"/>
      </w:r>
      <w:r w:rsidR="00D645FA" w:rsidRPr="000D2587">
        <w:rPr>
          <w:lang w:val="de-DE"/>
          <w:rPrChange w:id="0" w:author="Author">
            <w:rPr/>
          </w:rPrChange>
        </w:rPr>
        <w:instrText>HYPERLINK "http://www.ema.europa.eu/docs/en_GB/document_library/Template_or_form/2013/03/WC500139752.doc" \h</w:instrText>
      </w:r>
      <w:r w:rsidR="00D645FA">
        <w:fldChar w:fldCharType="separate"/>
      </w:r>
      <w:r w:rsidR="00D645FA">
        <w:rPr>
          <w:rFonts w:ascii="Times New Roman" w:eastAsia="Times New Roman" w:hAnsi="Times New Roman" w:cs="Times New Roman"/>
          <w:color w:val="0000FF"/>
          <w:szCs w:val="20"/>
          <w:highlight w:val="lightGray"/>
          <w:u w:val="single"/>
          <w:lang w:val="de-DE" w:eastAsia="de-DE" w:bidi="de-DE"/>
        </w:rPr>
        <w:t>Anhang V</w:t>
      </w:r>
      <w:r w:rsidR="00D645FA">
        <w:fldChar w:fldCharType="end"/>
      </w:r>
      <w:r w:rsidR="00D645FA">
        <w:rPr>
          <w:rFonts w:ascii="Times New Roman" w:eastAsia="Times New Roman" w:hAnsi="Times New Roman" w:cs="Times New Roman"/>
          <w:szCs w:val="20"/>
          <w:highlight w:val="lightGray"/>
          <w:lang w:val="de-DE" w:eastAsia="de-DE" w:bidi="de-DE"/>
        </w:rPr>
        <w:t xml:space="preserve"> aufgeführte nationale Meldesystem</w:t>
      </w:r>
      <w:r w:rsidRPr="009737B5">
        <w:rPr>
          <w:rFonts w:ascii="Times New Roman" w:hAnsi="Times New Roman" w:cs="Times New Roman"/>
          <w:lang w:val="de-DE"/>
        </w:rPr>
        <w:t xml:space="preserve"> anzuzeigen.</w:t>
      </w:r>
    </w:p>
    <w:p w14:paraId="56A01CAD" w14:textId="77777777" w:rsidR="00AF337C" w:rsidRPr="009737B5" w:rsidRDefault="00AF337C" w:rsidP="005F4D08">
      <w:pPr>
        <w:suppressAutoHyphens/>
        <w:spacing w:after="0" w:line="240" w:lineRule="auto"/>
        <w:rPr>
          <w:rFonts w:ascii="Times New Roman" w:hAnsi="Times New Roman" w:cs="Times New Roman"/>
          <w:lang w:val="de-DE"/>
        </w:rPr>
      </w:pPr>
    </w:p>
    <w:p w14:paraId="5778F828" w14:textId="77777777" w:rsidR="00AF337C" w:rsidRPr="009737B5" w:rsidRDefault="00AF337C" w:rsidP="0021062D">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lastRenderedPageBreak/>
        <w:t>4.9</w:t>
      </w:r>
      <w:r w:rsidR="008D5886" w:rsidRPr="009737B5">
        <w:rPr>
          <w:rFonts w:ascii="Times New Roman" w:hAnsi="Times New Roman" w:cs="Times New Roman"/>
          <w:b/>
          <w:lang w:val="de-DE"/>
        </w:rPr>
        <w:tab/>
      </w:r>
      <w:r w:rsidRPr="009737B5">
        <w:rPr>
          <w:rFonts w:ascii="Times New Roman" w:hAnsi="Times New Roman" w:cs="Times New Roman"/>
          <w:b/>
          <w:lang w:val="de-DE"/>
        </w:rPr>
        <w:t>Überdosierung</w:t>
      </w:r>
    </w:p>
    <w:p w14:paraId="56D4F22B" w14:textId="77777777" w:rsidR="00AF337C" w:rsidRPr="009737B5" w:rsidRDefault="00AF337C" w:rsidP="0021062D">
      <w:pPr>
        <w:keepNext/>
        <w:suppressAutoHyphens/>
        <w:spacing w:after="0" w:line="240" w:lineRule="auto"/>
        <w:rPr>
          <w:rFonts w:ascii="Times New Roman" w:hAnsi="Times New Roman" w:cs="Times New Roman"/>
          <w:lang w:val="de-DE"/>
        </w:rPr>
      </w:pPr>
    </w:p>
    <w:p w14:paraId="425B3B14" w14:textId="69834C00"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höchste beim Menschen geprüfte Dosis (20</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i.v. alle 2</w:t>
      </w:r>
      <w:r w:rsidR="00C41775">
        <w:rPr>
          <w:rFonts w:ascii="Times New Roman" w:hAnsi="Times New Roman" w:cs="Times New Roman"/>
          <w:lang w:val="de-DE"/>
        </w:rPr>
        <w:t> </w:t>
      </w:r>
      <w:r w:rsidRPr="009737B5">
        <w:rPr>
          <w:rFonts w:ascii="Times New Roman" w:hAnsi="Times New Roman" w:cs="Times New Roman"/>
          <w:lang w:val="de-DE"/>
        </w:rPr>
        <w:t>Wochen) führte bei mehreren Patienten zu schwerer Migräne.</w:t>
      </w:r>
    </w:p>
    <w:p w14:paraId="40F657D7" w14:textId="77777777" w:rsidR="00AF337C" w:rsidRPr="009737B5" w:rsidRDefault="00AF337C" w:rsidP="005F4D08">
      <w:pPr>
        <w:suppressAutoHyphens/>
        <w:spacing w:after="0" w:line="240" w:lineRule="auto"/>
        <w:rPr>
          <w:rFonts w:ascii="Times New Roman" w:hAnsi="Times New Roman" w:cs="Times New Roman"/>
          <w:lang w:val="de-DE"/>
        </w:rPr>
      </w:pPr>
    </w:p>
    <w:p w14:paraId="4594AA52" w14:textId="77777777" w:rsidR="00AF337C" w:rsidRPr="009737B5" w:rsidRDefault="00AF337C" w:rsidP="005F4D08">
      <w:pPr>
        <w:suppressAutoHyphens/>
        <w:spacing w:after="0" w:line="240" w:lineRule="auto"/>
        <w:rPr>
          <w:rFonts w:ascii="Times New Roman" w:hAnsi="Times New Roman" w:cs="Times New Roman"/>
          <w:lang w:val="de-DE"/>
        </w:rPr>
      </w:pPr>
    </w:p>
    <w:p w14:paraId="7356F61C" w14:textId="77777777" w:rsidR="00AF337C" w:rsidRPr="009737B5" w:rsidRDefault="00AF337C" w:rsidP="0021062D">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5.</w:t>
      </w:r>
      <w:r w:rsidRPr="009737B5">
        <w:rPr>
          <w:rFonts w:ascii="Times New Roman" w:hAnsi="Times New Roman" w:cs="Times New Roman"/>
          <w:b/>
          <w:lang w:val="de-DE"/>
        </w:rPr>
        <w:tab/>
        <w:t>PHARMAKOLOGISCHE EIGENSCHAFTEN</w:t>
      </w:r>
    </w:p>
    <w:p w14:paraId="6A2C86B5" w14:textId="77777777" w:rsidR="008D5886" w:rsidRPr="009737B5" w:rsidRDefault="008D5886" w:rsidP="0021062D">
      <w:pPr>
        <w:keepNext/>
        <w:suppressAutoHyphens/>
        <w:spacing w:after="0" w:line="240" w:lineRule="auto"/>
        <w:rPr>
          <w:rFonts w:ascii="Times New Roman" w:hAnsi="Times New Roman" w:cs="Times New Roman"/>
          <w:lang w:val="de-DE"/>
        </w:rPr>
      </w:pPr>
    </w:p>
    <w:p w14:paraId="4938B561" w14:textId="77777777" w:rsidR="00AF337C" w:rsidRPr="009737B5" w:rsidRDefault="00AF337C" w:rsidP="0021062D">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5.1</w:t>
      </w:r>
      <w:r w:rsidRPr="009737B5">
        <w:rPr>
          <w:rFonts w:ascii="Times New Roman" w:hAnsi="Times New Roman" w:cs="Times New Roman"/>
          <w:b/>
          <w:lang w:val="de-DE"/>
        </w:rPr>
        <w:tab/>
        <w:t>Pharmakodynamische Eigenschaften</w:t>
      </w:r>
    </w:p>
    <w:p w14:paraId="1F932C19" w14:textId="77777777" w:rsidR="00AF337C" w:rsidRPr="009737B5" w:rsidRDefault="00AF337C" w:rsidP="0021062D">
      <w:pPr>
        <w:keepNext/>
        <w:suppressAutoHyphens/>
        <w:spacing w:after="0" w:line="240" w:lineRule="auto"/>
        <w:rPr>
          <w:rFonts w:ascii="Times New Roman" w:hAnsi="Times New Roman" w:cs="Times New Roman"/>
          <w:lang w:val="de-DE"/>
        </w:rPr>
      </w:pPr>
    </w:p>
    <w:p w14:paraId="6C0F7719" w14:textId="0EDD3ABC"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Pharmakotherapeutische Gruppe: Antineoplastische und immunmodulierende Mittel, antineoplastische Mittel, monoklonale Antikörper</w:t>
      </w:r>
      <w:r w:rsidR="00F92E3E">
        <w:rPr>
          <w:rFonts w:ascii="Times New Roman" w:hAnsi="Times New Roman" w:cs="Times New Roman"/>
          <w:lang w:val="de-DE"/>
        </w:rPr>
        <w:t xml:space="preserve"> und </w:t>
      </w:r>
      <w:r w:rsidR="00892181" w:rsidRPr="00892181">
        <w:rPr>
          <w:rFonts w:ascii="Times New Roman" w:hAnsi="Times New Roman" w:cs="Times New Roman"/>
          <w:lang w:val="de-DE"/>
        </w:rPr>
        <w:t>Antikörper-Wirkstoff-Konjugat</w:t>
      </w:r>
      <w:r w:rsidR="00892181">
        <w:rPr>
          <w:rFonts w:ascii="Times New Roman" w:hAnsi="Times New Roman" w:cs="Times New Roman"/>
          <w:lang w:val="de-DE"/>
        </w:rPr>
        <w:t>e</w:t>
      </w:r>
      <w:r w:rsidRPr="009737B5">
        <w:rPr>
          <w:rFonts w:ascii="Times New Roman" w:hAnsi="Times New Roman" w:cs="Times New Roman"/>
          <w:lang w:val="de-DE"/>
        </w:rPr>
        <w:t>, ATC-Code: L01</w:t>
      </w:r>
      <w:r w:rsidR="00F92E3E">
        <w:rPr>
          <w:rFonts w:ascii="Times New Roman" w:hAnsi="Times New Roman" w:cs="Times New Roman"/>
          <w:lang w:val="de-DE"/>
        </w:rPr>
        <w:t>FG01</w:t>
      </w:r>
      <w:r w:rsidR="0021062D" w:rsidRPr="009737B5">
        <w:rPr>
          <w:rFonts w:ascii="Times New Roman" w:hAnsi="Times New Roman" w:cs="Times New Roman"/>
          <w:lang w:val="de-DE"/>
        </w:rPr>
        <w:t>.</w:t>
      </w:r>
    </w:p>
    <w:p w14:paraId="2858E6E1" w14:textId="77777777" w:rsidR="00AF337C" w:rsidRPr="009737B5" w:rsidRDefault="00AF337C" w:rsidP="005F4D08">
      <w:pPr>
        <w:suppressAutoHyphens/>
        <w:spacing w:after="0" w:line="240" w:lineRule="auto"/>
        <w:rPr>
          <w:rFonts w:ascii="Times New Roman" w:hAnsi="Times New Roman" w:cs="Times New Roman"/>
          <w:lang w:val="de-DE"/>
        </w:rPr>
      </w:pPr>
    </w:p>
    <w:p w14:paraId="759E15AF" w14:textId="3D986703" w:rsidR="00A15C0A"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235769" w:rsidRPr="00235769">
        <w:rPr>
          <w:rFonts w:ascii="Times New Roman" w:eastAsia="Times New Roman" w:hAnsi="Times New Roman" w:cs="Times New Roman"/>
          <w:szCs w:val="20"/>
          <w:lang w:val="de-DE" w:eastAsia="de-DE" w:bidi="de-DE"/>
        </w:rPr>
        <w:t xml:space="preserve"> ist ein biologisch / biotechnologisch hergestelltes Arzneimittel, das im Wesentlichen einem bereits zugelassenen Arzneimittel gleicht</w:t>
      </w:r>
      <w:r w:rsidR="00A15C0A" w:rsidRPr="009737B5">
        <w:rPr>
          <w:rFonts w:ascii="Times New Roman" w:hAnsi="Times New Roman" w:cs="Times New Roman"/>
          <w:lang w:val="de-DE"/>
        </w:rPr>
        <w:t xml:space="preserve">. Ausführliche Informationen sind auf den Internetseiten der Europäischen Arzneimittel-Agentur </w:t>
      </w:r>
      <w:hyperlink r:id="rId10" w:history="1">
        <w:r w:rsidR="000901A6" w:rsidRPr="000901A6">
          <w:rPr>
            <w:rStyle w:val="Hyperlink"/>
            <w:rFonts w:ascii="Times New Roman" w:hAnsi="Times New Roman" w:cs="Times New Roman"/>
            <w:noProof/>
            <w:lang w:val="sv-SE"/>
          </w:rPr>
          <w:t>http://www.ema.europa.eu</w:t>
        </w:r>
      </w:hyperlink>
      <w:r w:rsidR="000901A6">
        <w:rPr>
          <w:rFonts w:ascii="Times New Roman" w:hAnsi="Times New Roman" w:cs="Times New Roman"/>
          <w:lang w:val="de-DE"/>
        </w:rPr>
        <w:t xml:space="preserve"> </w:t>
      </w:r>
      <w:r w:rsidR="00A15C0A" w:rsidRPr="009737B5">
        <w:rPr>
          <w:rFonts w:ascii="Times New Roman" w:hAnsi="Times New Roman" w:cs="Times New Roman"/>
          <w:lang w:val="de-DE"/>
        </w:rPr>
        <w:t>verfügbar.</w:t>
      </w:r>
    </w:p>
    <w:p w14:paraId="4CB2D382" w14:textId="77777777" w:rsidR="00A15C0A" w:rsidRPr="009737B5" w:rsidRDefault="00A15C0A" w:rsidP="0021062D">
      <w:pPr>
        <w:keepNext/>
        <w:suppressAutoHyphens/>
        <w:spacing w:after="0" w:line="240" w:lineRule="auto"/>
        <w:rPr>
          <w:rFonts w:ascii="Times New Roman" w:hAnsi="Times New Roman" w:cs="Times New Roman"/>
          <w:u w:val="single"/>
          <w:lang w:val="de-DE"/>
        </w:rPr>
      </w:pPr>
    </w:p>
    <w:p w14:paraId="036902AA" w14:textId="77777777" w:rsidR="00AF337C" w:rsidRPr="009737B5" w:rsidRDefault="00AF337C" w:rsidP="0021062D">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Wirkmechanismus</w:t>
      </w:r>
    </w:p>
    <w:p w14:paraId="6E97DE77" w14:textId="77777777" w:rsidR="0021062D" w:rsidRPr="009737B5" w:rsidRDefault="0021062D" w:rsidP="0021062D">
      <w:pPr>
        <w:keepNext/>
        <w:suppressAutoHyphens/>
        <w:spacing w:after="0" w:line="240" w:lineRule="auto"/>
        <w:rPr>
          <w:rFonts w:ascii="Times New Roman" w:hAnsi="Times New Roman" w:cs="Times New Roman"/>
          <w:lang w:val="de-DE"/>
        </w:rPr>
      </w:pPr>
    </w:p>
    <w:p w14:paraId="533E6999"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Bevacizumab bindet an den Gefäßwachstumsfaktor VEGF (</w:t>
      </w:r>
      <w:r w:rsidRPr="009737B5">
        <w:rPr>
          <w:rFonts w:ascii="Times New Roman" w:hAnsi="Times New Roman" w:cs="Times New Roman"/>
          <w:i/>
          <w:lang w:val="de-DE"/>
        </w:rPr>
        <w:t>vascular endothelial growth factor</w:t>
      </w:r>
      <w:r w:rsidRPr="009737B5">
        <w:rPr>
          <w:rFonts w:ascii="Times New Roman" w:hAnsi="Times New Roman" w:cs="Times New Roman"/>
          <w:lang w:val="de-DE"/>
        </w:rPr>
        <w:t>), den Schlüsselfaktor der Vaskulogenese und Angiogenese, und hemmt dadurch die Bindung von VEGF an seine Rezeptoren, Flt-1 (VEGFR-1) und KDR (VEGFR-2) auf der Oberfläche von Endothelzellen. Die Neutralisierung der biologischen Aktivität von VEGF reduziert die Vaskularisierung von Tumoren, normalisiert das vorhandene Tumorgefäßsystem und hemmt die Bildung neuer Tumorgefäßsysteme, wodurch das Tumorwachstum gehemmt wird.</w:t>
      </w:r>
    </w:p>
    <w:p w14:paraId="1C6601DA" w14:textId="77777777" w:rsidR="00AF337C" w:rsidRPr="009737B5" w:rsidRDefault="00AF337C" w:rsidP="005F4D08">
      <w:pPr>
        <w:suppressAutoHyphens/>
        <w:spacing w:after="0" w:line="240" w:lineRule="auto"/>
        <w:rPr>
          <w:rFonts w:ascii="Times New Roman" w:hAnsi="Times New Roman" w:cs="Times New Roman"/>
          <w:lang w:val="de-DE"/>
        </w:rPr>
      </w:pPr>
    </w:p>
    <w:p w14:paraId="1061D7EC" w14:textId="77777777" w:rsidR="00AF337C" w:rsidRPr="009737B5" w:rsidRDefault="00AF337C" w:rsidP="0021062D">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Pharmakodynamische Wirkungen</w:t>
      </w:r>
    </w:p>
    <w:p w14:paraId="14A53667" w14:textId="77777777" w:rsidR="0021062D" w:rsidRPr="009737B5" w:rsidRDefault="0021062D" w:rsidP="0021062D">
      <w:pPr>
        <w:keepNext/>
        <w:suppressAutoHyphens/>
        <w:spacing w:after="0" w:line="240" w:lineRule="auto"/>
        <w:rPr>
          <w:rFonts w:ascii="Times New Roman" w:hAnsi="Times New Roman" w:cs="Times New Roman"/>
          <w:u w:val="single"/>
          <w:lang w:val="de-DE"/>
        </w:rPr>
      </w:pPr>
    </w:p>
    <w:p w14:paraId="2124D3B4"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Verabreichung von Bevacizumab oder seines parentalen Mausantikörpers in Xenotransplantat</w:t>
      </w:r>
      <w:r w:rsidR="00D92F70" w:rsidRPr="009737B5">
        <w:rPr>
          <w:rFonts w:ascii="Times New Roman" w:hAnsi="Times New Roman" w:cs="Times New Roman"/>
          <w:lang w:val="de-DE"/>
        </w:rPr>
        <w:t>-</w:t>
      </w:r>
      <w:r w:rsidRPr="009737B5">
        <w:rPr>
          <w:rFonts w:ascii="Times New Roman" w:hAnsi="Times New Roman" w:cs="Times New Roman"/>
          <w:lang w:val="de-DE"/>
        </w:rPr>
        <w:t>Modellen von Krebs in Nacktmäusen führte zu einer ausgeprägten antitumoralen Aktivität gegen menschliche Krebsarten, einschließlich Kolon-, Brust-, Pankreas- und Prostatakrebs. Die Progression der metastasierten Erkrankung wurde gehemmt und die mikrovaskuläre Permeabilität reduziert.</w:t>
      </w:r>
    </w:p>
    <w:p w14:paraId="1CDA6268" w14:textId="77777777" w:rsidR="00AF337C" w:rsidRPr="009737B5" w:rsidRDefault="00AF337C" w:rsidP="005F4D08">
      <w:pPr>
        <w:suppressAutoHyphens/>
        <w:spacing w:after="0" w:line="240" w:lineRule="auto"/>
        <w:rPr>
          <w:rFonts w:ascii="Times New Roman" w:hAnsi="Times New Roman" w:cs="Times New Roman"/>
          <w:lang w:val="de-DE"/>
        </w:rPr>
      </w:pPr>
    </w:p>
    <w:p w14:paraId="00FDE43C" w14:textId="77777777" w:rsidR="00AF337C" w:rsidRPr="009737B5" w:rsidRDefault="00AF337C" w:rsidP="0021062D">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Klinische Wirksamkeit</w:t>
      </w:r>
      <w:r w:rsidR="00A15C0A" w:rsidRPr="009737B5">
        <w:rPr>
          <w:rFonts w:ascii="Times New Roman" w:hAnsi="Times New Roman" w:cs="Times New Roman"/>
          <w:u w:val="single"/>
          <w:lang w:val="de-DE"/>
        </w:rPr>
        <w:t xml:space="preserve"> und Sicherheit</w:t>
      </w:r>
    </w:p>
    <w:p w14:paraId="27298AF8" w14:textId="77777777" w:rsidR="00AF337C" w:rsidRPr="009737B5" w:rsidRDefault="00AF337C" w:rsidP="0021062D">
      <w:pPr>
        <w:keepNext/>
        <w:suppressAutoHyphens/>
        <w:spacing w:after="0" w:line="240" w:lineRule="auto"/>
        <w:rPr>
          <w:rFonts w:ascii="Times New Roman" w:hAnsi="Times New Roman" w:cs="Times New Roman"/>
          <w:u w:val="single"/>
          <w:lang w:val="de-DE"/>
        </w:rPr>
      </w:pPr>
    </w:p>
    <w:p w14:paraId="7FC51645" w14:textId="77777777" w:rsidR="00AF337C" w:rsidRPr="009737B5" w:rsidRDefault="00AF337C" w:rsidP="0021062D">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Metastasiertes Kolorektalkarzinom</w:t>
      </w:r>
    </w:p>
    <w:p w14:paraId="46F45A07" w14:textId="77777777" w:rsidR="00AF337C" w:rsidRPr="009737B5" w:rsidRDefault="00AF337C" w:rsidP="0021062D">
      <w:pPr>
        <w:keepNext/>
        <w:suppressAutoHyphens/>
        <w:spacing w:after="0" w:line="240" w:lineRule="auto"/>
        <w:rPr>
          <w:rFonts w:ascii="Times New Roman" w:hAnsi="Times New Roman" w:cs="Times New Roman"/>
          <w:u w:val="single"/>
          <w:lang w:val="de-DE"/>
        </w:rPr>
      </w:pPr>
    </w:p>
    <w:p w14:paraId="272E91A4" w14:textId="77777777" w:rsidR="00AF337C" w:rsidRPr="009737B5" w:rsidRDefault="00AF337C" w:rsidP="008069C8">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Sicherheit und Wirksamkeit der empfohlenen Dosis (5</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/kg Körpergewicht alle zwei Wochen) bei metastasiertem Kolon- oder Rektumkarzinom wurden in drei randomisierten, aktiv kontrollierten klinischen Prüfungen in Kombination mit einer First-Line-Chemotherapie auf Fluoropyrimidin-Basis untersucht. </w:t>
      </w:r>
      <w:r w:rsidR="00A15C0A" w:rsidRPr="009737B5">
        <w:rPr>
          <w:rFonts w:ascii="Times New Roman" w:hAnsi="Times New Roman" w:cs="Times New Roman"/>
          <w:lang w:val="de-DE"/>
        </w:rPr>
        <w:t xml:space="preserve">Bevacizumab </w:t>
      </w:r>
      <w:r w:rsidRPr="009737B5">
        <w:rPr>
          <w:rFonts w:ascii="Times New Roman" w:hAnsi="Times New Roman" w:cs="Times New Roman"/>
          <w:lang w:val="de-DE"/>
        </w:rPr>
        <w:t>wurde mit zwei Chemotherapie-Schemata kombiniert:</w:t>
      </w:r>
    </w:p>
    <w:p w14:paraId="409604EA" w14:textId="77777777" w:rsidR="00AF337C" w:rsidRPr="009737B5" w:rsidRDefault="00AF337C" w:rsidP="008069C8">
      <w:pPr>
        <w:keepNext/>
        <w:suppressAutoHyphens/>
        <w:spacing w:after="0" w:line="240" w:lineRule="auto"/>
        <w:rPr>
          <w:rFonts w:ascii="Times New Roman" w:hAnsi="Times New Roman" w:cs="Times New Roman"/>
          <w:lang w:val="de-DE"/>
        </w:rPr>
      </w:pPr>
    </w:p>
    <w:p w14:paraId="564751A9" w14:textId="6D078306" w:rsidR="00AF337C" w:rsidRPr="009737B5" w:rsidRDefault="008D5886" w:rsidP="008069C8">
      <w:pPr>
        <w:keepNext/>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r>
      <w:r w:rsidR="00AF337C" w:rsidRPr="009737B5">
        <w:rPr>
          <w:rFonts w:ascii="Times New Roman" w:hAnsi="Times New Roman" w:cs="Times New Roman"/>
          <w:lang w:val="de-DE"/>
        </w:rPr>
        <w:t>AVF2107g: Einmal wöchentliche Gabe von Irinotecan/Bolus 5-Fluorouracil/Folinsäure (IFL) über insgesamt 4</w:t>
      </w:r>
      <w:r w:rsidR="00C41775">
        <w:rPr>
          <w:rFonts w:ascii="Times New Roman" w:hAnsi="Times New Roman" w:cs="Times New Roman"/>
          <w:lang w:val="de-DE"/>
        </w:rPr>
        <w:t> </w:t>
      </w:r>
      <w:r w:rsidR="00AF337C" w:rsidRPr="009737B5">
        <w:rPr>
          <w:rFonts w:ascii="Times New Roman" w:hAnsi="Times New Roman" w:cs="Times New Roman"/>
          <w:lang w:val="de-DE"/>
        </w:rPr>
        <w:t>Wochen eines jeweils 6-wöchigen Zyklus (Saltz-Schema)</w:t>
      </w:r>
      <w:r w:rsidRPr="009737B5">
        <w:rPr>
          <w:rFonts w:ascii="Times New Roman" w:hAnsi="Times New Roman" w:cs="Times New Roman"/>
          <w:lang w:val="de-DE"/>
        </w:rPr>
        <w:t>.</w:t>
      </w:r>
    </w:p>
    <w:p w14:paraId="09149345" w14:textId="543A7404" w:rsidR="00AF337C" w:rsidRPr="009737B5" w:rsidRDefault="008D5886" w:rsidP="008069C8">
      <w:pPr>
        <w:keepNext/>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r>
      <w:r w:rsidR="00AF337C" w:rsidRPr="009737B5">
        <w:rPr>
          <w:rFonts w:ascii="Times New Roman" w:hAnsi="Times New Roman" w:cs="Times New Roman"/>
          <w:lang w:val="de-DE"/>
        </w:rPr>
        <w:t>AVF0780g: In Kombination mit Bolus 5-Fluorouracil/Folinsäure (5-FU/FA) über insgesamt 6</w:t>
      </w:r>
      <w:r w:rsidR="00C41775">
        <w:rPr>
          <w:rFonts w:ascii="Times New Roman" w:hAnsi="Times New Roman" w:cs="Times New Roman"/>
          <w:lang w:val="de-DE"/>
        </w:rPr>
        <w:t> </w:t>
      </w:r>
      <w:r w:rsidR="00AF337C" w:rsidRPr="009737B5">
        <w:rPr>
          <w:rFonts w:ascii="Times New Roman" w:hAnsi="Times New Roman" w:cs="Times New Roman"/>
          <w:lang w:val="de-DE"/>
        </w:rPr>
        <w:t>Wochen eines jeweils 8-wöchigen Zyklus (Roswell-Park-Schema)</w:t>
      </w:r>
      <w:r w:rsidRPr="009737B5">
        <w:rPr>
          <w:rFonts w:ascii="Times New Roman" w:hAnsi="Times New Roman" w:cs="Times New Roman"/>
          <w:lang w:val="de-DE"/>
        </w:rPr>
        <w:t>.</w:t>
      </w:r>
    </w:p>
    <w:p w14:paraId="75626D7E" w14:textId="61819A96" w:rsidR="00AF337C" w:rsidRPr="009737B5" w:rsidRDefault="00AF337C" w:rsidP="008D5886">
      <w:pPr>
        <w:pStyle w:val="ListParagraph"/>
        <w:numPr>
          <w:ilvl w:val="0"/>
          <w:numId w:val="1"/>
        </w:numPr>
        <w:suppressAutoHyphens/>
        <w:spacing w:after="0" w:line="240" w:lineRule="auto"/>
        <w:ind w:left="567" w:hanging="567"/>
        <w:contextualSpacing w:val="0"/>
        <w:rPr>
          <w:rFonts w:ascii="Times New Roman" w:hAnsi="Times New Roman" w:cs="Times New Roman"/>
          <w:lang w:val="de-DE"/>
        </w:rPr>
      </w:pPr>
      <w:r w:rsidRPr="009737B5">
        <w:rPr>
          <w:rFonts w:ascii="Times New Roman" w:hAnsi="Times New Roman" w:cs="Times New Roman"/>
          <w:lang w:val="de-DE"/>
        </w:rPr>
        <w:t>AVF2192g: In Kombination mit Bolus 5-Fluorouracil/Folinsäure (5-FU/FA) über insgesamt 6</w:t>
      </w:r>
      <w:r w:rsidR="00C41775">
        <w:rPr>
          <w:rFonts w:ascii="Times New Roman" w:hAnsi="Times New Roman" w:cs="Times New Roman"/>
          <w:lang w:val="de-DE"/>
        </w:rPr>
        <w:t> </w:t>
      </w:r>
      <w:r w:rsidRPr="009737B5">
        <w:rPr>
          <w:rFonts w:ascii="Times New Roman" w:hAnsi="Times New Roman" w:cs="Times New Roman"/>
          <w:lang w:val="de-DE"/>
        </w:rPr>
        <w:t>Wochen eines jeweils 8-wöchigen Zyklus (Roswell-Park-Schema) bei Patienten, die keine optimalen Kandidaten für eine First-Line-Irinotecan-Therapie waren.</w:t>
      </w:r>
    </w:p>
    <w:p w14:paraId="5C0F7A26" w14:textId="77777777" w:rsidR="00AF337C" w:rsidRPr="009737B5" w:rsidRDefault="00AF337C" w:rsidP="005F4D08">
      <w:pPr>
        <w:suppressAutoHyphens/>
        <w:spacing w:after="0" w:line="240" w:lineRule="auto"/>
        <w:rPr>
          <w:rFonts w:ascii="Times New Roman" w:hAnsi="Times New Roman" w:cs="Times New Roman"/>
          <w:lang w:val="de-DE"/>
        </w:rPr>
      </w:pPr>
    </w:p>
    <w:p w14:paraId="58CDFBEA"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Bei Patienten mit metastasiertem Kolorektalkarzinom wurden drei weitere Studien mit Bevacizumab durchgeführt: eine Studie zur First-Line-Behandlung (NO16966), eine Studie zur </w:t>
      </w:r>
      <w:r w:rsidRPr="009737B5">
        <w:rPr>
          <w:rFonts w:ascii="Times New Roman" w:hAnsi="Times New Roman" w:cs="Times New Roman"/>
          <w:i/>
          <w:lang w:val="de-DE"/>
        </w:rPr>
        <w:t>Second-Line</w:t>
      </w:r>
      <w:r w:rsidR="008D56E3" w:rsidRPr="009737B5">
        <w:rPr>
          <w:rFonts w:ascii="Times New Roman" w:hAnsi="Times New Roman" w:cs="Times New Roman"/>
          <w:i/>
          <w:lang w:val="de-DE"/>
        </w:rPr>
        <w:t>-</w:t>
      </w:r>
      <w:r w:rsidRPr="009737B5">
        <w:rPr>
          <w:rFonts w:ascii="Times New Roman" w:hAnsi="Times New Roman" w:cs="Times New Roman"/>
          <w:lang w:val="de-DE"/>
        </w:rPr>
        <w:t xml:space="preserve">Behandlung ohne vorhergehende Bevacizumab-Therapie (E3200) und eine Studie zur </w:t>
      </w:r>
      <w:r w:rsidRPr="009737B5">
        <w:rPr>
          <w:rFonts w:ascii="Times New Roman" w:hAnsi="Times New Roman" w:cs="Times New Roman"/>
          <w:i/>
          <w:lang w:val="de-DE"/>
        </w:rPr>
        <w:t>Second-Line</w:t>
      </w:r>
      <w:r w:rsidR="008D56E3" w:rsidRPr="009737B5">
        <w:rPr>
          <w:rFonts w:ascii="Times New Roman" w:hAnsi="Times New Roman" w:cs="Times New Roman"/>
          <w:i/>
          <w:lang w:val="de-DE"/>
        </w:rPr>
        <w:t>-</w:t>
      </w:r>
      <w:r w:rsidRPr="009737B5">
        <w:rPr>
          <w:rFonts w:ascii="Times New Roman" w:hAnsi="Times New Roman" w:cs="Times New Roman"/>
          <w:lang w:val="de-DE"/>
        </w:rPr>
        <w:t>Behandlung mit vorhergehender Bevacizumab-Therapie nach Fortschreiten der Erkrankung während der First-Line-Behandlung (ML18147). In diesen Studien wurde Bevacizumab in Kombination mit FOLFOX-4 (5-FU/LV/Oxaliplatin), XELOX (Capecitabin/Oxaliplatin) und</w:t>
      </w:r>
      <w:r w:rsidR="00043BCB" w:rsidRPr="009737B5">
        <w:rPr>
          <w:rFonts w:ascii="Times New Roman" w:hAnsi="Times New Roman" w:cs="Times New Roman"/>
          <w:lang w:val="de-DE"/>
        </w:rPr>
        <w:t xml:space="preserve"> </w:t>
      </w:r>
      <w:r w:rsidRPr="009737B5">
        <w:rPr>
          <w:rFonts w:ascii="Times New Roman" w:hAnsi="Times New Roman" w:cs="Times New Roman"/>
          <w:lang w:val="de-DE"/>
        </w:rPr>
        <w:lastRenderedPageBreak/>
        <w:t>Fluoropyrimidin/Irinotecan bzw. Fluoropyrimidin/Oxaliplatin in den folgenden Dosisschemata angewendet:</w:t>
      </w:r>
    </w:p>
    <w:p w14:paraId="7146205D" w14:textId="77777777" w:rsidR="00AF337C" w:rsidRPr="009737B5" w:rsidRDefault="00AF337C" w:rsidP="00D70201">
      <w:pPr>
        <w:keepNext/>
        <w:suppressAutoHyphens/>
        <w:spacing w:after="0" w:line="240" w:lineRule="auto"/>
        <w:rPr>
          <w:rFonts w:ascii="Times New Roman" w:hAnsi="Times New Roman" w:cs="Times New Roman"/>
          <w:lang w:val="de-DE"/>
        </w:rPr>
      </w:pPr>
    </w:p>
    <w:p w14:paraId="2A548041" w14:textId="5D55E8F3" w:rsidR="00AF337C" w:rsidRPr="009737B5" w:rsidRDefault="00AF337C" w:rsidP="00D70201">
      <w:pPr>
        <w:pStyle w:val="ListParagraph"/>
        <w:keepNext/>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 xml:space="preserve">NO16966: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7,5</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alle 3</w:t>
      </w:r>
      <w:r w:rsidR="00C41775">
        <w:rPr>
          <w:rFonts w:ascii="Times New Roman" w:hAnsi="Times New Roman" w:cs="Times New Roman"/>
          <w:lang w:val="de-DE"/>
        </w:rPr>
        <w:t> </w:t>
      </w:r>
      <w:r w:rsidRPr="009737B5">
        <w:rPr>
          <w:rFonts w:ascii="Times New Roman" w:hAnsi="Times New Roman" w:cs="Times New Roman"/>
          <w:lang w:val="de-DE"/>
        </w:rPr>
        <w:t xml:space="preserve">Wochen in Kombination mit oral gegebenem Capecitabin und intravenös appliziertem Oxaliplatin (XELOX) oder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5</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alle 2</w:t>
      </w:r>
      <w:r w:rsidR="00C41775">
        <w:rPr>
          <w:rFonts w:ascii="Times New Roman" w:hAnsi="Times New Roman" w:cs="Times New Roman"/>
          <w:lang w:val="de-DE"/>
        </w:rPr>
        <w:t> </w:t>
      </w:r>
      <w:r w:rsidRPr="009737B5">
        <w:rPr>
          <w:rFonts w:ascii="Times New Roman" w:hAnsi="Times New Roman" w:cs="Times New Roman"/>
          <w:lang w:val="de-DE"/>
        </w:rPr>
        <w:t>Wochen in Kombination mit Leucovorin plus 5-Fluorouracil als Bolusinjektion, gefolgt von 5-Fluorouracil als Infusion und intravenös gegebenem Oxaliplatin (FOLFOX-4).</w:t>
      </w:r>
    </w:p>
    <w:p w14:paraId="06C909D2" w14:textId="43D690FD" w:rsidR="00AF337C" w:rsidRPr="009737B5" w:rsidRDefault="00AF337C" w:rsidP="00D70201">
      <w:pPr>
        <w:pStyle w:val="ListParagraph"/>
        <w:keepNext/>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 xml:space="preserve">E3200: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10</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alle 2</w:t>
      </w:r>
      <w:r w:rsidR="00C41775">
        <w:rPr>
          <w:rFonts w:ascii="Times New Roman" w:hAnsi="Times New Roman" w:cs="Times New Roman"/>
          <w:lang w:val="de-DE"/>
        </w:rPr>
        <w:t> </w:t>
      </w:r>
      <w:r w:rsidRPr="009737B5">
        <w:rPr>
          <w:rFonts w:ascii="Times New Roman" w:hAnsi="Times New Roman" w:cs="Times New Roman"/>
          <w:lang w:val="de-DE"/>
        </w:rPr>
        <w:t>Wochen in Kombination mit Leucovorin pl</w:t>
      </w:r>
      <w:r w:rsidR="00AD5D8D" w:rsidRPr="009737B5">
        <w:rPr>
          <w:rFonts w:ascii="Times New Roman" w:hAnsi="Times New Roman" w:cs="Times New Roman"/>
          <w:lang w:val="de-DE"/>
        </w:rPr>
        <w:t>us 5</w:t>
      </w:r>
      <w:r w:rsidR="00AD5D8D" w:rsidRPr="009737B5">
        <w:rPr>
          <w:rFonts w:ascii="Times New Roman" w:hAnsi="Times New Roman" w:cs="Times New Roman"/>
          <w:lang w:val="de-DE"/>
        </w:rPr>
        <w:noBreakHyphen/>
      </w:r>
      <w:r w:rsidRPr="009737B5">
        <w:rPr>
          <w:rFonts w:ascii="Times New Roman" w:hAnsi="Times New Roman" w:cs="Times New Roman"/>
          <w:lang w:val="de-DE"/>
        </w:rPr>
        <w:t>Fluorouracil als Bolusinjektion, gefolgt von 5-Fluorouracil als Infusion und intravenös gegebenem Oxaliplatin (FOLFOX-4) bei Patienten, die zuvor nicht mit Bevacizumab behandelt worden waren.</w:t>
      </w:r>
    </w:p>
    <w:p w14:paraId="698A6659" w14:textId="1EFD9953" w:rsidR="00AF337C" w:rsidRPr="009737B5" w:rsidRDefault="00AF337C" w:rsidP="005F4D08">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 xml:space="preserve">ML18147: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5,0</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alle 2</w:t>
      </w:r>
      <w:r w:rsidR="00C41775">
        <w:rPr>
          <w:rFonts w:ascii="Times New Roman" w:hAnsi="Times New Roman" w:cs="Times New Roman"/>
          <w:lang w:val="de-DE"/>
        </w:rPr>
        <w:t> </w:t>
      </w:r>
      <w:r w:rsidRPr="009737B5">
        <w:rPr>
          <w:rFonts w:ascii="Times New Roman" w:hAnsi="Times New Roman" w:cs="Times New Roman"/>
          <w:lang w:val="de-DE"/>
        </w:rPr>
        <w:t xml:space="preserve">Wochen oder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7,5</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alle 3</w:t>
      </w:r>
      <w:r w:rsidR="00C41775">
        <w:rPr>
          <w:rFonts w:ascii="Times New Roman" w:hAnsi="Times New Roman" w:cs="Times New Roman"/>
          <w:lang w:val="de-DE"/>
        </w:rPr>
        <w:t> </w:t>
      </w:r>
      <w:r w:rsidRPr="009737B5">
        <w:rPr>
          <w:rFonts w:ascii="Times New Roman" w:hAnsi="Times New Roman" w:cs="Times New Roman"/>
          <w:lang w:val="de-DE"/>
        </w:rPr>
        <w:t>Wochen in Kombination mit Fluoropyrimidin/Irinotecan oder</w:t>
      </w:r>
      <w:r w:rsidR="00043BCB" w:rsidRPr="009737B5">
        <w:rPr>
          <w:rFonts w:ascii="Times New Roman" w:hAnsi="Times New Roman" w:cs="Times New Roman"/>
          <w:lang w:val="de-DE"/>
        </w:rPr>
        <w:t xml:space="preserve"> </w:t>
      </w:r>
      <w:r w:rsidRPr="009737B5">
        <w:rPr>
          <w:rFonts w:ascii="Times New Roman" w:hAnsi="Times New Roman" w:cs="Times New Roman"/>
          <w:lang w:val="de-DE"/>
        </w:rPr>
        <w:t xml:space="preserve">Fluoropyrimidin/Oxaliplatin bei Patienten mit fortschreitender Erkrankung nach einer </w:t>
      </w:r>
      <w:r w:rsidRPr="009737B5">
        <w:rPr>
          <w:rFonts w:ascii="Times New Roman" w:hAnsi="Times New Roman" w:cs="Times New Roman"/>
          <w:i/>
          <w:lang w:val="de-DE"/>
        </w:rPr>
        <w:t>First</w:t>
      </w:r>
      <w:r w:rsidR="00B9040E" w:rsidRPr="009737B5">
        <w:rPr>
          <w:rFonts w:ascii="Times New Roman" w:hAnsi="Times New Roman" w:cs="Times New Roman"/>
          <w:i/>
          <w:lang w:val="de-DE"/>
        </w:rPr>
        <w:t>-</w:t>
      </w:r>
      <w:r w:rsidRPr="009737B5">
        <w:rPr>
          <w:rFonts w:ascii="Times New Roman" w:hAnsi="Times New Roman" w:cs="Times New Roman"/>
          <w:i/>
          <w:lang w:val="de-DE"/>
        </w:rPr>
        <w:t>Line</w:t>
      </w:r>
      <w:r w:rsidRPr="009737B5">
        <w:rPr>
          <w:rFonts w:ascii="Times New Roman" w:hAnsi="Times New Roman" w:cs="Times New Roman"/>
          <w:lang w:val="de-DE"/>
        </w:rPr>
        <w:t xml:space="preserve">-Behandlung mit Bevacizumab. Ein Irinotecan-haltiges Therapieschema wurde durch ein </w:t>
      </w:r>
      <w:r w:rsidR="00742397" w:rsidRPr="009737B5">
        <w:rPr>
          <w:rFonts w:ascii="Times New Roman" w:hAnsi="Times New Roman" w:cs="Times New Roman"/>
          <w:lang w:val="de-DE"/>
        </w:rPr>
        <w:t xml:space="preserve">Oxaliplatin-haltiges </w:t>
      </w:r>
      <w:r w:rsidRPr="009737B5">
        <w:rPr>
          <w:rFonts w:ascii="Times New Roman" w:hAnsi="Times New Roman" w:cs="Times New Roman"/>
          <w:lang w:val="de-DE"/>
        </w:rPr>
        <w:t>Therapieschema ersetzt oder vice versa, je nachdem, welches dieser Arzneimittel in der First-Line-Behandlung gegeben worden war.</w:t>
      </w:r>
    </w:p>
    <w:p w14:paraId="7D8552D9" w14:textId="77777777" w:rsidR="00AF337C" w:rsidRPr="009737B5" w:rsidRDefault="00AF337C" w:rsidP="005F4D08">
      <w:pPr>
        <w:suppressAutoHyphens/>
        <w:spacing w:after="0" w:line="240" w:lineRule="auto"/>
        <w:rPr>
          <w:rFonts w:ascii="Times New Roman" w:hAnsi="Times New Roman" w:cs="Times New Roman"/>
          <w:lang w:val="de-DE"/>
        </w:rPr>
      </w:pPr>
    </w:p>
    <w:p w14:paraId="7EC84BF5" w14:textId="77777777" w:rsidR="00AF337C" w:rsidRPr="009737B5" w:rsidRDefault="00AF337C" w:rsidP="0021062D">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AVF2107g</w:t>
      </w:r>
    </w:p>
    <w:p w14:paraId="65170364" w14:textId="68BA4E2C"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dieser randomisierten, doppelblinden, aktiv kontrollierten klinischen Phase</w:t>
      </w:r>
      <w:r w:rsidR="00C41775">
        <w:rPr>
          <w:rFonts w:ascii="Times New Roman" w:hAnsi="Times New Roman" w:cs="Times New Roman"/>
          <w:lang w:val="de-DE"/>
        </w:rPr>
        <w:t> </w:t>
      </w:r>
      <w:r w:rsidRPr="009737B5">
        <w:rPr>
          <w:rFonts w:ascii="Times New Roman" w:hAnsi="Times New Roman" w:cs="Times New Roman"/>
          <w:lang w:val="de-DE"/>
        </w:rPr>
        <w:t>III-Studie wurde</w:t>
      </w:r>
      <w:r w:rsidR="000732EB" w:rsidRPr="009737B5">
        <w:rPr>
          <w:rFonts w:ascii="Times New Roman" w:hAnsi="Times New Roman" w:cs="Times New Roman"/>
          <w:lang w:val="de-DE"/>
        </w:rPr>
        <w:t xml:space="preserve"> </w:t>
      </w:r>
      <w:r w:rsidR="00A15C0A" w:rsidRPr="009737B5">
        <w:rPr>
          <w:rFonts w:ascii="Times New Roman" w:hAnsi="Times New Roman" w:cs="Times New Roman"/>
          <w:lang w:val="de-DE"/>
        </w:rPr>
        <w:t>Bevacizumab</w:t>
      </w:r>
      <w:r w:rsidR="00A15C0A" w:rsidRPr="009737B5" w:rsidDel="00A15C0A">
        <w:rPr>
          <w:rFonts w:ascii="Times New Roman" w:hAnsi="Times New Roman" w:cs="Times New Roman"/>
          <w:lang w:val="de-DE"/>
        </w:rPr>
        <w:t xml:space="preserve"> </w:t>
      </w:r>
      <w:r w:rsidRPr="009737B5">
        <w:rPr>
          <w:rFonts w:ascii="Times New Roman" w:hAnsi="Times New Roman" w:cs="Times New Roman"/>
          <w:lang w:val="de-DE"/>
        </w:rPr>
        <w:t>in Kombination mit IFL als First-Line-Behandlung von metastasiertem Kolon- oder</w:t>
      </w:r>
      <w:r w:rsidR="000732EB" w:rsidRPr="009737B5">
        <w:rPr>
          <w:rFonts w:ascii="Times New Roman" w:hAnsi="Times New Roman" w:cs="Times New Roman"/>
          <w:lang w:val="de-DE"/>
        </w:rPr>
        <w:t xml:space="preserve"> </w:t>
      </w:r>
      <w:r w:rsidRPr="009737B5">
        <w:rPr>
          <w:rFonts w:ascii="Times New Roman" w:hAnsi="Times New Roman" w:cs="Times New Roman"/>
          <w:lang w:val="de-DE"/>
        </w:rPr>
        <w:t>Rektumkarzinom untersucht. 813</w:t>
      </w:r>
      <w:r w:rsidR="00C41775">
        <w:rPr>
          <w:rFonts w:ascii="Times New Roman" w:hAnsi="Times New Roman" w:cs="Times New Roman"/>
          <w:lang w:val="de-DE"/>
        </w:rPr>
        <w:t> </w:t>
      </w:r>
      <w:r w:rsidRPr="009737B5">
        <w:rPr>
          <w:rFonts w:ascii="Times New Roman" w:hAnsi="Times New Roman" w:cs="Times New Roman"/>
          <w:lang w:val="de-DE"/>
        </w:rPr>
        <w:t>Patienten wurden randomisiert einer Behandlung mit IFL + Placebo</w:t>
      </w:r>
      <w:r w:rsidR="000732EB" w:rsidRPr="009737B5">
        <w:rPr>
          <w:rFonts w:ascii="Times New Roman" w:hAnsi="Times New Roman" w:cs="Times New Roman"/>
          <w:lang w:val="de-DE"/>
        </w:rPr>
        <w:t xml:space="preserve"> </w:t>
      </w:r>
      <w:r w:rsidRPr="009737B5">
        <w:rPr>
          <w:rFonts w:ascii="Times New Roman" w:hAnsi="Times New Roman" w:cs="Times New Roman"/>
          <w:lang w:val="de-DE"/>
        </w:rPr>
        <w:t>(Studienarm</w:t>
      </w:r>
      <w:r w:rsidR="00C41775">
        <w:rPr>
          <w:rFonts w:ascii="Times New Roman" w:hAnsi="Times New Roman" w:cs="Times New Roman"/>
          <w:lang w:val="de-DE"/>
        </w:rPr>
        <w:t> </w:t>
      </w:r>
      <w:r w:rsidRPr="009737B5">
        <w:rPr>
          <w:rFonts w:ascii="Times New Roman" w:hAnsi="Times New Roman" w:cs="Times New Roman"/>
          <w:lang w:val="de-DE"/>
        </w:rPr>
        <w:t xml:space="preserve">1) oder IFL + </w:t>
      </w:r>
      <w:r w:rsidR="00A15C0A" w:rsidRPr="009737B5">
        <w:rPr>
          <w:rFonts w:ascii="Times New Roman" w:hAnsi="Times New Roman" w:cs="Times New Roman"/>
          <w:lang w:val="de-DE"/>
        </w:rPr>
        <w:t>Bevacizumab</w:t>
      </w:r>
      <w:r w:rsidR="00A15C0A" w:rsidRPr="009737B5" w:rsidDel="00A15C0A">
        <w:rPr>
          <w:rFonts w:ascii="Times New Roman" w:hAnsi="Times New Roman" w:cs="Times New Roman"/>
          <w:lang w:val="de-DE"/>
        </w:rPr>
        <w:t xml:space="preserve"> </w:t>
      </w:r>
      <w:r w:rsidRPr="009737B5">
        <w:rPr>
          <w:rFonts w:ascii="Times New Roman" w:hAnsi="Times New Roman" w:cs="Times New Roman"/>
          <w:lang w:val="de-DE"/>
        </w:rPr>
        <w:t>(5</w:t>
      </w:r>
      <w:r w:rsidR="00AB26B9" w:rsidRPr="009737B5">
        <w:rPr>
          <w:rFonts w:ascii="Times New Roman" w:hAnsi="Times New Roman" w:cs="Times New Roman"/>
          <w:lang w:val="de-DE"/>
        </w:rPr>
        <w:t> mg</w:t>
      </w:r>
      <w:r w:rsidRPr="009737B5">
        <w:rPr>
          <w:rFonts w:ascii="Times New Roman" w:hAnsi="Times New Roman" w:cs="Times New Roman"/>
          <w:lang w:val="de-DE"/>
        </w:rPr>
        <w:t>/kg alle 2</w:t>
      </w:r>
      <w:r w:rsidR="00C41775">
        <w:rPr>
          <w:rFonts w:ascii="Times New Roman" w:hAnsi="Times New Roman" w:cs="Times New Roman"/>
          <w:lang w:val="de-DE"/>
        </w:rPr>
        <w:t> </w:t>
      </w:r>
      <w:r w:rsidRPr="009737B5">
        <w:rPr>
          <w:rFonts w:ascii="Times New Roman" w:hAnsi="Times New Roman" w:cs="Times New Roman"/>
          <w:lang w:val="de-DE"/>
        </w:rPr>
        <w:t>Wochen, Studienarm</w:t>
      </w:r>
      <w:r w:rsidR="00C41775">
        <w:rPr>
          <w:rFonts w:ascii="Times New Roman" w:hAnsi="Times New Roman" w:cs="Times New Roman"/>
          <w:lang w:val="de-DE"/>
        </w:rPr>
        <w:t> </w:t>
      </w:r>
      <w:r w:rsidRPr="009737B5">
        <w:rPr>
          <w:rFonts w:ascii="Times New Roman" w:hAnsi="Times New Roman" w:cs="Times New Roman"/>
          <w:lang w:val="de-DE"/>
        </w:rPr>
        <w:t>2) zugewiesen. Eine dritte Gruppe von 110</w:t>
      </w:r>
      <w:r w:rsidR="00C41775">
        <w:rPr>
          <w:rFonts w:ascii="Times New Roman" w:hAnsi="Times New Roman" w:cs="Times New Roman"/>
          <w:lang w:val="de-DE"/>
        </w:rPr>
        <w:t> </w:t>
      </w:r>
      <w:r w:rsidRPr="009737B5">
        <w:rPr>
          <w:rFonts w:ascii="Times New Roman" w:hAnsi="Times New Roman" w:cs="Times New Roman"/>
          <w:lang w:val="de-DE"/>
        </w:rPr>
        <w:t xml:space="preserve">Patienten erhielt Bolus 5-FU/FA +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(Studienarm</w:t>
      </w:r>
      <w:r w:rsidR="00C41775">
        <w:rPr>
          <w:rFonts w:ascii="Times New Roman" w:hAnsi="Times New Roman" w:cs="Times New Roman"/>
          <w:lang w:val="de-DE"/>
        </w:rPr>
        <w:t> </w:t>
      </w:r>
      <w:r w:rsidRPr="009737B5">
        <w:rPr>
          <w:rFonts w:ascii="Times New Roman" w:hAnsi="Times New Roman" w:cs="Times New Roman"/>
          <w:lang w:val="de-DE"/>
        </w:rPr>
        <w:t>3). Die Rekrutierung in Arm</w:t>
      </w:r>
      <w:r w:rsidR="00C41775">
        <w:rPr>
          <w:rFonts w:ascii="Times New Roman" w:hAnsi="Times New Roman" w:cs="Times New Roman"/>
          <w:lang w:val="de-DE"/>
        </w:rPr>
        <w:t> </w:t>
      </w:r>
      <w:r w:rsidRPr="009737B5">
        <w:rPr>
          <w:rFonts w:ascii="Times New Roman" w:hAnsi="Times New Roman" w:cs="Times New Roman"/>
          <w:lang w:val="de-DE"/>
        </w:rPr>
        <w:t xml:space="preserve">3 wurde, wie zuvor festgelegt, beendet, sobald die Sicherheit der Anwendung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mit dem IFL-Schema bekannt und als akzeptabel betrachtet worden war. Alle Behandlungen wurden bis zur Progression der Erkrankung fortgesetzt. Das Alter betrug insgesamt im Mittel 59,4</w:t>
      </w:r>
      <w:r w:rsidR="0091668D" w:rsidRPr="009737B5">
        <w:rPr>
          <w:rFonts w:ascii="Times New Roman" w:hAnsi="Times New Roman" w:cs="Times New Roman"/>
          <w:lang w:val="de-DE"/>
        </w:rPr>
        <w:t> </w:t>
      </w:r>
      <w:r w:rsidRPr="009737B5">
        <w:rPr>
          <w:rFonts w:ascii="Times New Roman" w:hAnsi="Times New Roman" w:cs="Times New Roman"/>
          <w:lang w:val="de-DE"/>
        </w:rPr>
        <w:t>Jahre; 56,6</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wiesen einen ECOG-Performance-Status von 0 auf, 43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einen Wert von 1 und 0,4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einen Wert von</w:t>
      </w:r>
      <w:r w:rsidR="00C41775">
        <w:rPr>
          <w:rFonts w:ascii="Times New Roman" w:hAnsi="Times New Roman" w:cs="Times New Roman"/>
          <w:lang w:val="de-DE"/>
        </w:rPr>
        <w:t> </w:t>
      </w:r>
      <w:r w:rsidRPr="009737B5">
        <w:rPr>
          <w:rFonts w:ascii="Times New Roman" w:hAnsi="Times New Roman" w:cs="Times New Roman"/>
          <w:lang w:val="de-DE"/>
        </w:rPr>
        <w:t>2. 15,5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hatten zuvor eine Strahlentherapie und 28,4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eine Chemotherapie erhalten.</w:t>
      </w:r>
    </w:p>
    <w:p w14:paraId="3EEA0A3D" w14:textId="77777777" w:rsidR="00AF337C" w:rsidRPr="009737B5" w:rsidRDefault="00AF337C" w:rsidP="005F4D08">
      <w:pPr>
        <w:suppressAutoHyphens/>
        <w:spacing w:after="0" w:line="240" w:lineRule="auto"/>
        <w:rPr>
          <w:rFonts w:ascii="Times New Roman" w:hAnsi="Times New Roman" w:cs="Times New Roman"/>
          <w:lang w:val="de-DE"/>
        </w:rPr>
      </w:pPr>
    </w:p>
    <w:p w14:paraId="3397AA1E" w14:textId="4E55E63E"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primäre Wirksamkeitsvariable der Studie war das Gesamtüberleben. Die Zugabe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zu IFL resultierte in einer statistisch signifikanten Verlängerung des Gesamtüberlebens, des progressionsfreien Überlebens und der Gesamtansprechrate (siehe Tabelle</w:t>
      </w:r>
      <w:r w:rsidR="00C41775">
        <w:rPr>
          <w:rFonts w:ascii="Times New Roman" w:hAnsi="Times New Roman" w:cs="Times New Roman"/>
          <w:lang w:val="de-DE"/>
        </w:rPr>
        <w:t> </w:t>
      </w:r>
      <w:r w:rsidRPr="009737B5">
        <w:rPr>
          <w:rFonts w:ascii="Times New Roman" w:hAnsi="Times New Roman" w:cs="Times New Roman"/>
          <w:lang w:val="de-DE"/>
        </w:rPr>
        <w:t>4). Der klinische Nutzen, wie er durch das Gesamtüberleben quantifiziert wurde, wurde in allen zuvor festgelegten Patienten-Untergruppen beobachtet, einschließlich derer, die durch Alter, Geschlecht, Leistungsstatus,</w:t>
      </w:r>
      <w:r w:rsidR="0021062D" w:rsidRPr="009737B5">
        <w:rPr>
          <w:rFonts w:ascii="Times New Roman" w:hAnsi="Times New Roman" w:cs="Times New Roman"/>
          <w:lang w:val="de-DE"/>
        </w:rPr>
        <w:t xml:space="preserve"> </w:t>
      </w:r>
      <w:r w:rsidRPr="009737B5">
        <w:rPr>
          <w:rFonts w:ascii="Times New Roman" w:hAnsi="Times New Roman" w:cs="Times New Roman"/>
          <w:lang w:val="de-DE"/>
        </w:rPr>
        <w:t>Lokalisierung des Primärtumors, Zahl der befallenen Organe und Dauer der metastasierten Erkrankung definiert waren.</w:t>
      </w:r>
    </w:p>
    <w:p w14:paraId="5C660036" w14:textId="77777777" w:rsidR="00AF337C" w:rsidRPr="009737B5" w:rsidRDefault="00AF337C" w:rsidP="005F4D08">
      <w:pPr>
        <w:suppressAutoHyphens/>
        <w:spacing w:after="0" w:line="240" w:lineRule="auto"/>
        <w:rPr>
          <w:rFonts w:ascii="Times New Roman" w:hAnsi="Times New Roman" w:cs="Times New Roman"/>
          <w:lang w:val="de-DE"/>
        </w:rPr>
      </w:pPr>
    </w:p>
    <w:p w14:paraId="5023041D" w14:textId="506EC6D1" w:rsidR="00AF337C" w:rsidRPr="009737B5" w:rsidRDefault="00AF337C" w:rsidP="000732EB">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Wirksamkeitsergebnisse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IFL-Chemotherapie sind in Tabelle</w:t>
      </w:r>
      <w:r w:rsidR="00C41775">
        <w:rPr>
          <w:rFonts w:ascii="Times New Roman" w:hAnsi="Times New Roman" w:cs="Times New Roman"/>
          <w:lang w:val="de-DE"/>
        </w:rPr>
        <w:t> </w:t>
      </w:r>
      <w:r w:rsidRPr="009737B5">
        <w:rPr>
          <w:rFonts w:ascii="Times New Roman" w:hAnsi="Times New Roman" w:cs="Times New Roman"/>
          <w:lang w:val="de-DE"/>
        </w:rPr>
        <w:t>4 dargestellt.</w:t>
      </w:r>
    </w:p>
    <w:p w14:paraId="6A61A6F9" w14:textId="77777777" w:rsidR="000732EB" w:rsidRPr="009737B5" w:rsidRDefault="000732EB" w:rsidP="000732EB">
      <w:pPr>
        <w:suppressAutoHyphens/>
        <w:spacing w:after="0" w:line="240" w:lineRule="auto"/>
        <w:rPr>
          <w:rFonts w:ascii="Times New Roman" w:hAnsi="Times New Roman" w:cs="Times New Roman"/>
          <w:lang w:val="de-DE"/>
        </w:rPr>
      </w:pPr>
    </w:p>
    <w:p w14:paraId="3F4F8183" w14:textId="33E72D0C" w:rsidR="00AF337C" w:rsidRPr="009737B5" w:rsidRDefault="00AF337C" w:rsidP="00D87918">
      <w:pPr>
        <w:keepNext/>
        <w:keepLines/>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C41775">
        <w:rPr>
          <w:rFonts w:ascii="Times New Roman" w:hAnsi="Times New Roman" w:cs="Times New Roman"/>
          <w:b/>
          <w:lang w:val="de-DE"/>
        </w:rPr>
        <w:t> </w:t>
      </w:r>
      <w:r w:rsidRPr="009737B5">
        <w:rPr>
          <w:rFonts w:ascii="Times New Roman" w:hAnsi="Times New Roman" w:cs="Times New Roman"/>
          <w:b/>
          <w:lang w:val="de-DE"/>
        </w:rPr>
        <w:t>4</w:t>
      </w:r>
      <w:r w:rsidR="00E251E5" w:rsidRPr="009737B5">
        <w:rPr>
          <w:rFonts w:ascii="Times New Roman" w:hAnsi="Times New Roman" w:cs="Times New Roman"/>
          <w:b/>
          <w:lang w:val="de-DE"/>
        </w:rPr>
        <w:t>.</w:t>
      </w:r>
      <w:r w:rsidRPr="009737B5">
        <w:rPr>
          <w:rFonts w:ascii="Times New Roman" w:hAnsi="Times New Roman" w:cs="Times New Roman"/>
          <w:b/>
          <w:lang w:val="de-DE"/>
        </w:rPr>
        <w:t xml:space="preserve"> Wirksamkeitsergebnisse für Studie</w:t>
      </w:r>
      <w:r w:rsidR="00D5199D">
        <w:rPr>
          <w:rFonts w:ascii="Times New Roman" w:hAnsi="Times New Roman" w:cs="Times New Roman"/>
          <w:b/>
          <w:lang w:val="de-DE"/>
        </w:rPr>
        <w:t> </w:t>
      </w:r>
      <w:r w:rsidRPr="009737B5">
        <w:rPr>
          <w:rFonts w:ascii="Times New Roman" w:hAnsi="Times New Roman" w:cs="Times New Roman"/>
          <w:b/>
          <w:lang w:val="de-DE"/>
        </w:rPr>
        <w:t>AVF2107g</w:t>
      </w:r>
    </w:p>
    <w:p w14:paraId="68285D5F" w14:textId="77777777" w:rsidR="000732EB" w:rsidRPr="009737B5" w:rsidRDefault="000732EB" w:rsidP="00D87918">
      <w:pPr>
        <w:keepNext/>
        <w:keepLines/>
        <w:suppressAutoHyphens/>
        <w:spacing w:after="0" w:line="240" w:lineRule="auto"/>
        <w:rPr>
          <w:rFonts w:ascii="Times New Roman" w:hAnsi="Times New Roman" w:cs="Times New Roman"/>
          <w:lang w:val="de-DE"/>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gridCol w:w="2694"/>
      </w:tblGrid>
      <w:tr w:rsidR="00466BBD" w:rsidRPr="00402720" w14:paraId="48639335" w14:textId="77777777" w:rsidTr="00402720">
        <w:trPr>
          <w:trHeight w:val="20"/>
          <w:tblHeader/>
        </w:trPr>
        <w:tc>
          <w:tcPr>
            <w:tcW w:w="3544" w:type="dxa"/>
            <w:vMerge w:val="restart"/>
          </w:tcPr>
          <w:p w14:paraId="6F92FD18" w14:textId="77777777" w:rsidR="00466BBD" w:rsidRPr="00402720" w:rsidRDefault="00466BBD" w:rsidP="00402720">
            <w:pPr>
              <w:keepNext/>
              <w:autoSpaceDE w:val="0"/>
              <w:autoSpaceDN w:val="0"/>
              <w:adjustRightInd w:val="0"/>
              <w:spacing w:after="0" w:line="240" w:lineRule="auto"/>
              <w:jc w:val="center"/>
              <w:rPr>
                <w:rFonts w:ascii="Times New Roman" w:hAnsi="Times New Roman" w:cs="Times New Roman"/>
                <w:b/>
                <w:lang w:val="de-DE"/>
              </w:rPr>
            </w:pPr>
          </w:p>
        </w:tc>
        <w:tc>
          <w:tcPr>
            <w:tcW w:w="5387" w:type="dxa"/>
            <w:gridSpan w:val="2"/>
          </w:tcPr>
          <w:p w14:paraId="75047E06" w14:textId="77777777" w:rsidR="00466BBD" w:rsidRPr="00402720" w:rsidRDefault="00466BBD" w:rsidP="00402720">
            <w:pPr>
              <w:keepNext/>
              <w:tabs>
                <w:tab w:val="left" w:pos="2731"/>
              </w:tabs>
              <w:autoSpaceDE w:val="0"/>
              <w:autoSpaceDN w:val="0"/>
              <w:adjustRightInd w:val="0"/>
              <w:spacing w:after="0" w:line="240" w:lineRule="auto"/>
              <w:jc w:val="center"/>
              <w:rPr>
                <w:rFonts w:ascii="Times New Roman" w:hAnsi="Times New Roman" w:cs="Times New Roman"/>
                <w:b/>
                <w:color w:val="000000"/>
                <w:lang w:val="de-DE"/>
              </w:rPr>
            </w:pPr>
            <w:r w:rsidRPr="00402720">
              <w:rPr>
                <w:rFonts w:ascii="Times New Roman" w:hAnsi="Times New Roman" w:cs="Times New Roman"/>
                <w:b/>
                <w:color w:val="000000"/>
                <w:lang w:val="de-DE"/>
              </w:rPr>
              <w:t>AVF2107g</w:t>
            </w:r>
          </w:p>
        </w:tc>
      </w:tr>
      <w:tr w:rsidR="00466BBD" w:rsidRPr="00402720" w14:paraId="1DB28CD4" w14:textId="77777777" w:rsidTr="00402720">
        <w:trPr>
          <w:trHeight w:val="20"/>
          <w:tblHeader/>
        </w:trPr>
        <w:tc>
          <w:tcPr>
            <w:tcW w:w="3544" w:type="dxa"/>
            <w:vMerge/>
          </w:tcPr>
          <w:p w14:paraId="2F1328CE" w14:textId="77777777" w:rsidR="00466BBD" w:rsidRPr="00402720" w:rsidRDefault="00466BBD" w:rsidP="00402720">
            <w:pPr>
              <w:keepNext/>
              <w:autoSpaceDE w:val="0"/>
              <w:autoSpaceDN w:val="0"/>
              <w:adjustRightInd w:val="0"/>
              <w:spacing w:after="0" w:line="240" w:lineRule="auto"/>
              <w:jc w:val="center"/>
              <w:rPr>
                <w:rFonts w:ascii="Times New Roman" w:hAnsi="Times New Roman" w:cs="Times New Roman"/>
                <w:b/>
                <w:lang w:val="de-DE"/>
              </w:rPr>
            </w:pPr>
          </w:p>
        </w:tc>
        <w:tc>
          <w:tcPr>
            <w:tcW w:w="2693" w:type="dxa"/>
            <w:tcBorders>
              <w:top w:val="single" w:sz="4" w:space="0" w:color="000000"/>
              <w:left w:val="single" w:sz="4" w:space="0" w:color="000000"/>
              <w:bottom w:val="single" w:sz="4" w:space="0" w:color="000000"/>
              <w:right w:val="single" w:sz="4" w:space="0" w:color="000000"/>
            </w:tcBorders>
          </w:tcPr>
          <w:p w14:paraId="0D11246E" w14:textId="77777777" w:rsidR="00466BBD" w:rsidRPr="00402720" w:rsidRDefault="00466BBD" w:rsidP="00402720">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Studienarm 1</w:t>
            </w:r>
          </w:p>
          <w:p w14:paraId="65AF4F46" w14:textId="77777777" w:rsidR="00466BBD" w:rsidRPr="00402720" w:rsidRDefault="00466BBD" w:rsidP="00402720">
            <w:pPr>
              <w:keepNext/>
              <w:spacing w:after="0" w:line="240" w:lineRule="auto"/>
              <w:jc w:val="center"/>
              <w:rPr>
                <w:rFonts w:ascii="Times New Roman" w:hAnsi="Times New Roman" w:cs="Times New Roman"/>
                <w:lang w:val="de-DE"/>
              </w:rPr>
            </w:pPr>
            <w:r w:rsidRPr="00402720">
              <w:rPr>
                <w:rFonts w:ascii="Times New Roman" w:hAnsi="Times New Roman" w:cs="Times New Roman"/>
                <w:b/>
                <w:lang w:val="de-DE"/>
              </w:rPr>
              <w:t xml:space="preserve">IFL </w:t>
            </w:r>
            <w:r w:rsidRPr="00402720">
              <w:rPr>
                <w:rFonts w:ascii="Times New Roman" w:eastAsia="Segoe UI Symbol" w:hAnsi="Times New Roman" w:cs="Times New Roman"/>
                <w:lang w:val="de-DE"/>
              </w:rPr>
              <w:t>+</w:t>
            </w:r>
            <w:r w:rsidRPr="00402720">
              <w:rPr>
                <w:rFonts w:ascii="Times New Roman" w:hAnsi="Times New Roman" w:cs="Times New Roman"/>
                <w:b/>
                <w:lang w:val="de-DE"/>
              </w:rPr>
              <w:t xml:space="preserve"> Placebo</w:t>
            </w:r>
          </w:p>
        </w:tc>
        <w:tc>
          <w:tcPr>
            <w:tcW w:w="2694" w:type="dxa"/>
            <w:tcBorders>
              <w:top w:val="single" w:sz="4" w:space="0" w:color="000000"/>
              <w:left w:val="single" w:sz="4" w:space="0" w:color="000000"/>
              <w:bottom w:val="single" w:sz="4" w:space="0" w:color="000000"/>
              <w:right w:val="single" w:sz="4" w:space="0" w:color="000000"/>
            </w:tcBorders>
          </w:tcPr>
          <w:p w14:paraId="11811CEE" w14:textId="77777777" w:rsidR="00466BBD" w:rsidRPr="00402720" w:rsidRDefault="00466BBD" w:rsidP="00402720">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Studienarm 2</w:t>
            </w:r>
          </w:p>
          <w:p w14:paraId="213F8A8A" w14:textId="77777777" w:rsidR="00466BBD" w:rsidRPr="00402720" w:rsidRDefault="00466BBD" w:rsidP="00402720">
            <w:pPr>
              <w:keepNext/>
              <w:spacing w:after="0" w:line="240" w:lineRule="auto"/>
              <w:jc w:val="center"/>
              <w:rPr>
                <w:rFonts w:ascii="Times New Roman" w:hAnsi="Times New Roman" w:cs="Times New Roman"/>
                <w:lang w:val="de-DE"/>
              </w:rPr>
            </w:pPr>
            <w:r w:rsidRPr="00402720">
              <w:rPr>
                <w:rFonts w:ascii="Times New Roman" w:hAnsi="Times New Roman" w:cs="Times New Roman"/>
                <w:b/>
                <w:lang w:val="de-DE"/>
              </w:rPr>
              <w:t xml:space="preserve">IFL </w:t>
            </w:r>
            <w:r w:rsidRPr="00402720">
              <w:rPr>
                <w:rFonts w:ascii="Times New Roman" w:eastAsia="Segoe UI Symbol" w:hAnsi="Times New Roman" w:cs="Times New Roman"/>
                <w:lang w:val="de-DE"/>
              </w:rPr>
              <w:t>+</w:t>
            </w:r>
            <w:r w:rsidRPr="00402720">
              <w:rPr>
                <w:rFonts w:ascii="Times New Roman" w:hAnsi="Times New Roman" w:cs="Times New Roman"/>
                <w:b/>
                <w:lang w:val="de-DE"/>
              </w:rPr>
              <w:t xml:space="preserve"> Bevacizumab</w:t>
            </w:r>
            <w:r w:rsidRPr="00402720">
              <w:rPr>
                <w:rFonts w:ascii="Times New Roman" w:hAnsi="Times New Roman" w:cs="Times New Roman"/>
                <w:b/>
                <w:vertAlign w:val="superscript"/>
                <w:lang w:val="de-DE"/>
              </w:rPr>
              <w:t>a</w:t>
            </w:r>
          </w:p>
        </w:tc>
      </w:tr>
      <w:tr w:rsidR="009F1B05" w:rsidRPr="00402720" w14:paraId="42CCFF72" w14:textId="77777777" w:rsidTr="00402720">
        <w:trPr>
          <w:trHeight w:val="20"/>
        </w:trPr>
        <w:tc>
          <w:tcPr>
            <w:tcW w:w="3544" w:type="dxa"/>
          </w:tcPr>
          <w:p w14:paraId="65D1596F" w14:textId="77777777" w:rsidR="009F1B05" w:rsidRPr="00402720" w:rsidRDefault="00855C5F" w:rsidP="00402720">
            <w:pPr>
              <w:autoSpaceDE w:val="0"/>
              <w:autoSpaceDN w:val="0"/>
              <w:adjustRightInd w:val="0"/>
              <w:spacing w:after="0" w:line="240" w:lineRule="auto"/>
              <w:rPr>
                <w:rFonts w:ascii="Times New Roman" w:hAnsi="Times New Roman" w:cs="Times New Roman"/>
                <w:lang w:val="de-DE"/>
              </w:rPr>
            </w:pPr>
            <w:r w:rsidRPr="00402720">
              <w:rPr>
                <w:rFonts w:ascii="Times New Roman" w:hAnsi="Times New Roman" w:cs="Times New Roman"/>
                <w:lang w:val="de-DE"/>
              </w:rPr>
              <w:t>Anzahl der Patienten</w:t>
            </w:r>
          </w:p>
        </w:tc>
        <w:tc>
          <w:tcPr>
            <w:tcW w:w="2693" w:type="dxa"/>
          </w:tcPr>
          <w:p w14:paraId="2B60EEE9" w14:textId="77777777" w:rsidR="009F1B05" w:rsidRPr="00402720" w:rsidRDefault="009F1B05"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411</w:t>
            </w:r>
          </w:p>
        </w:tc>
        <w:tc>
          <w:tcPr>
            <w:tcW w:w="2694" w:type="dxa"/>
          </w:tcPr>
          <w:p w14:paraId="40BA3696" w14:textId="77777777" w:rsidR="009F1B05" w:rsidRPr="00402720" w:rsidRDefault="009F1B05"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402</w:t>
            </w:r>
          </w:p>
        </w:tc>
      </w:tr>
      <w:tr w:rsidR="009F1B05" w:rsidRPr="00402720" w14:paraId="7034F57A" w14:textId="77777777" w:rsidTr="00402720">
        <w:trPr>
          <w:trHeight w:val="20"/>
        </w:trPr>
        <w:tc>
          <w:tcPr>
            <w:tcW w:w="8931" w:type="dxa"/>
            <w:gridSpan w:val="3"/>
          </w:tcPr>
          <w:p w14:paraId="4D7081EB" w14:textId="77777777" w:rsidR="009F1B05" w:rsidRPr="00402720" w:rsidRDefault="00855C5F" w:rsidP="00402720">
            <w:pPr>
              <w:autoSpaceDE w:val="0"/>
              <w:autoSpaceDN w:val="0"/>
              <w:adjustRightInd w:val="0"/>
              <w:spacing w:after="0" w:line="240" w:lineRule="auto"/>
              <w:rPr>
                <w:rFonts w:ascii="Times New Roman" w:hAnsi="Times New Roman" w:cs="Times New Roman"/>
                <w:lang w:val="de-DE"/>
              </w:rPr>
            </w:pPr>
            <w:r w:rsidRPr="00402720">
              <w:rPr>
                <w:rFonts w:ascii="Times New Roman" w:hAnsi="Times New Roman" w:cs="Times New Roman"/>
                <w:lang w:val="de-DE"/>
              </w:rPr>
              <w:t>Gesamtüberleben</w:t>
            </w:r>
          </w:p>
        </w:tc>
      </w:tr>
      <w:tr w:rsidR="009F1B05" w:rsidRPr="00402720" w14:paraId="6A5A8777" w14:textId="77777777" w:rsidTr="00402720">
        <w:trPr>
          <w:trHeight w:val="20"/>
        </w:trPr>
        <w:tc>
          <w:tcPr>
            <w:tcW w:w="3544" w:type="dxa"/>
          </w:tcPr>
          <w:p w14:paraId="3ABA32BF" w14:textId="77777777" w:rsidR="009F1B05" w:rsidRPr="00402720" w:rsidRDefault="00855C5F" w:rsidP="00402720">
            <w:pPr>
              <w:tabs>
                <w:tab w:val="left" w:pos="567"/>
              </w:tabs>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 (Monate)</w:t>
            </w:r>
          </w:p>
        </w:tc>
        <w:tc>
          <w:tcPr>
            <w:tcW w:w="2693" w:type="dxa"/>
          </w:tcPr>
          <w:p w14:paraId="143992BF" w14:textId="77777777" w:rsidR="009F1B05" w:rsidRPr="00402720" w:rsidRDefault="009F1B05"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15,6</w:t>
            </w:r>
          </w:p>
        </w:tc>
        <w:tc>
          <w:tcPr>
            <w:tcW w:w="2694" w:type="dxa"/>
          </w:tcPr>
          <w:p w14:paraId="7FBF5631" w14:textId="77777777" w:rsidR="009F1B05" w:rsidRPr="00402720" w:rsidRDefault="009F1B05"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20,3</w:t>
            </w:r>
          </w:p>
        </w:tc>
      </w:tr>
      <w:tr w:rsidR="009F1B05" w:rsidRPr="00402720" w14:paraId="3CAC4722" w14:textId="77777777" w:rsidTr="00402720">
        <w:trPr>
          <w:trHeight w:val="20"/>
        </w:trPr>
        <w:tc>
          <w:tcPr>
            <w:tcW w:w="3544" w:type="dxa"/>
          </w:tcPr>
          <w:p w14:paraId="2E0BCF33" w14:textId="5B612F43" w:rsidR="009F1B05" w:rsidRPr="00402720" w:rsidRDefault="009F1B05" w:rsidP="00402720">
            <w:pPr>
              <w:tabs>
                <w:tab w:val="left" w:pos="567"/>
              </w:tabs>
              <w:spacing w:after="0" w:line="240" w:lineRule="auto"/>
              <w:ind w:left="567"/>
              <w:rPr>
                <w:rFonts w:ascii="Times New Roman" w:hAnsi="Times New Roman" w:cs="Times New Roman"/>
                <w:lang w:val="de-DE"/>
              </w:rPr>
            </w:pPr>
            <w:r w:rsidRPr="00402720">
              <w:rPr>
                <w:rFonts w:ascii="Times New Roman" w:hAnsi="Times New Roman" w:cs="Times New Roman"/>
                <w:lang w:val="de-DE"/>
              </w:rPr>
              <w:t>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00892181">
              <w:rPr>
                <w:rFonts w:ascii="Times New Roman" w:hAnsi="Times New Roman" w:cs="Times New Roman"/>
                <w:lang w:val="de-DE"/>
              </w:rPr>
              <w:t>Konfidenzintervall (</w:t>
            </w:r>
            <w:r w:rsidR="00855C5F" w:rsidRPr="00402720">
              <w:rPr>
                <w:rFonts w:ascii="Times New Roman" w:hAnsi="Times New Roman" w:cs="Times New Roman"/>
                <w:lang w:val="de-DE"/>
              </w:rPr>
              <w:t>KI</w:t>
            </w:r>
            <w:r w:rsidR="00892181">
              <w:rPr>
                <w:rFonts w:ascii="Times New Roman" w:hAnsi="Times New Roman" w:cs="Times New Roman"/>
                <w:lang w:val="de-DE"/>
              </w:rPr>
              <w:t>)</w:t>
            </w:r>
          </w:p>
        </w:tc>
        <w:tc>
          <w:tcPr>
            <w:tcW w:w="2693" w:type="dxa"/>
          </w:tcPr>
          <w:p w14:paraId="1618B1BE" w14:textId="77777777" w:rsidR="009F1B05" w:rsidRPr="00402720" w:rsidRDefault="009F1B05"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14,29 </w:t>
            </w:r>
            <w:r w:rsidR="00D7227D" w:rsidRPr="00402720">
              <w:rPr>
                <w:rFonts w:ascii="Times New Roman" w:hAnsi="Times New Roman" w:cs="Times New Roman"/>
                <w:lang w:val="de-DE"/>
              </w:rPr>
              <w:t>-</w:t>
            </w:r>
            <w:r w:rsidRPr="00402720">
              <w:rPr>
                <w:rFonts w:ascii="Times New Roman" w:hAnsi="Times New Roman" w:cs="Times New Roman"/>
                <w:lang w:val="de-DE"/>
              </w:rPr>
              <w:t xml:space="preserve"> 16,99</w:t>
            </w:r>
          </w:p>
        </w:tc>
        <w:tc>
          <w:tcPr>
            <w:tcW w:w="2694" w:type="dxa"/>
          </w:tcPr>
          <w:p w14:paraId="4C67942C" w14:textId="77777777" w:rsidR="009F1B05" w:rsidRPr="00402720" w:rsidRDefault="009F1B05"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18,46 </w:t>
            </w:r>
            <w:r w:rsidR="00D7227D" w:rsidRPr="00402720">
              <w:rPr>
                <w:rFonts w:ascii="Times New Roman" w:hAnsi="Times New Roman" w:cs="Times New Roman"/>
                <w:lang w:val="de-DE"/>
              </w:rPr>
              <w:t>-</w:t>
            </w:r>
            <w:r w:rsidRPr="00402720">
              <w:rPr>
                <w:rFonts w:ascii="Times New Roman" w:hAnsi="Times New Roman" w:cs="Times New Roman"/>
                <w:lang w:val="de-DE"/>
              </w:rPr>
              <w:t xml:space="preserve"> 24,18</w:t>
            </w:r>
          </w:p>
        </w:tc>
      </w:tr>
      <w:tr w:rsidR="009F1B05" w:rsidRPr="00402720" w14:paraId="59967B32" w14:textId="77777777" w:rsidTr="00402720">
        <w:trPr>
          <w:trHeight w:val="20"/>
        </w:trPr>
        <w:tc>
          <w:tcPr>
            <w:tcW w:w="3544" w:type="dxa"/>
          </w:tcPr>
          <w:p w14:paraId="3831B373" w14:textId="3AE7C662" w:rsidR="009F1B05" w:rsidRPr="00402720" w:rsidRDefault="009F1B05" w:rsidP="00402720">
            <w:pPr>
              <w:tabs>
                <w:tab w:val="left" w:pos="567"/>
              </w:tabs>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Hazard </w:t>
            </w:r>
            <w:r w:rsidR="00753633" w:rsidRPr="00402720">
              <w:rPr>
                <w:rFonts w:ascii="Times New Roman" w:hAnsi="Times New Roman" w:cs="Times New Roman"/>
                <w:lang w:val="de-DE"/>
              </w:rPr>
              <w:t>R</w:t>
            </w:r>
            <w:r w:rsidRPr="00402720">
              <w:rPr>
                <w:rFonts w:ascii="Times New Roman" w:hAnsi="Times New Roman" w:cs="Times New Roman"/>
                <w:lang w:val="de-DE"/>
              </w:rPr>
              <w:t>atio</w:t>
            </w:r>
            <w:r w:rsidR="00892181">
              <w:rPr>
                <w:rFonts w:ascii="Times New Roman" w:hAnsi="Times New Roman" w:cs="Times New Roman"/>
                <w:lang w:val="de-DE"/>
              </w:rPr>
              <w:t xml:space="preserve"> (HR)</w:t>
            </w:r>
            <w:r w:rsidRPr="00402720">
              <w:rPr>
                <w:rFonts w:ascii="Times New Roman" w:hAnsi="Times New Roman" w:cs="Times New Roman"/>
                <w:vertAlign w:val="superscript"/>
                <w:lang w:val="de-DE"/>
              </w:rPr>
              <w:t>b</w:t>
            </w:r>
          </w:p>
        </w:tc>
        <w:tc>
          <w:tcPr>
            <w:tcW w:w="5387" w:type="dxa"/>
            <w:gridSpan w:val="2"/>
          </w:tcPr>
          <w:p w14:paraId="65BE2348" w14:textId="77777777" w:rsidR="00855C5F" w:rsidRPr="00402720" w:rsidRDefault="00855C5F"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0,660</w:t>
            </w:r>
          </w:p>
          <w:p w14:paraId="4A5C7F8F" w14:textId="77777777" w:rsidR="009F1B05" w:rsidRPr="00402720" w:rsidRDefault="00855C5F"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(p-Wert = 0,00004)</w:t>
            </w:r>
          </w:p>
        </w:tc>
      </w:tr>
      <w:tr w:rsidR="009F1B05" w:rsidRPr="00402720" w14:paraId="2EB81D88" w14:textId="77777777" w:rsidTr="00402720">
        <w:trPr>
          <w:trHeight w:val="20"/>
        </w:trPr>
        <w:tc>
          <w:tcPr>
            <w:tcW w:w="8931" w:type="dxa"/>
            <w:gridSpan w:val="3"/>
          </w:tcPr>
          <w:p w14:paraId="7D011CBB" w14:textId="77777777" w:rsidR="009F1B05" w:rsidRPr="00402720" w:rsidRDefault="00855C5F" w:rsidP="00A16482">
            <w:pPr>
              <w:keepNext/>
              <w:keepLines/>
              <w:autoSpaceDE w:val="0"/>
              <w:autoSpaceDN w:val="0"/>
              <w:adjustRightInd w:val="0"/>
              <w:spacing w:after="0" w:line="240" w:lineRule="auto"/>
              <w:rPr>
                <w:rFonts w:ascii="Times New Roman" w:hAnsi="Times New Roman" w:cs="Times New Roman"/>
                <w:lang w:val="de-DE"/>
              </w:rPr>
            </w:pPr>
            <w:r w:rsidRPr="00402720">
              <w:rPr>
                <w:rFonts w:ascii="Times New Roman" w:hAnsi="Times New Roman" w:cs="Times New Roman"/>
                <w:lang w:val="de-DE"/>
              </w:rPr>
              <w:lastRenderedPageBreak/>
              <w:t>Progressionsfreies Überleben</w:t>
            </w:r>
          </w:p>
        </w:tc>
      </w:tr>
      <w:tr w:rsidR="009F1B05" w:rsidRPr="00402720" w14:paraId="5FF9F7CC" w14:textId="77777777" w:rsidTr="00402720">
        <w:trPr>
          <w:trHeight w:val="20"/>
        </w:trPr>
        <w:tc>
          <w:tcPr>
            <w:tcW w:w="3544" w:type="dxa"/>
          </w:tcPr>
          <w:p w14:paraId="6851BDF3" w14:textId="77777777" w:rsidR="009F1B05" w:rsidRPr="00402720" w:rsidRDefault="00855C5F" w:rsidP="00A16482">
            <w:pPr>
              <w:keepNext/>
              <w:keepLines/>
              <w:tabs>
                <w:tab w:val="left" w:pos="567"/>
              </w:tabs>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 (Monate)</w:t>
            </w:r>
          </w:p>
        </w:tc>
        <w:tc>
          <w:tcPr>
            <w:tcW w:w="2693" w:type="dxa"/>
          </w:tcPr>
          <w:p w14:paraId="22F1016D" w14:textId="77777777" w:rsidR="009F1B05" w:rsidRPr="00402720" w:rsidRDefault="009F1B05" w:rsidP="00A16482">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6,2</w:t>
            </w:r>
          </w:p>
        </w:tc>
        <w:tc>
          <w:tcPr>
            <w:tcW w:w="2694" w:type="dxa"/>
          </w:tcPr>
          <w:p w14:paraId="12D06687" w14:textId="77777777" w:rsidR="009F1B05" w:rsidRPr="00402720" w:rsidRDefault="009F1B05" w:rsidP="00A16482">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10,6</w:t>
            </w:r>
          </w:p>
        </w:tc>
      </w:tr>
      <w:tr w:rsidR="009F1B05" w:rsidRPr="00402720" w14:paraId="398FFA09" w14:textId="77777777" w:rsidTr="00402720">
        <w:trPr>
          <w:trHeight w:val="20"/>
        </w:trPr>
        <w:tc>
          <w:tcPr>
            <w:tcW w:w="3544" w:type="dxa"/>
          </w:tcPr>
          <w:p w14:paraId="13A43424" w14:textId="77777777" w:rsidR="009F1B05" w:rsidRPr="00402720" w:rsidRDefault="009F1B05" w:rsidP="00A16482">
            <w:pPr>
              <w:keepNext/>
              <w:keepLines/>
              <w:tabs>
                <w:tab w:val="left" w:pos="567"/>
              </w:tabs>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Hazard </w:t>
            </w:r>
            <w:r w:rsidR="00753633" w:rsidRPr="00402720">
              <w:rPr>
                <w:rFonts w:ascii="Times New Roman" w:hAnsi="Times New Roman" w:cs="Times New Roman"/>
                <w:lang w:val="de-DE"/>
              </w:rPr>
              <w:t>R</w:t>
            </w:r>
            <w:r w:rsidRPr="00402720">
              <w:rPr>
                <w:rFonts w:ascii="Times New Roman" w:hAnsi="Times New Roman" w:cs="Times New Roman"/>
                <w:lang w:val="de-DE"/>
              </w:rPr>
              <w:t>atio</w:t>
            </w:r>
          </w:p>
        </w:tc>
        <w:tc>
          <w:tcPr>
            <w:tcW w:w="5387" w:type="dxa"/>
            <w:gridSpan w:val="2"/>
          </w:tcPr>
          <w:p w14:paraId="1D70F331" w14:textId="77777777" w:rsidR="009F1B05" w:rsidRPr="00402720" w:rsidRDefault="009F1B05" w:rsidP="00A16482">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0,54</w:t>
            </w:r>
          </w:p>
          <w:p w14:paraId="112E556D" w14:textId="77777777" w:rsidR="009F1B05" w:rsidRPr="00402720" w:rsidRDefault="009F1B05" w:rsidP="00A16482">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w:t>
            </w:r>
            <w:r w:rsidR="00855C5F" w:rsidRPr="00402720">
              <w:rPr>
                <w:rFonts w:ascii="Times New Roman" w:hAnsi="Times New Roman" w:cs="Times New Roman"/>
                <w:lang w:val="de-DE"/>
              </w:rPr>
              <w:t xml:space="preserve">p-Wert </w:t>
            </w:r>
            <w:r w:rsidR="00E32D5C" w:rsidRPr="00402720">
              <w:rPr>
                <w:rFonts w:ascii="Times New Roman" w:hAnsi="Times New Roman" w:cs="Times New Roman"/>
                <w:lang w:val="de-DE"/>
              </w:rPr>
              <w:t>&lt;</w:t>
            </w:r>
            <w:r w:rsidR="002A5DCF" w:rsidRPr="00402720">
              <w:rPr>
                <w:rFonts w:ascii="Times New Roman" w:hAnsi="Times New Roman" w:cs="Times New Roman"/>
                <w:lang w:val="de-DE"/>
              </w:rPr>
              <w:t xml:space="preserve"> </w:t>
            </w:r>
            <w:r w:rsidRPr="00402720">
              <w:rPr>
                <w:rFonts w:ascii="Times New Roman" w:hAnsi="Times New Roman" w:cs="Times New Roman"/>
                <w:lang w:val="de-DE"/>
              </w:rPr>
              <w:t>0,0001)</w:t>
            </w:r>
          </w:p>
        </w:tc>
      </w:tr>
      <w:tr w:rsidR="009F1B05" w:rsidRPr="00402720" w14:paraId="0B667782" w14:textId="77777777" w:rsidTr="00402720">
        <w:trPr>
          <w:trHeight w:val="20"/>
        </w:trPr>
        <w:tc>
          <w:tcPr>
            <w:tcW w:w="8931" w:type="dxa"/>
            <w:gridSpan w:val="3"/>
          </w:tcPr>
          <w:p w14:paraId="6377F107" w14:textId="77777777" w:rsidR="009F1B05" w:rsidRPr="00402720" w:rsidRDefault="00855C5F" w:rsidP="00402720">
            <w:pPr>
              <w:keepNext/>
              <w:autoSpaceDE w:val="0"/>
              <w:autoSpaceDN w:val="0"/>
              <w:adjustRightInd w:val="0"/>
              <w:spacing w:after="0" w:line="240" w:lineRule="auto"/>
              <w:rPr>
                <w:rFonts w:ascii="Times New Roman" w:hAnsi="Times New Roman" w:cs="Times New Roman"/>
                <w:lang w:val="de-DE"/>
              </w:rPr>
            </w:pPr>
            <w:r w:rsidRPr="00402720">
              <w:rPr>
                <w:rFonts w:ascii="Times New Roman" w:hAnsi="Times New Roman" w:cs="Times New Roman"/>
                <w:lang w:val="de-DE"/>
              </w:rPr>
              <w:t>Gesamtansprechrate</w:t>
            </w:r>
          </w:p>
        </w:tc>
      </w:tr>
      <w:tr w:rsidR="009F1B05" w:rsidRPr="00402720" w14:paraId="61333500" w14:textId="77777777" w:rsidTr="00402720">
        <w:trPr>
          <w:trHeight w:val="20"/>
        </w:trPr>
        <w:tc>
          <w:tcPr>
            <w:tcW w:w="3544" w:type="dxa"/>
          </w:tcPr>
          <w:p w14:paraId="75036128" w14:textId="77777777" w:rsidR="009F1B05" w:rsidRPr="00402720" w:rsidRDefault="009F1B05" w:rsidP="00402720">
            <w:pPr>
              <w:tabs>
                <w:tab w:val="left" w:pos="567"/>
              </w:tabs>
              <w:spacing w:after="0" w:line="240" w:lineRule="auto"/>
              <w:ind w:left="567"/>
              <w:rPr>
                <w:rFonts w:ascii="Times New Roman" w:hAnsi="Times New Roman" w:cs="Times New Roman"/>
                <w:lang w:val="de-DE"/>
              </w:rPr>
            </w:pPr>
            <w:r w:rsidRPr="00402720">
              <w:rPr>
                <w:rFonts w:ascii="Times New Roman" w:hAnsi="Times New Roman" w:cs="Times New Roman"/>
                <w:lang w:val="de-DE"/>
              </w:rPr>
              <w:t>Rate (</w:t>
            </w:r>
            <w:r w:rsidR="00322E40" w:rsidRPr="00402720">
              <w:rPr>
                <w:rFonts w:ascii="Times New Roman" w:hAnsi="Times New Roman" w:cs="Times New Roman"/>
                <w:lang w:val="de-DE"/>
              </w:rPr>
              <w:t>%</w:t>
            </w:r>
            <w:r w:rsidRPr="00402720">
              <w:rPr>
                <w:rFonts w:ascii="Times New Roman" w:hAnsi="Times New Roman" w:cs="Times New Roman"/>
                <w:lang w:val="de-DE"/>
              </w:rPr>
              <w:t>)</w:t>
            </w:r>
          </w:p>
        </w:tc>
        <w:tc>
          <w:tcPr>
            <w:tcW w:w="2693" w:type="dxa"/>
          </w:tcPr>
          <w:p w14:paraId="1DB33ECF" w14:textId="77777777" w:rsidR="009F1B05" w:rsidRPr="00402720" w:rsidRDefault="009F1B05"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34,8</w:t>
            </w:r>
          </w:p>
        </w:tc>
        <w:tc>
          <w:tcPr>
            <w:tcW w:w="2694" w:type="dxa"/>
          </w:tcPr>
          <w:p w14:paraId="007D47AC" w14:textId="77777777" w:rsidR="009F1B05" w:rsidRPr="00402720" w:rsidRDefault="009F1B05"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44,8</w:t>
            </w:r>
          </w:p>
        </w:tc>
      </w:tr>
      <w:tr w:rsidR="009F1B05" w:rsidRPr="00402720" w14:paraId="6C08D56D" w14:textId="77777777" w:rsidTr="00402720">
        <w:trPr>
          <w:trHeight w:val="20"/>
        </w:trPr>
        <w:tc>
          <w:tcPr>
            <w:tcW w:w="3544" w:type="dxa"/>
          </w:tcPr>
          <w:p w14:paraId="04851E97" w14:textId="77777777" w:rsidR="009F1B05" w:rsidRPr="00402720" w:rsidRDefault="009F1B05" w:rsidP="00402720">
            <w:pPr>
              <w:autoSpaceDE w:val="0"/>
              <w:autoSpaceDN w:val="0"/>
              <w:adjustRightInd w:val="0"/>
              <w:spacing w:after="0" w:line="240" w:lineRule="auto"/>
              <w:rPr>
                <w:rFonts w:ascii="Times New Roman" w:hAnsi="Times New Roman" w:cs="Times New Roman"/>
                <w:lang w:val="de-DE"/>
              </w:rPr>
            </w:pPr>
          </w:p>
        </w:tc>
        <w:tc>
          <w:tcPr>
            <w:tcW w:w="5387" w:type="dxa"/>
            <w:gridSpan w:val="2"/>
          </w:tcPr>
          <w:p w14:paraId="01F340C7" w14:textId="77777777" w:rsidR="009F1B05" w:rsidRPr="00402720" w:rsidRDefault="009F1B05"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w:t>
            </w:r>
            <w:r w:rsidR="00855C5F" w:rsidRPr="00402720">
              <w:rPr>
                <w:rFonts w:ascii="Times New Roman" w:hAnsi="Times New Roman" w:cs="Times New Roman"/>
                <w:lang w:val="de-DE"/>
              </w:rPr>
              <w:t xml:space="preserve">p-Wert </w:t>
            </w:r>
            <w:r w:rsidRPr="00402720">
              <w:rPr>
                <w:rFonts w:ascii="Times New Roman" w:hAnsi="Times New Roman" w:cs="Times New Roman"/>
                <w:lang w:val="de-DE"/>
              </w:rPr>
              <w:t>= 0,0036)</w:t>
            </w:r>
          </w:p>
        </w:tc>
      </w:tr>
    </w:tbl>
    <w:p w14:paraId="29F0AD37" w14:textId="77777777" w:rsidR="00AF337C" w:rsidRPr="009737B5" w:rsidRDefault="00AB12F9" w:rsidP="00552E48">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a</w:t>
      </w:r>
      <w:r w:rsidRPr="009737B5">
        <w:rPr>
          <w:rFonts w:ascii="Times New Roman" w:hAnsi="Times New Roman" w:cs="Times New Roman"/>
          <w:sz w:val="20"/>
          <w:szCs w:val="20"/>
          <w:lang w:val="de-DE"/>
        </w:rPr>
        <w:tab/>
      </w:r>
      <w:r w:rsidR="00AF337C" w:rsidRPr="009737B5">
        <w:rPr>
          <w:rFonts w:ascii="Times New Roman" w:hAnsi="Times New Roman" w:cs="Times New Roman"/>
          <w:sz w:val="20"/>
          <w:szCs w:val="20"/>
          <w:lang w:val="de-DE"/>
        </w:rPr>
        <w:t>5</w:t>
      </w:r>
      <w:r w:rsidR="00AB26B9" w:rsidRPr="009737B5">
        <w:rPr>
          <w:rFonts w:ascii="Times New Roman" w:hAnsi="Times New Roman" w:cs="Times New Roman"/>
          <w:sz w:val="20"/>
          <w:szCs w:val="20"/>
          <w:lang w:val="de-DE"/>
        </w:rPr>
        <w:t> mg</w:t>
      </w:r>
      <w:r w:rsidR="00AF337C" w:rsidRPr="009737B5">
        <w:rPr>
          <w:rFonts w:ascii="Times New Roman" w:hAnsi="Times New Roman" w:cs="Times New Roman"/>
          <w:sz w:val="20"/>
          <w:szCs w:val="20"/>
          <w:lang w:val="de-DE"/>
        </w:rPr>
        <w:t>/kg alle zwei Wochen</w:t>
      </w:r>
      <w:r w:rsidR="00486888" w:rsidRPr="009737B5">
        <w:rPr>
          <w:rFonts w:ascii="Times New Roman" w:hAnsi="Times New Roman" w:cs="Times New Roman"/>
          <w:sz w:val="20"/>
          <w:szCs w:val="20"/>
          <w:lang w:val="de-DE"/>
        </w:rPr>
        <w:t>.</w:t>
      </w:r>
    </w:p>
    <w:p w14:paraId="1131CFB4" w14:textId="77777777" w:rsidR="00AF337C" w:rsidRPr="009737B5" w:rsidRDefault="00AF337C" w:rsidP="00552E48">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b</w:t>
      </w:r>
      <w:r w:rsidRPr="009737B5">
        <w:rPr>
          <w:rFonts w:ascii="Times New Roman" w:hAnsi="Times New Roman" w:cs="Times New Roman"/>
          <w:sz w:val="20"/>
          <w:szCs w:val="20"/>
          <w:lang w:val="de-DE"/>
        </w:rPr>
        <w:tab/>
        <w:t>Relativ zum Kontrollarm</w:t>
      </w:r>
      <w:r w:rsidR="00486888" w:rsidRPr="009737B5">
        <w:rPr>
          <w:rFonts w:ascii="Times New Roman" w:hAnsi="Times New Roman" w:cs="Times New Roman"/>
          <w:sz w:val="20"/>
          <w:szCs w:val="20"/>
          <w:lang w:val="de-DE"/>
        </w:rPr>
        <w:t>.</w:t>
      </w:r>
    </w:p>
    <w:p w14:paraId="3EF9F320" w14:textId="77777777" w:rsidR="00AF337C" w:rsidRPr="009737B5" w:rsidRDefault="00AF337C" w:rsidP="005F4D08">
      <w:pPr>
        <w:suppressAutoHyphens/>
        <w:spacing w:after="0" w:line="240" w:lineRule="auto"/>
        <w:rPr>
          <w:rFonts w:ascii="Times New Roman" w:hAnsi="Times New Roman" w:cs="Times New Roman"/>
          <w:lang w:val="de-DE"/>
        </w:rPr>
      </w:pPr>
    </w:p>
    <w:p w14:paraId="15F0D816" w14:textId="2A8D77CC"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Für die 110</w:t>
      </w:r>
      <w:r w:rsidR="00C41775">
        <w:rPr>
          <w:rFonts w:ascii="Times New Roman" w:hAnsi="Times New Roman" w:cs="Times New Roman"/>
          <w:lang w:val="de-DE"/>
        </w:rPr>
        <w:t> </w:t>
      </w:r>
      <w:r w:rsidRPr="009737B5">
        <w:rPr>
          <w:rFonts w:ascii="Times New Roman" w:hAnsi="Times New Roman" w:cs="Times New Roman"/>
          <w:lang w:val="de-DE"/>
        </w:rPr>
        <w:t>Patienten, die randomisiert Arm</w:t>
      </w:r>
      <w:r w:rsidR="00C41775">
        <w:rPr>
          <w:rFonts w:ascii="Times New Roman" w:hAnsi="Times New Roman" w:cs="Times New Roman"/>
          <w:lang w:val="de-DE"/>
        </w:rPr>
        <w:t> </w:t>
      </w:r>
      <w:r w:rsidRPr="009737B5">
        <w:rPr>
          <w:rFonts w:ascii="Times New Roman" w:hAnsi="Times New Roman" w:cs="Times New Roman"/>
          <w:lang w:val="de-DE"/>
        </w:rPr>
        <w:t xml:space="preserve">3 (5-FU/FA + </w:t>
      </w:r>
      <w:r w:rsidR="00A15C0A" w:rsidRPr="009737B5">
        <w:rPr>
          <w:rFonts w:ascii="Times New Roman" w:hAnsi="Times New Roman" w:cs="Times New Roman"/>
          <w:lang w:val="de-DE"/>
        </w:rPr>
        <w:t>Bevacizumab</w:t>
      </w:r>
      <w:r w:rsidRPr="009737B5">
        <w:rPr>
          <w:rFonts w:ascii="Times New Roman" w:hAnsi="Times New Roman" w:cs="Times New Roman"/>
          <w:lang w:val="de-DE"/>
        </w:rPr>
        <w:t>) zugewiesen worden waren, betrug vor dem Behandlungsende das Gesamtüberleben im Median 18,3</w:t>
      </w:r>
      <w:r w:rsidR="00C41775">
        <w:rPr>
          <w:rFonts w:ascii="Times New Roman" w:hAnsi="Times New Roman" w:cs="Times New Roman"/>
          <w:lang w:val="de-DE"/>
        </w:rPr>
        <w:t> </w:t>
      </w:r>
      <w:r w:rsidRPr="009737B5">
        <w:rPr>
          <w:rFonts w:ascii="Times New Roman" w:hAnsi="Times New Roman" w:cs="Times New Roman"/>
          <w:lang w:val="de-DE"/>
        </w:rPr>
        <w:t>Monate und das progressionsfreie Überleben im Median 8,8</w:t>
      </w:r>
      <w:r w:rsidR="00C41775">
        <w:rPr>
          <w:rFonts w:ascii="Times New Roman" w:hAnsi="Times New Roman" w:cs="Times New Roman"/>
          <w:lang w:val="de-DE"/>
        </w:rPr>
        <w:t> </w:t>
      </w:r>
      <w:r w:rsidRPr="009737B5">
        <w:rPr>
          <w:rFonts w:ascii="Times New Roman" w:hAnsi="Times New Roman" w:cs="Times New Roman"/>
          <w:lang w:val="de-DE"/>
        </w:rPr>
        <w:t>Monate.</w:t>
      </w:r>
    </w:p>
    <w:p w14:paraId="539E8614" w14:textId="77777777" w:rsidR="00AF337C" w:rsidRPr="009737B5" w:rsidRDefault="00AF337C" w:rsidP="005F4D08">
      <w:pPr>
        <w:suppressAutoHyphens/>
        <w:spacing w:after="0" w:line="240" w:lineRule="auto"/>
        <w:rPr>
          <w:rFonts w:ascii="Times New Roman" w:hAnsi="Times New Roman" w:cs="Times New Roman"/>
          <w:lang w:val="de-DE"/>
        </w:rPr>
      </w:pPr>
    </w:p>
    <w:p w14:paraId="038A8F0D" w14:textId="77777777" w:rsidR="00AF337C" w:rsidRPr="009737B5" w:rsidRDefault="00AF337C" w:rsidP="00552E48">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AVF2192g</w:t>
      </w:r>
    </w:p>
    <w:p w14:paraId="759E9AC5" w14:textId="0AA7ACF8"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dieser randomisierten, doppelblinden, aktiv kontrollierten klinischen Phase</w:t>
      </w:r>
      <w:r w:rsidR="00C41775">
        <w:rPr>
          <w:rFonts w:ascii="Times New Roman" w:hAnsi="Times New Roman" w:cs="Times New Roman"/>
          <w:lang w:val="de-DE"/>
        </w:rPr>
        <w:t> </w:t>
      </w:r>
      <w:r w:rsidRPr="009737B5">
        <w:rPr>
          <w:rFonts w:ascii="Times New Roman" w:hAnsi="Times New Roman" w:cs="Times New Roman"/>
          <w:lang w:val="de-DE"/>
        </w:rPr>
        <w:t xml:space="preserve">II-Studie wurden die Wirksamkeit und Sicherheit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5-FU/FA als First-Line-Behandlung von metastasiertem Kolon- oder Rektumkarzinom bei Patienten untersucht, die keine optimalen Kandidaten für eine First-Line-Behandlung mit Irinotecan waren. 105</w:t>
      </w:r>
      <w:r w:rsidR="00C41775">
        <w:rPr>
          <w:rFonts w:ascii="Times New Roman" w:hAnsi="Times New Roman" w:cs="Times New Roman"/>
          <w:lang w:val="de-DE"/>
        </w:rPr>
        <w:t> </w:t>
      </w:r>
      <w:r w:rsidRPr="009737B5">
        <w:rPr>
          <w:rFonts w:ascii="Times New Roman" w:hAnsi="Times New Roman" w:cs="Times New Roman"/>
          <w:lang w:val="de-DE"/>
        </w:rPr>
        <w:t>Patienten wurden randomisiert dem 5-FU/FA + Placebo-Arm und 104</w:t>
      </w:r>
      <w:r w:rsidR="00C41775">
        <w:rPr>
          <w:rFonts w:ascii="Times New Roman" w:hAnsi="Times New Roman" w:cs="Times New Roman"/>
          <w:lang w:val="de-DE"/>
        </w:rPr>
        <w:t> </w:t>
      </w:r>
      <w:r w:rsidRPr="009737B5">
        <w:rPr>
          <w:rFonts w:ascii="Times New Roman" w:hAnsi="Times New Roman" w:cs="Times New Roman"/>
          <w:lang w:val="de-DE"/>
        </w:rPr>
        <w:t xml:space="preserve">Patienten dem 5-FU/FA + </w:t>
      </w:r>
      <w:r w:rsidR="00A15C0A" w:rsidRPr="009737B5">
        <w:rPr>
          <w:rFonts w:ascii="Times New Roman" w:hAnsi="Times New Roman" w:cs="Times New Roman"/>
          <w:lang w:val="de-DE"/>
        </w:rPr>
        <w:t>Bevacizumab-</w:t>
      </w:r>
      <w:r w:rsidRPr="009737B5">
        <w:rPr>
          <w:rFonts w:ascii="Times New Roman" w:hAnsi="Times New Roman" w:cs="Times New Roman"/>
          <w:lang w:val="de-DE"/>
        </w:rPr>
        <w:t>Arm (5</w:t>
      </w:r>
      <w:r w:rsidR="00AB26B9" w:rsidRPr="009737B5">
        <w:rPr>
          <w:rFonts w:ascii="Times New Roman" w:hAnsi="Times New Roman" w:cs="Times New Roman"/>
          <w:lang w:val="de-DE"/>
        </w:rPr>
        <w:t> mg</w:t>
      </w:r>
      <w:r w:rsidRPr="009737B5">
        <w:rPr>
          <w:rFonts w:ascii="Times New Roman" w:hAnsi="Times New Roman" w:cs="Times New Roman"/>
          <w:lang w:val="de-DE"/>
        </w:rPr>
        <w:t>/kg alle 2</w:t>
      </w:r>
      <w:r w:rsidR="00C41775">
        <w:rPr>
          <w:rFonts w:ascii="Times New Roman" w:hAnsi="Times New Roman" w:cs="Times New Roman"/>
          <w:lang w:val="de-DE"/>
        </w:rPr>
        <w:t> </w:t>
      </w:r>
      <w:r w:rsidRPr="009737B5">
        <w:rPr>
          <w:rFonts w:ascii="Times New Roman" w:hAnsi="Times New Roman" w:cs="Times New Roman"/>
          <w:lang w:val="de-DE"/>
        </w:rPr>
        <w:t xml:space="preserve">Wochen) zugewiesen. Alle Behandlungen wurden bis zur Progression der Erkrankung fortgesetzt. Das Hinzufügen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5</w:t>
      </w:r>
      <w:r w:rsidR="00AB26B9" w:rsidRPr="009737B5">
        <w:rPr>
          <w:rFonts w:ascii="Times New Roman" w:hAnsi="Times New Roman" w:cs="Times New Roman"/>
          <w:lang w:val="de-DE"/>
        </w:rPr>
        <w:t> mg</w:t>
      </w:r>
      <w:r w:rsidRPr="009737B5">
        <w:rPr>
          <w:rFonts w:ascii="Times New Roman" w:hAnsi="Times New Roman" w:cs="Times New Roman"/>
          <w:lang w:val="de-DE"/>
        </w:rPr>
        <w:t>/kg alle zwei Wochen zu 5-FU/FA führte zu höheren objektiven Ansprechraten, signifikant längerem progressionsfreien Überleben und einem tendenziell längeren Überleben im Vergleich zu 5-FU/FA-Chemotherapie alleine.</w:t>
      </w:r>
    </w:p>
    <w:p w14:paraId="60A4687B" w14:textId="77777777" w:rsidR="00AF337C" w:rsidRPr="009737B5" w:rsidRDefault="00AF337C" w:rsidP="005F4D08">
      <w:pPr>
        <w:suppressAutoHyphens/>
        <w:spacing w:after="0" w:line="240" w:lineRule="auto"/>
        <w:rPr>
          <w:rFonts w:ascii="Times New Roman" w:hAnsi="Times New Roman" w:cs="Times New Roman"/>
          <w:lang w:val="de-DE"/>
        </w:rPr>
      </w:pPr>
    </w:p>
    <w:p w14:paraId="1E492CB3" w14:textId="77777777" w:rsidR="00AF337C" w:rsidRPr="009737B5" w:rsidRDefault="00AF337C" w:rsidP="00552E48">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AVF0780g</w:t>
      </w:r>
    </w:p>
    <w:p w14:paraId="784485B9" w14:textId="3D4608C4"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dieser randomisierten, aktiv kontrollierten, offenen klinischen Phase</w:t>
      </w:r>
      <w:r w:rsidR="000B0A74">
        <w:rPr>
          <w:rFonts w:ascii="Times New Roman" w:hAnsi="Times New Roman" w:cs="Times New Roman"/>
          <w:lang w:val="de-DE"/>
        </w:rPr>
        <w:t> </w:t>
      </w:r>
      <w:r w:rsidRPr="009737B5">
        <w:rPr>
          <w:rFonts w:ascii="Times New Roman" w:hAnsi="Times New Roman" w:cs="Times New Roman"/>
          <w:lang w:val="de-DE"/>
        </w:rPr>
        <w:t xml:space="preserve">II-Studie wurde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5-FU/FA als First-Line-Behandlung des metastasierten Kolorektalkarzinoms untersucht. Das Alter der Patienten betrug im Median 64</w:t>
      </w:r>
      <w:r w:rsidR="0091668D" w:rsidRPr="009737B5">
        <w:rPr>
          <w:rFonts w:ascii="Times New Roman" w:hAnsi="Times New Roman" w:cs="Times New Roman"/>
          <w:lang w:val="de-DE"/>
        </w:rPr>
        <w:t> </w:t>
      </w:r>
      <w:r w:rsidRPr="009737B5">
        <w:rPr>
          <w:rFonts w:ascii="Times New Roman" w:hAnsi="Times New Roman" w:cs="Times New Roman"/>
          <w:lang w:val="de-DE"/>
        </w:rPr>
        <w:t>Jahre. 19</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hatten zuvor eine Chemotherapie und 14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eine Strahlentherapie erhalten. 71</w:t>
      </w:r>
      <w:r w:rsidR="000B0A74">
        <w:rPr>
          <w:rFonts w:ascii="Times New Roman" w:hAnsi="Times New Roman" w:cs="Times New Roman"/>
          <w:lang w:val="de-DE"/>
        </w:rPr>
        <w:t> </w:t>
      </w:r>
      <w:r w:rsidRPr="009737B5">
        <w:rPr>
          <w:rFonts w:ascii="Times New Roman" w:hAnsi="Times New Roman" w:cs="Times New Roman"/>
          <w:lang w:val="de-DE"/>
        </w:rPr>
        <w:t xml:space="preserve">Patienten wurden einer Behandlung mit Bolus 5-FU/FA oder 5-FU/FA +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(5</w:t>
      </w:r>
      <w:r w:rsidR="00AB26B9" w:rsidRPr="009737B5">
        <w:rPr>
          <w:rFonts w:ascii="Times New Roman" w:hAnsi="Times New Roman" w:cs="Times New Roman"/>
          <w:lang w:val="de-DE"/>
        </w:rPr>
        <w:t> mg</w:t>
      </w:r>
      <w:r w:rsidRPr="009737B5">
        <w:rPr>
          <w:rFonts w:ascii="Times New Roman" w:hAnsi="Times New Roman" w:cs="Times New Roman"/>
          <w:lang w:val="de-DE"/>
        </w:rPr>
        <w:t>/kg alle 2</w:t>
      </w:r>
      <w:r w:rsidR="000B0A74">
        <w:rPr>
          <w:rFonts w:ascii="Times New Roman" w:hAnsi="Times New Roman" w:cs="Times New Roman"/>
          <w:lang w:val="de-DE"/>
        </w:rPr>
        <w:t> </w:t>
      </w:r>
      <w:r w:rsidRPr="009737B5">
        <w:rPr>
          <w:rFonts w:ascii="Times New Roman" w:hAnsi="Times New Roman" w:cs="Times New Roman"/>
          <w:lang w:val="de-DE"/>
        </w:rPr>
        <w:t>Wochen) randomisiert zugewiesen. Eine dritte Gruppe von 33</w:t>
      </w:r>
      <w:r w:rsidR="000B0A74">
        <w:rPr>
          <w:rFonts w:ascii="Times New Roman" w:hAnsi="Times New Roman" w:cs="Times New Roman"/>
          <w:lang w:val="de-DE"/>
        </w:rPr>
        <w:t> </w:t>
      </w:r>
      <w:r w:rsidRPr="009737B5">
        <w:rPr>
          <w:rFonts w:ascii="Times New Roman" w:hAnsi="Times New Roman" w:cs="Times New Roman"/>
          <w:lang w:val="de-DE"/>
        </w:rPr>
        <w:t xml:space="preserve">Patienten erhielt als Bolus 5-FU/FA +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(10</w:t>
      </w:r>
      <w:r w:rsidR="00AB26B9" w:rsidRPr="009737B5">
        <w:rPr>
          <w:rFonts w:ascii="Times New Roman" w:hAnsi="Times New Roman" w:cs="Times New Roman"/>
          <w:lang w:val="de-DE"/>
        </w:rPr>
        <w:t> mg</w:t>
      </w:r>
      <w:r w:rsidRPr="009737B5">
        <w:rPr>
          <w:rFonts w:ascii="Times New Roman" w:hAnsi="Times New Roman" w:cs="Times New Roman"/>
          <w:lang w:val="de-DE"/>
        </w:rPr>
        <w:t>/kg alle 2</w:t>
      </w:r>
      <w:r w:rsidR="000B0A74">
        <w:rPr>
          <w:rFonts w:ascii="Times New Roman" w:hAnsi="Times New Roman" w:cs="Times New Roman"/>
          <w:lang w:val="de-DE"/>
        </w:rPr>
        <w:t> </w:t>
      </w:r>
      <w:r w:rsidRPr="009737B5">
        <w:rPr>
          <w:rFonts w:ascii="Times New Roman" w:hAnsi="Times New Roman" w:cs="Times New Roman"/>
          <w:lang w:val="de-DE"/>
        </w:rPr>
        <w:t xml:space="preserve">Wochen). Die Patienten wurden bis zur Progression der Erkrankung behandelt. Die primären Endpunkte der Studie waren die objektive Ansprechrate und das progressionsfreie Überleben. Das Hinzufügen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5</w:t>
      </w:r>
      <w:r w:rsidR="00AB26B9" w:rsidRPr="009737B5">
        <w:rPr>
          <w:rFonts w:ascii="Times New Roman" w:hAnsi="Times New Roman" w:cs="Times New Roman"/>
          <w:lang w:val="de-DE"/>
        </w:rPr>
        <w:t> mg</w:t>
      </w:r>
      <w:r w:rsidRPr="009737B5">
        <w:rPr>
          <w:rFonts w:ascii="Times New Roman" w:hAnsi="Times New Roman" w:cs="Times New Roman"/>
          <w:lang w:val="de-DE"/>
        </w:rPr>
        <w:t>/kg alle zwei Wochen zu 5-FU/FA führte zu höheren objektiven Ansprechraten, längerem progressionsfreien Überleben und zu einem tendenziell längeren Überleben im Vergleich zu 5-FU/FA-Chemotherapie alleine (siehe Tabelle</w:t>
      </w:r>
      <w:r w:rsidR="000B0A74">
        <w:rPr>
          <w:rFonts w:ascii="Times New Roman" w:hAnsi="Times New Roman" w:cs="Times New Roman"/>
          <w:lang w:val="de-DE"/>
        </w:rPr>
        <w:t> </w:t>
      </w:r>
      <w:r w:rsidRPr="009737B5">
        <w:rPr>
          <w:rFonts w:ascii="Times New Roman" w:hAnsi="Times New Roman" w:cs="Times New Roman"/>
          <w:lang w:val="de-DE"/>
        </w:rPr>
        <w:t>5). Diese Wirksamkeitsdaten stimmen mit den Ergebnissen überein, die in Studie</w:t>
      </w:r>
      <w:r w:rsidR="000B0A74">
        <w:rPr>
          <w:rFonts w:ascii="Times New Roman" w:hAnsi="Times New Roman" w:cs="Times New Roman"/>
          <w:lang w:val="de-DE"/>
        </w:rPr>
        <w:t> </w:t>
      </w:r>
      <w:r w:rsidRPr="009737B5">
        <w:rPr>
          <w:rFonts w:ascii="Times New Roman" w:hAnsi="Times New Roman" w:cs="Times New Roman"/>
          <w:lang w:val="de-DE"/>
        </w:rPr>
        <w:t>AVF2107g beobachtet wurden.</w:t>
      </w:r>
    </w:p>
    <w:p w14:paraId="77CAFAF9" w14:textId="77777777" w:rsidR="00AF337C" w:rsidRPr="009737B5" w:rsidRDefault="00AF337C" w:rsidP="005F4D08">
      <w:pPr>
        <w:suppressAutoHyphens/>
        <w:spacing w:after="0" w:line="240" w:lineRule="auto"/>
        <w:rPr>
          <w:rFonts w:ascii="Times New Roman" w:hAnsi="Times New Roman" w:cs="Times New Roman"/>
          <w:lang w:val="de-DE"/>
        </w:rPr>
      </w:pPr>
    </w:p>
    <w:p w14:paraId="410B0A88" w14:textId="06E4A77B"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Wirksamkeitsdaten aus den Studien</w:t>
      </w:r>
      <w:r w:rsidR="000B0A74">
        <w:rPr>
          <w:rFonts w:ascii="Times New Roman" w:hAnsi="Times New Roman" w:cs="Times New Roman"/>
          <w:lang w:val="de-DE"/>
        </w:rPr>
        <w:t> </w:t>
      </w:r>
      <w:r w:rsidRPr="009737B5">
        <w:rPr>
          <w:rFonts w:ascii="Times New Roman" w:hAnsi="Times New Roman" w:cs="Times New Roman"/>
          <w:lang w:val="de-DE"/>
        </w:rPr>
        <w:t xml:space="preserve">AVF0780g und AVF2192g </w:t>
      </w:r>
      <w:r w:rsidR="00AD5D8D" w:rsidRPr="009737B5">
        <w:rPr>
          <w:rFonts w:ascii="Times New Roman" w:hAnsi="Times New Roman" w:cs="Times New Roman"/>
          <w:lang w:val="de-DE"/>
        </w:rPr>
        <w:t xml:space="preserve">zu </w:t>
      </w:r>
      <w:r w:rsidR="00A15C0A" w:rsidRPr="009737B5">
        <w:rPr>
          <w:rFonts w:ascii="Times New Roman" w:hAnsi="Times New Roman" w:cs="Times New Roman"/>
          <w:lang w:val="de-DE"/>
        </w:rPr>
        <w:t>Bevacizumab</w:t>
      </w:r>
      <w:r w:rsidR="00AD5D8D" w:rsidRPr="009737B5">
        <w:rPr>
          <w:rFonts w:ascii="Times New Roman" w:hAnsi="Times New Roman" w:cs="Times New Roman"/>
          <w:lang w:val="de-DE"/>
        </w:rPr>
        <w:t xml:space="preserve"> in Kombination mit 5</w:t>
      </w:r>
      <w:r w:rsidR="00AD5D8D" w:rsidRPr="009737B5">
        <w:rPr>
          <w:rFonts w:ascii="Times New Roman" w:hAnsi="Times New Roman" w:cs="Times New Roman"/>
          <w:lang w:val="de-DE"/>
        </w:rPr>
        <w:noBreakHyphen/>
      </w:r>
      <w:r w:rsidRPr="009737B5">
        <w:rPr>
          <w:rFonts w:ascii="Times New Roman" w:hAnsi="Times New Roman" w:cs="Times New Roman"/>
          <w:lang w:val="de-DE"/>
        </w:rPr>
        <w:t>FU/FA-Chemotherapie sind in Tabelle</w:t>
      </w:r>
      <w:r w:rsidR="000B0A74">
        <w:rPr>
          <w:rFonts w:ascii="Times New Roman" w:hAnsi="Times New Roman" w:cs="Times New Roman"/>
          <w:lang w:val="de-DE"/>
        </w:rPr>
        <w:t> </w:t>
      </w:r>
      <w:r w:rsidRPr="009737B5">
        <w:rPr>
          <w:rFonts w:ascii="Times New Roman" w:hAnsi="Times New Roman" w:cs="Times New Roman"/>
          <w:lang w:val="de-DE"/>
        </w:rPr>
        <w:t>5 zusammengefasst.</w:t>
      </w:r>
    </w:p>
    <w:p w14:paraId="5F9FE8C8" w14:textId="77777777" w:rsidR="00AF337C" w:rsidRPr="009737B5" w:rsidRDefault="00AF337C" w:rsidP="005F4D08">
      <w:pPr>
        <w:suppressAutoHyphens/>
        <w:spacing w:after="0" w:line="240" w:lineRule="auto"/>
        <w:rPr>
          <w:rFonts w:ascii="Times New Roman" w:hAnsi="Times New Roman" w:cs="Times New Roman"/>
          <w:lang w:val="de-DE"/>
        </w:rPr>
      </w:pPr>
    </w:p>
    <w:p w14:paraId="14B237A5" w14:textId="0CF9CE5D" w:rsidR="00AF337C" w:rsidRPr="009737B5" w:rsidRDefault="00AF337C" w:rsidP="00505B66">
      <w:pPr>
        <w:keepNext/>
        <w:keepLines/>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D5199D">
        <w:rPr>
          <w:rFonts w:ascii="Times New Roman" w:hAnsi="Times New Roman" w:cs="Times New Roman"/>
          <w:b/>
          <w:lang w:val="de-DE"/>
        </w:rPr>
        <w:t> </w:t>
      </w:r>
      <w:r w:rsidRPr="009737B5">
        <w:rPr>
          <w:rFonts w:ascii="Times New Roman" w:hAnsi="Times New Roman" w:cs="Times New Roman"/>
          <w:b/>
          <w:lang w:val="de-DE"/>
        </w:rPr>
        <w:t>5</w:t>
      </w:r>
      <w:r w:rsidR="00E251E5" w:rsidRPr="009737B5">
        <w:rPr>
          <w:rFonts w:ascii="Times New Roman" w:hAnsi="Times New Roman" w:cs="Times New Roman"/>
          <w:b/>
          <w:lang w:val="de-DE"/>
        </w:rPr>
        <w:t>.</w:t>
      </w:r>
      <w:r w:rsidRPr="009737B5">
        <w:rPr>
          <w:rFonts w:ascii="Times New Roman" w:hAnsi="Times New Roman" w:cs="Times New Roman"/>
          <w:b/>
          <w:lang w:val="de-DE"/>
        </w:rPr>
        <w:t xml:space="preserve"> Wirksamkeitsergebnisse der Studien AVF0780g und AVF2192g</w:t>
      </w:r>
    </w:p>
    <w:p w14:paraId="140D7981" w14:textId="77777777" w:rsidR="00AF337C" w:rsidRPr="009737B5" w:rsidRDefault="00AF337C" w:rsidP="00505B66">
      <w:pPr>
        <w:keepNext/>
        <w:keepLines/>
        <w:suppressAutoHyphens/>
        <w:spacing w:after="0" w:line="240" w:lineRule="auto"/>
        <w:rPr>
          <w:rFonts w:ascii="Times New Roman" w:hAnsi="Times New Roman" w:cs="Times New Roman"/>
          <w:lang w:val="de-D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559"/>
        <w:gridCol w:w="1559"/>
        <w:gridCol w:w="1134"/>
        <w:gridCol w:w="1559"/>
      </w:tblGrid>
      <w:tr w:rsidR="00AB12F9" w:rsidRPr="00402720" w14:paraId="16696B30" w14:textId="77777777" w:rsidTr="00402720">
        <w:trPr>
          <w:trHeight w:val="20"/>
          <w:tblHeader/>
        </w:trPr>
        <w:tc>
          <w:tcPr>
            <w:tcW w:w="2127" w:type="dxa"/>
            <w:vMerge w:val="restart"/>
          </w:tcPr>
          <w:p w14:paraId="63FB050E"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b/>
                <w:lang w:val="de-DE"/>
              </w:rPr>
            </w:pPr>
          </w:p>
        </w:tc>
        <w:tc>
          <w:tcPr>
            <w:tcW w:w="4252" w:type="dxa"/>
            <w:gridSpan w:val="3"/>
          </w:tcPr>
          <w:p w14:paraId="2FFDD6F5"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b/>
                <w:color w:val="000000"/>
                <w:lang w:val="de-DE"/>
              </w:rPr>
            </w:pPr>
            <w:r w:rsidRPr="00402720">
              <w:rPr>
                <w:rFonts w:ascii="Times New Roman" w:hAnsi="Times New Roman" w:cs="Times New Roman"/>
                <w:b/>
                <w:color w:val="000000"/>
                <w:lang w:val="de-DE"/>
              </w:rPr>
              <w:t>AVF0780g</w:t>
            </w:r>
          </w:p>
        </w:tc>
        <w:tc>
          <w:tcPr>
            <w:tcW w:w="2693" w:type="dxa"/>
            <w:gridSpan w:val="2"/>
          </w:tcPr>
          <w:p w14:paraId="382C4BEC"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b/>
                <w:color w:val="000000"/>
                <w:lang w:val="de-DE"/>
              </w:rPr>
            </w:pPr>
            <w:r w:rsidRPr="00402720">
              <w:rPr>
                <w:rFonts w:ascii="Times New Roman" w:hAnsi="Times New Roman" w:cs="Times New Roman"/>
                <w:b/>
                <w:color w:val="000000"/>
                <w:lang w:val="de-DE"/>
              </w:rPr>
              <w:t>AVF2192g</w:t>
            </w:r>
          </w:p>
        </w:tc>
      </w:tr>
      <w:tr w:rsidR="00252768" w:rsidRPr="00402720" w14:paraId="7F5F9839" w14:textId="77777777" w:rsidTr="00402720">
        <w:trPr>
          <w:trHeight w:val="20"/>
          <w:tblHeader/>
        </w:trPr>
        <w:tc>
          <w:tcPr>
            <w:tcW w:w="2127" w:type="dxa"/>
            <w:vMerge/>
          </w:tcPr>
          <w:p w14:paraId="6541CABB"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b/>
                <w:lang w:val="de-DE"/>
              </w:rPr>
            </w:pPr>
          </w:p>
        </w:tc>
        <w:tc>
          <w:tcPr>
            <w:tcW w:w="1134" w:type="dxa"/>
            <w:vAlign w:val="center"/>
          </w:tcPr>
          <w:p w14:paraId="280B4DEA"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5-FU/FA</w:t>
            </w:r>
          </w:p>
        </w:tc>
        <w:tc>
          <w:tcPr>
            <w:tcW w:w="1559" w:type="dxa"/>
          </w:tcPr>
          <w:p w14:paraId="54B8C5A6"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 xml:space="preserve">5-FU/FA + </w:t>
            </w:r>
            <w:r w:rsidR="00A15C0A" w:rsidRPr="00402720">
              <w:rPr>
                <w:rFonts w:ascii="Times New Roman" w:hAnsi="Times New Roman" w:cs="Times New Roman"/>
                <w:b/>
                <w:lang w:val="de-DE"/>
              </w:rPr>
              <w:t>Bevacizumab</w:t>
            </w:r>
            <w:r w:rsidRPr="00402720">
              <w:rPr>
                <w:rFonts w:ascii="Times New Roman" w:hAnsi="Times New Roman" w:cs="Times New Roman"/>
                <w:b/>
                <w:vertAlign w:val="superscript"/>
                <w:lang w:val="de-DE"/>
              </w:rPr>
              <w:t>a</w:t>
            </w:r>
          </w:p>
        </w:tc>
        <w:tc>
          <w:tcPr>
            <w:tcW w:w="1559" w:type="dxa"/>
          </w:tcPr>
          <w:p w14:paraId="4F83619F"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 xml:space="preserve">5-FU/FA + </w:t>
            </w:r>
            <w:r w:rsidR="00A15C0A" w:rsidRPr="00402720">
              <w:rPr>
                <w:rFonts w:ascii="Times New Roman" w:hAnsi="Times New Roman" w:cs="Times New Roman"/>
                <w:b/>
                <w:lang w:val="de-DE"/>
              </w:rPr>
              <w:t>Bevacizumab</w:t>
            </w:r>
            <w:r w:rsidRPr="00402720">
              <w:rPr>
                <w:rFonts w:ascii="Times New Roman" w:hAnsi="Times New Roman" w:cs="Times New Roman"/>
                <w:b/>
                <w:vertAlign w:val="superscript"/>
                <w:lang w:val="de-DE"/>
              </w:rPr>
              <w:t>b</w:t>
            </w:r>
          </w:p>
        </w:tc>
        <w:tc>
          <w:tcPr>
            <w:tcW w:w="1134" w:type="dxa"/>
          </w:tcPr>
          <w:p w14:paraId="7E44F550"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5-FU/FA + Placebo</w:t>
            </w:r>
          </w:p>
        </w:tc>
        <w:tc>
          <w:tcPr>
            <w:tcW w:w="1559" w:type="dxa"/>
          </w:tcPr>
          <w:p w14:paraId="3683F520"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 xml:space="preserve">5-FU/FA + </w:t>
            </w:r>
            <w:r w:rsidR="00A15C0A" w:rsidRPr="00402720">
              <w:rPr>
                <w:rFonts w:ascii="Times New Roman" w:hAnsi="Times New Roman" w:cs="Times New Roman"/>
                <w:b/>
                <w:lang w:val="de-DE"/>
              </w:rPr>
              <w:t>Bevacizumab</w:t>
            </w:r>
          </w:p>
        </w:tc>
      </w:tr>
      <w:tr w:rsidR="00252768" w:rsidRPr="00402720" w14:paraId="660536C7" w14:textId="77777777" w:rsidTr="00402720">
        <w:trPr>
          <w:trHeight w:val="20"/>
        </w:trPr>
        <w:tc>
          <w:tcPr>
            <w:tcW w:w="2127" w:type="dxa"/>
          </w:tcPr>
          <w:p w14:paraId="115FCD7A" w14:textId="77777777" w:rsidR="00AB12F9" w:rsidRPr="00402720" w:rsidRDefault="00AB12F9" w:rsidP="00402720">
            <w:pPr>
              <w:autoSpaceDE w:val="0"/>
              <w:autoSpaceDN w:val="0"/>
              <w:adjustRightInd w:val="0"/>
              <w:spacing w:after="0" w:line="240" w:lineRule="auto"/>
              <w:rPr>
                <w:rFonts w:ascii="Times New Roman" w:hAnsi="Times New Roman" w:cs="Times New Roman"/>
                <w:lang w:val="de-DE"/>
              </w:rPr>
            </w:pPr>
            <w:r w:rsidRPr="00402720">
              <w:rPr>
                <w:rFonts w:ascii="Times New Roman" w:hAnsi="Times New Roman" w:cs="Times New Roman"/>
                <w:lang w:val="de-DE"/>
              </w:rPr>
              <w:t>Anzahl der Patienten</w:t>
            </w:r>
          </w:p>
        </w:tc>
        <w:tc>
          <w:tcPr>
            <w:tcW w:w="1134" w:type="dxa"/>
          </w:tcPr>
          <w:p w14:paraId="235A8415"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36</w:t>
            </w:r>
          </w:p>
        </w:tc>
        <w:tc>
          <w:tcPr>
            <w:tcW w:w="1559" w:type="dxa"/>
          </w:tcPr>
          <w:p w14:paraId="6289ED66"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35</w:t>
            </w:r>
          </w:p>
        </w:tc>
        <w:tc>
          <w:tcPr>
            <w:tcW w:w="1559" w:type="dxa"/>
          </w:tcPr>
          <w:p w14:paraId="60653EBD"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33</w:t>
            </w:r>
          </w:p>
        </w:tc>
        <w:tc>
          <w:tcPr>
            <w:tcW w:w="1134" w:type="dxa"/>
          </w:tcPr>
          <w:p w14:paraId="2724CCF3"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105</w:t>
            </w:r>
          </w:p>
        </w:tc>
        <w:tc>
          <w:tcPr>
            <w:tcW w:w="1559" w:type="dxa"/>
          </w:tcPr>
          <w:p w14:paraId="49D75C85"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104</w:t>
            </w:r>
          </w:p>
        </w:tc>
      </w:tr>
      <w:tr w:rsidR="00AB12F9" w:rsidRPr="00402720" w14:paraId="0CE48275" w14:textId="77777777" w:rsidTr="00402720">
        <w:trPr>
          <w:trHeight w:val="20"/>
        </w:trPr>
        <w:tc>
          <w:tcPr>
            <w:tcW w:w="9072" w:type="dxa"/>
            <w:gridSpan w:val="6"/>
          </w:tcPr>
          <w:p w14:paraId="71134FAD" w14:textId="77777777" w:rsidR="00AB12F9" w:rsidRPr="00402720" w:rsidRDefault="00AB12F9" w:rsidP="00402720">
            <w:pPr>
              <w:autoSpaceDE w:val="0"/>
              <w:autoSpaceDN w:val="0"/>
              <w:adjustRightInd w:val="0"/>
              <w:spacing w:after="0" w:line="240" w:lineRule="auto"/>
              <w:rPr>
                <w:rFonts w:ascii="Times New Roman" w:hAnsi="Times New Roman" w:cs="Times New Roman"/>
                <w:lang w:val="de-DE"/>
              </w:rPr>
            </w:pPr>
            <w:r w:rsidRPr="00402720">
              <w:rPr>
                <w:rFonts w:ascii="Times New Roman" w:hAnsi="Times New Roman" w:cs="Times New Roman"/>
                <w:lang w:val="de-DE"/>
              </w:rPr>
              <w:t>Gesamtüberleben</w:t>
            </w:r>
          </w:p>
        </w:tc>
      </w:tr>
      <w:tr w:rsidR="00252768" w:rsidRPr="00402720" w14:paraId="406580D9" w14:textId="77777777" w:rsidTr="00402720">
        <w:trPr>
          <w:trHeight w:val="20"/>
        </w:trPr>
        <w:tc>
          <w:tcPr>
            <w:tcW w:w="2127" w:type="dxa"/>
          </w:tcPr>
          <w:p w14:paraId="356D777B" w14:textId="77777777" w:rsidR="00AB12F9" w:rsidRPr="00402720" w:rsidRDefault="00AB12F9" w:rsidP="00402720">
            <w:pPr>
              <w:tabs>
                <w:tab w:val="left" w:pos="567"/>
              </w:tabs>
              <w:spacing w:after="0" w:line="240" w:lineRule="auto"/>
              <w:ind w:left="284"/>
              <w:rPr>
                <w:rFonts w:ascii="Times New Roman" w:hAnsi="Times New Roman" w:cs="Times New Roman"/>
                <w:lang w:val="de-DE"/>
              </w:rPr>
            </w:pPr>
            <w:r w:rsidRPr="00402720">
              <w:rPr>
                <w:rFonts w:ascii="Times New Roman" w:hAnsi="Times New Roman" w:cs="Times New Roman"/>
                <w:lang w:val="de-DE"/>
              </w:rPr>
              <w:t>Median (Monate)</w:t>
            </w:r>
          </w:p>
        </w:tc>
        <w:tc>
          <w:tcPr>
            <w:tcW w:w="1134" w:type="dxa"/>
          </w:tcPr>
          <w:p w14:paraId="438D6D45"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13,6</w:t>
            </w:r>
          </w:p>
        </w:tc>
        <w:tc>
          <w:tcPr>
            <w:tcW w:w="1559" w:type="dxa"/>
          </w:tcPr>
          <w:p w14:paraId="23A5C3C3"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17,7</w:t>
            </w:r>
          </w:p>
        </w:tc>
        <w:tc>
          <w:tcPr>
            <w:tcW w:w="1559" w:type="dxa"/>
          </w:tcPr>
          <w:p w14:paraId="2953E58F"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15,2</w:t>
            </w:r>
          </w:p>
        </w:tc>
        <w:tc>
          <w:tcPr>
            <w:tcW w:w="1134" w:type="dxa"/>
          </w:tcPr>
          <w:p w14:paraId="129A7100"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12,9</w:t>
            </w:r>
          </w:p>
        </w:tc>
        <w:tc>
          <w:tcPr>
            <w:tcW w:w="1559" w:type="dxa"/>
          </w:tcPr>
          <w:p w14:paraId="49EDBC81"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16,6</w:t>
            </w:r>
          </w:p>
        </w:tc>
      </w:tr>
      <w:tr w:rsidR="00252768" w:rsidRPr="00402720" w14:paraId="2DDDFA15" w14:textId="77777777" w:rsidTr="00402720">
        <w:trPr>
          <w:trHeight w:val="20"/>
        </w:trPr>
        <w:tc>
          <w:tcPr>
            <w:tcW w:w="2127" w:type="dxa"/>
          </w:tcPr>
          <w:p w14:paraId="110CD276" w14:textId="356B8551" w:rsidR="00AB12F9" w:rsidRPr="00402720" w:rsidRDefault="00AB12F9" w:rsidP="00402720">
            <w:pPr>
              <w:tabs>
                <w:tab w:val="left" w:pos="567"/>
              </w:tabs>
              <w:spacing w:after="0" w:line="240" w:lineRule="auto"/>
              <w:ind w:left="284"/>
              <w:rPr>
                <w:rFonts w:ascii="Times New Roman" w:hAnsi="Times New Roman" w:cs="Times New Roman"/>
                <w:lang w:val="de-DE"/>
              </w:rPr>
            </w:pPr>
            <w:r w:rsidRPr="00402720">
              <w:rPr>
                <w:rFonts w:ascii="Times New Roman" w:hAnsi="Times New Roman" w:cs="Times New Roman"/>
                <w:lang w:val="de-DE"/>
              </w:rPr>
              <w:t>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KI</w:t>
            </w:r>
          </w:p>
        </w:tc>
        <w:tc>
          <w:tcPr>
            <w:tcW w:w="1134" w:type="dxa"/>
            <w:vAlign w:val="center"/>
          </w:tcPr>
          <w:p w14:paraId="33F2B33D"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p>
        </w:tc>
        <w:tc>
          <w:tcPr>
            <w:tcW w:w="1559" w:type="dxa"/>
            <w:vAlign w:val="center"/>
          </w:tcPr>
          <w:p w14:paraId="00D2F1BF"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p>
        </w:tc>
        <w:tc>
          <w:tcPr>
            <w:tcW w:w="1559" w:type="dxa"/>
            <w:vAlign w:val="center"/>
          </w:tcPr>
          <w:p w14:paraId="3790E3E9"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p>
        </w:tc>
        <w:tc>
          <w:tcPr>
            <w:tcW w:w="1134" w:type="dxa"/>
            <w:vAlign w:val="center"/>
          </w:tcPr>
          <w:p w14:paraId="4C842BF9" w14:textId="77777777" w:rsidR="00AB12F9" w:rsidRPr="00402720" w:rsidRDefault="00AB12F9" w:rsidP="00402720">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10,35 - 16,95</w:t>
            </w:r>
          </w:p>
        </w:tc>
        <w:tc>
          <w:tcPr>
            <w:tcW w:w="1559" w:type="dxa"/>
            <w:vAlign w:val="center"/>
          </w:tcPr>
          <w:p w14:paraId="0597DBF5" w14:textId="77777777" w:rsidR="00AB12F9" w:rsidRPr="00402720" w:rsidRDefault="0054779C" w:rsidP="00402720">
            <w:pPr>
              <w:keepNext/>
              <w:keepLines/>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13,63 -</w:t>
            </w:r>
            <w:r w:rsidR="00AB12F9" w:rsidRPr="00402720">
              <w:rPr>
                <w:rFonts w:ascii="Times New Roman" w:hAnsi="Times New Roman" w:cs="Times New Roman"/>
                <w:lang w:val="de-DE"/>
              </w:rPr>
              <w:t xml:space="preserve"> 19,32</w:t>
            </w:r>
          </w:p>
        </w:tc>
      </w:tr>
      <w:tr w:rsidR="00252768" w:rsidRPr="00402720" w14:paraId="662000E1" w14:textId="77777777" w:rsidTr="00402720">
        <w:trPr>
          <w:trHeight w:val="20"/>
        </w:trPr>
        <w:tc>
          <w:tcPr>
            <w:tcW w:w="2127" w:type="dxa"/>
          </w:tcPr>
          <w:p w14:paraId="37CFB452" w14:textId="77777777" w:rsidR="00AB12F9" w:rsidRPr="00402720" w:rsidRDefault="00AB12F9" w:rsidP="00402720">
            <w:pPr>
              <w:tabs>
                <w:tab w:val="left" w:pos="567"/>
              </w:tabs>
              <w:spacing w:after="0" w:line="240" w:lineRule="auto"/>
              <w:ind w:left="284"/>
              <w:rPr>
                <w:rFonts w:ascii="Times New Roman" w:hAnsi="Times New Roman" w:cs="Times New Roman"/>
                <w:lang w:val="de-DE"/>
              </w:rPr>
            </w:pPr>
            <w:r w:rsidRPr="00402720">
              <w:rPr>
                <w:rFonts w:ascii="Times New Roman" w:hAnsi="Times New Roman" w:cs="Times New Roman"/>
                <w:lang w:val="de-DE"/>
              </w:rPr>
              <w:t xml:space="preserve">Hazard </w:t>
            </w:r>
            <w:r w:rsidR="00753633" w:rsidRPr="00402720">
              <w:rPr>
                <w:rFonts w:ascii="Times New Roman" w:hAnsi="Times New Roman" w:cs="Times New Roman"/>
                <w:lang w:val="de-DE"/>
              </w:rPr>
              <w:t>R</w:t>
            </w:r>
            <w:r w:rsidRPr="00402720">
              <w:rPr>
                <w:rFonts w:ascii="Times New Roman" w:hAnsi="Times New Roman" w:cs="Times New Roman"/>
                <w:lang w:val="de-DE"/>
              </w:rPr>
              <w:t>atio</w:t>
            </w:r>
            <w:r w:rsidRPr="00402720">
              <w:rPr>
                <w:rFonts w:ascii="Times New Roman" w:hAnsi="Times New Roman" w:cs="Times New Roman"/>
                <w:vertAlign w:val="superscript"/>
                <w:lang w:val="de-DE"/>
              </w:rPr>
              <w:t>c</w:t>
            </w:r>
          </w:p>
        </w:tc>
        <w:tc>
          <w:tcPr>
            <w:tcW w:w="1134" w:type="dxa"/>
          </w:tcPr>
          <w:p w14:paraId="36458C93"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w:t>
            </w:r>
          </w:p>
        </w:tc>
        <w:tc>
          <w:tcPr>
            <w:tcW w:w="1559" w:type="dxa"/>
          </w:tcPr>
          <w:p w14:paraId="252EB4A0"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0,52</w:t>
            </w:r>
          </w:p>
        </w:tc>
        <w:tc>
          <w:tcPr>
            <w:tcW w:w="1559" w:type="dxa"/>
          </w:tcPr>
          <w:p w14:paraId="0BD43412"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1,01</w:t>
            </w:r>
          </w:p>
        </w:tc>
        <w:tc>
          <w:tcPr>
            <w:tcW w:w="1134" w:type="dxa"/>
          </w:tcPr>
          <w:p w14:paraId="66DE5720"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p>
        </w:tc>
        <w:tc>
          <w:tcPr>
            <w:tcW w:w="1559" w:type="dxa"/>
          </w:tcPr>
          <w:p w14:paraId="7AC1567D"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0,79</w:t>
            </w:r>
          </w:p>
        </w:tc>
      </w:tr>
      <w:tr w:rsidR="00252768" w:rsidRPr="00402720" w14:paraId="0A494E91" w14:textId="77777777" w:rsidTr="00402720">
        <w:trPr>
          <w:trHeight w:val="20"/>
        </w:trPr>
        <w:tc>
          <w:tcPr>
            <w:tcW w:w="2127" w:type="dxa"/>
          </w:tcPr>
          <w:p w14:paraId="74CEA129" w14:textId="77777777" w:rsidR="00AB12F9" w:rsidRPr="00402720" w:rsidRDefault="00AB12F9" w:rsidP="00402720">
            <w:pPr>
              <w:tabs>
                <w:tab w:val="left" w:pos="567"/>
              </w:tabs>
              <w:spacing w:after="0" w:line="240" w:lineRule="auto"/>
              <w:ind w:left="284"/>
              <w:rPr>
                <w:rFonts w:ascii="Times New Roman" w:hAnsi="Times New Roman" w:cs="Times New Roman"/>
                <w:lang w:val="de-DE"/>
              </w:rPr>
            </w:pPr>
            <w:r w:rsidRPr="00402720">
              <w:rPr>
                <w:rFonts w:ascii="Times New Roman" w:hAnsi="Times New Roman" w:cs="Times New Roman"/>
                <w:lang w:val="de-DE"/>
              </w:rPr>
              <w:t>p-Wert</w:t>
            </w:r>
          </w:p>
        </w:tc>
        <w:tc>
          <w:tcPr>
            <w:tcW w:w="1134" w:type="dxa"/>
          </w:tcPr>
          <w:p w14:paraId="3609918A"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p>
        </w:tc>
        <w:tc>
          <w:tcPr>
            <w:tcW w:w="1559" w:type="dxa"/>
          </w:tcPr>
          <w:p w14:paraId="2821277D"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0,073</w:t>
            </w:r>
          </w:p>
        </w:tc>
        <w:tc>
          <w:tcPr>
            <w:tcW w:w="1559" w:type="dxa"/>
          </w:tcPr>
          <w:p w14:paraId="1AF49D69"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0,978</w:t>
            </w:r>
          </w:p>
        </w:tc>
        <w:tc>
          <w:tcPr>
            <w:tcW w:w="1134" w:type="dxa"/>
          </w:tcPr>
          <w:p w14:paraId="3547850F"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p>
        </w:tc>
        <w:tc>
          <w:tcPr>
            <w:tcW w:w="1559" w:type="dxa"/>
          </w:tcPr>
          <w:p w14:paraId="13C867F8"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0,16</w:t>
            </w:r>
          </w:p>
        </w:tc>
      </w:tr>
      <w:tr w:rsidR="00AB12F9" w:rsidRPr="00402720" w14:paraId="78E168C2" w14:textId="77777777" w:rsidTr="00402720">
        <w:trPr>
          <w:trHeight w:val="20"/>
        </w:trPr>
        <w:tc>
          <w:tcPr>
            <w:tcW w:w="9072" w:type="dxa"/>
            <w:gridSpan w:val="6"/>
            <w:vAlign w:val="center"/>
          </w:tcPr>
          <w:p w14:paraId="3957D05E" w14:textId="77777777" w:rsidR="00AB12F9" w:rsidRPr="00402720" w:rsidRDefault="00AB12F9" w:rsidP="00402720">
            <w:pPr>
              <w:autoSpaceDE w:val="0"/>
              <w:autoSpaceDN w:val="0"/>
              <w:adjustRightInd w:val="0"/>
              <w:spacing w:after="0" w:line="240" w:lineRule="auto"/>
              <w:rPr>
                <w:rFonts w:ascii="Times New Roman" w:hAnsi="Times New Roman" w:cs="Times New Roman"/>
                <w:lang w:val="de-DE"/>
              </w:rPr>
            </w:pPr>
            <w:r w:rsidRPr="00402720">
              <w:rPr>
                <w:rFonts w:ascii="Times New Roman" w:hAnsi="Times New Roman" w:cs="Times New Roman"/>
                <w:lang w:val="de-DE"/>
              </w:rPr>
              <w:lastRenderedPageBreak/>
              <w:t>Progressionsfreies Überleben</w:t>
            </w:r>
          </w:p>
        </w:tc>
      </w:tr>
      <w:tr w:rsidR="00252768" w:rsidRPr="00402720" w14:paraId="0014315F" w14:textId="77777777" w:rsidTr="00402720">
        <w:trPr>
          <w:trHeight w:val="20"/>
        </w:trPr>
        <w:tc>
          <w:tcPr>
            <w:tcW w:w="2127" w:type="dxa"/>
            <w:vAlign w:val="center"/>
          </w:tcPr>
          <w:p w14:paraId="7A7CC6AB" w14:textId="77777777" w:rsidR="00AB12F9" w:rsidRPr="00402720" w:rsidRDefault="00AB12F9" w:rsidP="00402720">
            <w:pPr>
              <w:tabs>
                <w:tab w:val="left" w:pos="567"/>
              </w:tabs>
              <w:spacing w:after="0" w:line="240" w:lineRule="auto"/>
              <w:ind w:left="284"/>
              <w:rPr>
                <w:rFonts w:ascii="Times New Roman" w:hAnsi="Times New Roman" w:cs="Times New Roman"/>
                <w:lang w:val="de-DE"/>
              </w:rPr>
            </w:pPr>
            <w:r w:rsidRPr="00402720">
              <w:rPr>
                <w:rFonts w:ascii="Times New Roman" w:hAnsi="Times New Roman" w:cs="Times New Roman"/>
                <w:lang w:val="de-DE"/>
              </w:rPr>
              <w:t>Median (Monate)</w:t>
            </w:r>
          </w:p>
        </w:tc>
        <w:tc>
          <w:tcPr>
            <w:tcW w:w="1134" w:type="dxa"/>
            <w:vAlign w:val="center"/>
          </w:tcPr>
          <w:p w14:paraId="1FDE996A"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5,2</w:t>
            </w:r>
          </w:p>
        </w:tc>
        <w:tc>
          <w:tcPr>
            <w:tcW w:w="1559" w:type="dxa"/>
            <w:vAlign w:val="center"/>
          </w:tcPr>
          <w:p w14:paraId="39B044C2"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9,0</w:t>
            </w:r>
          </w:p>
        </w:tc>
        <w:tc>
          <w:tcPr>
            <w:tcW w:w="1559" w:type="dxa"/>
            <w:vAlign w:val="center"/>
          </w:tcPr>
          <w:p w14:paraId="3A4AAABB"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7,2</w:t>
            </w:r>
          </w:p>
        </w:tc>
        <w:tc>
          <w:tcPr>
            <w:tcW w:w="1134" w:type="dxa"/>
            <w:vAlign w:val="center"/>
          </w:tcPr>
          <w:p w14:paraId="5D84A31F"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5,5</w:t>
            </w:r>
          </w:p>
        </w:tc>
        <w:tc>
          <w:tcPr>
            <w:tcW w:w="1559" w:type="dxa"/>
            <w:vAlign w:val="center"/>
          </w:tcPr>
          <w:p w14:paraId="4472B846"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9,2</w:t>
            </w:r>
          </w:p>
        </w:tc>
      </w:tr>
      <w:tr w:rsidR="00252768" w:rsidRPr="00402720" w14:paraId="3857007A" w14:textId="77777777" w:rsidTr="00402720">
        <w:trPr>
          <w:trHeight w:val="20"/>
        </w:trPr>
        <w:tc>
          <w:tcPr>
            <w:tcW w:w="2127" w:type="dxa"/>
            <w:vAlign w:val="center"/>
          </w:tcPr>
          <w:p w14:paraId="21B6B81F" w14:textId="77777777" w:rsidR="00AB12F9" w:rsidRPr="00402720" w:rsidRDefault="00AB12F9" w:rsidP="00402720">
            <w:pPr>
              <w:tabs>
                <w:tab w:val="left" w:pos="567"/>
              </w:tabs>
              <w:spacing w:after="0" w:line="240" w:lineRule="auto"/>
              <w:ind w:left="284"/>
              <w:rPr>
                <w:rFonts w:ascii="Times New Roman" w:hAnsi="Times New Roman" w:cs="Times New Roman"/>
                <w:lang w:val="de-DE"/>
              </w:rPr>
            </w:pPr>
            <w:r w:rsidRPr="00402720">
              <w:rPr>
                <w:rFonts w:ascii="Times New Roman" w:hAnsi="Times New Roman" w:cs="Times New Roman"/>
                <w:lang w:val="de-DE"/>
              </w:rPr>
              <w:t xml:space="preserve">Hazard </w:t>
            </w:r>
            <w:r w:rsidR="00753633" w:rsidRPr="00402720">
              <w:rPr>
                <w:rFonts w:ascii="Times New Roman" w:hAnsi="Times New Roman" w:cs="Times New Roman"/>
                <w:lang w:val="de-DE"/>
              </w:rPr>
              <w:t>R</w:t>
            </w:r>
            <w:r w:rsidRPr="00402720">
              <w:rPr>
                <w:rFonts w:ascii="Times New Roman" w:hAnsi="Times New Roman" w:cs="Times New Roman"/>
                <w:lang w:val="de-DE"/>
              </w:rPr>
              <w:t>atio</w:t>
            </w:r>
          </w:p>
        </w:tc>
        <w:tc>
          <w:tcPr>
            <w:tcW w:w="1134" w:type="dxa"/>
            <w:vAlign w:val="center"/>
          </w:tcPr>
          <w:p w14:paraId="79C22FFD"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p>
        </w:tc>
        <w:tc>
          <w:tcPr>
            <w:tcW w:w="1559" w:type="dxa"/>
            <w:vAlign w:val="center"/>
          </w:tcPr>
          <w:p w14:paraId="29B7E344"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0,44</w:t>
            </w:r>
          </w:p>
        </w:tc>
        <w:tc>
          <w:tcPr>
            <w:tcW w:w="1559" w:type="dxa"/>
            <w:vAlign w:val="center"/>
          </w:tcPr>
          <w:p w14:paraId="0E965FFA"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0,69</w:t>
            </w:r>
          </w:p>
        </w:tc>
        <w:tc>
          <w:tcPr>
            <w:tcW w:w="1134" w:type="dxa"/>
            <w:vAlign w:val="center"/>
          </w:tcPr>
          <w:p w14:paraId="39ECBD1B"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p>
        </w:tc>
        <w:tc>
          <w:tcPr>
            <w:tcW w:w="1559" w:type="dxa"/>
            <w:vAlign w:val="center"/>
          </w:tcPr>
          <w:p w14:paraId="4A1F92FE"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0,5</w:t>
            </w:r>
          </w:p>
        </w:tc>
      </w:tr>
      <w:tr w:rsidR="00252768" w:rsidRPr="00402720" w14:paraId="704349D5" w14:textId="77777777" w:rsidTr="00402720">
        <w:trPr>
          <w:trHeight w:val="20"/>
        </w:trPr>
        <w:tc>
          <w:tcPr>
            <w:tcW w:w="2127" w:type="dxa"/>
            <w:vAlign w:val="center"/>
          </w:tcPr>
          <w:p w14:paraId="7CBA18DD" w14:textId="77777777" w:rsidR="00AB12F9" w:rsidRPr="00402720" w:rsidRDefault="00AB12F9" w:rsidP="00402720">
            <w:pPr>
              <w:tabs>
                <w:tab w:val="left" w:pos="567"/>
              </w:tabs>
              <w:spacing w:after="0" w:line="240" w:lineRule="auto"/>
              <w:ind w:left="284"/>
              <w:rPr>
                <w:rFonts w:ascii="Times New Roman" w:hAnsi="Times New Roman" w:cs="Times New Roman"/>
                <w:lang w:val="de-DE"/>
              </w:rPr>
            </w:pPr>
            <w:r w:rsidRPr="00402720">
              <w:rPr>
                <w:rFonts w:ascii="Times New Roman" w:hAnsi="Times New Roman" w:cs="Times New Roman"/>
                <w:lang w:val="de-DE"/>
              </w:rPr>
              <w:t>p-Wert</w:t>
            </w:r>
          </w:p>
        </w:tc>
        <w:tc>
          <w:tcPr>
            <w:tcW w:w="1134" w:type="dxa"/>
            <w:vAlign w:val="center"/>
          </w:tcPr>
          <w:p w14:paraId="0A58E09B"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w:t>
            </w:r>
          </w:p>
        </w:tc>
        <w:tc>
          <w:tcPr>
            <w:tcW w:w="1559" w:type="dxa"/>
            <w:vAlign w:val="center"/>
          </w:tcPr>
          <w:p w14:paraId="0EAD59C7"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0,0049</w:t>
            </w:r>
          </w:p>
        </w:tc>
        <w:tc>
          <w:tcPr>
            <w:tcW w:w="1559" w:type="dxa"/>
            <w:vAlign w:val="center"/>
          </w:tcPr>
          <w:p w14:paraId="2B59D500"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0,217</w:t>
            </w:r>
          </w:p>
        </w:tc>
        <w:tc>
          <w:tcPr>
            <w:tcW w:w="1134" w:type="dxa"/>
            <w:vAlign w:val="center"/>
          </w:tcPr>
          <w:p w14:paraId="304D3333"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p>
        </w:tc>
        <w:tc>
          <w:tcPr>
            <w:tcW w:w="1559" w:type="dxa"/>
            <w:vAlign w:val="center"/>
          </w:tcPr>
          <w:p w14:paraId="1CB1E8F9"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0,0002</w:t>
            </w:r>
          </w:p>
        </w:tc>
      </w:tr>
      <w:tr w:rsidR="00AB12F9" w:rsidRPr="00402720" w14:paraId="6C5809BC" w14:textId="77777777" w:rsidTr="00402720">
        <w:trPr>
          <w:trHeight w:val="20"/>
        </w:trPr>
        <w:tc>
          <w:tcPr>
            <w:tcW w:w="9072" w:type="dxa"/>
            <w:gridSpan w:val="6"/>
            <w:vAlign w:val="center"/>
          </w:tcPr>
          <w:p w14:paraId="6074651E" w14:textId="77777777" w:rsidR="00AB12F9" w:rsidRPr="00402720" w:rsidRDefault="00AB12F9" w:rsidP="00402720">
            <w:pPr>
              <w:autoSpaceDE w:val="0"/>
              <w:autoSpaceDN w:val="0"/>
              <w:adjustRightInd w:val="0"/>
              <w:spacing w:after="0" w:line="240" w:lineRule="auto"/>
              <w:rPr>
                <w:rFonts w:ascii="Times New Roman" w:hAnsi="Times New Roman" w:cs="Times New Roman"/>
                <w:lang w:val="de-DE"/>
              </w:rPr>
            </w:pPr>
            <w:r w:rsidRPr="00402720">
              <w:rPr>
                <w:rFonts w:ascii="Times New Roman" w:hAnsi="Times New Roman" w:cs="Times New Roman"/>
                <w:lang w:val="de-DE"/>
              </w:rPr>
              <w:t>Gesamtansprechrate</w:t>
            </w:r>
          </w:p>
        </w:tc>
      </w:tr>
      <w:tr w:rsidR="00252768" w:rsidRPr="00402720" w14:paraId="1C76D2CD" w14:textId="77777777" w:rsidTr="00402720">
        <w:trPr>
          <w:trHeight w:val="20"/>
        </w:trPr>
        <w:tc>
          <w:tcPr>
            <w:tcW w:w="2127" w:type="dxa"/>
          </w:tcPr>
          <w:p w14:paraId="087A6956" w14:textId="77777777" w:rsidR="00AB12F9" w:rsidRPr="00402720" w:rsidRDefault="00AB12F9" w:rsidP="00402720">
            <w:pPr>
              <w:tabs>
                <w:tab w:val="left" w:pos="567"/>
              </w:tabs>
              <w:spacing w:after="0" w:line="240" w:lineRule="auto"/>
              <w:ind w:left="284"/>
              <w:rPr>
                <w:rFonts w:ascii="Times New Roman" w:hAnsi="Times New Roman" w:cs="Times New Roman"/>
                <w:lang w:val="de-DE"/>
              </w:rPr>
            </w:pPr>
            <w:r w:rsidRPr="00402720">
              <w:rPr>
                <w:rFonts w:ascii="Times New Roman" w:hAnsi="Times New Roman" w:cs="Times New Roman"/>
                <w:lang w:val="de-DE"/>
              </w:rPr>
              <w:t>Rate (</w:t>
            </w:r>
            <w:r w:rsidR="00322E40" w:rsidRPr="00402720">
              <w:rPr>
                <w:rFonts w:ascii="Times New Roman" w:hAnsi="Times New Roman" w:cs="Times New Roman"/>
                <w:lang w:val="de-DE"/>
              </w:rPr>
              <w:t>%</w:t>
            </w:r>
            <w:r w:rsidRPr="00402720">
              <w:rPr>
                <w:rFonts w:ascii="Times New Roman" w:hAnsi="Times New Roman" w:cs="Times New Roman"/>
                <w:lang w:val="de-DE"/>
              </w:rPr>
              <w:t>)</w:t>
            </w:r>
          </w:p>
        </w:tc>
        <w:tc>
          <w:tcPr>
            <w:tcW w:w="1134" w:type="dxa"/>
          </w:tcPr>
          <w:p w14:paraId="5B27BB6B"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16,7</w:t>
            </w:r>
          </w:p>
        </w:tc>
        <w:tc>
          <w:tcPr>
            <w:tcW w:w="1559" w:type="dxa"/>
          </w:tcPr>
          <w:p w14:paraId="1E4DD409"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40,0</w:t>
            </w:r>
          </w:p>
        </w:tc>
        <w:tc>
          <w:tcPr>
            <w:tcW w:w="1559" w:type="dxa"/>
          </w:tcPr>
          <w:p w14:paraId="2ACC20C8"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24,2</w:t>
            </w:r>
          </w:p>
        </w:tc>
        <w:tc>
          <w:tcPr>
            <w:tcW w:w="1134" w:type="dxa"/>
          </w:tcPr>
          <w:p w14:paraId="74126561"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15,2</w:t>
            </w:r>
          </w:p>
        </w:tc>
        <w:tc>
          <w:tcPr>
            <w:tcW w:w="1559" w:type="dxa"/>
          </w:tcPr>
          <w:p w14:paraId="00C83A72" w14:textId="27DFABE4"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26</w:t>
            </w:r>
          </w:p>
        </w:tc>
      </w:tr>
      <w:tr w:rsidR="00252768" w:rsidRPr="00402720" w14:paraId="375A4764" w14:textId="77777777" w:rsidTr="00402720">
        <w:trPr>
          <w:trHeight w:val="20"/>
        </w:trPr>
        <w:tc>
          <w:tcPr>
            <w:tcW w:w="2127" w:type="dxa"/>
          </w:tcPr>
          <w:p w14:paraId="1581BC79" w14:textId="357DC213" w:rsidR="00AB12F9" w:rsidRPr="00402720" w:rsidRDefault="00AB12F9" w:rsidP="00402720">
            <w:pPr>
              <w:tabs>
                <w:tab w:val="left" w:pos="567"/>
              </w:tabs>
              <w:spacing w:after="0" w:line="240" w:lineRule="auto"/>
              <w:ind w:left="284"/>
              <w:rPr>
                <w:rFonts w:ascii="Times New Roman" w:hAnsi="Times New Roman" w:cs="Times New Roman"/>
                <w:lang w:val="de-DE"/>
              </w:rPr>
            </w:pPr>
            <w:r w:rsidRPr="00402720">
              <w:rPr>
                <w:rFonts w:ascii="Times New Roman" w:hAnsi="Times New Roman" w:cs="Times New Roman"/>
                <w:lang w:val="de-DE"/>
              </w:rPr>
              <w:t>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KI</w:t>
            </w:r>
          </w:p>
        </w:tc>
        <w:tc>
          <w:tcPr>
            <w:tcW w:w="1134" w:type="dxa"/>
          </w:tcPr>
          <w:p w14:paraId="2D281D33" w14:textId="77777777" w:rsidR="00AB12F9" w:rsidRPr="00402720" w:rsidRDefault="00831F55"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7,0 -</w:t>
            </w:r>
            <w:r w:rsidR="00AB12F9" w:rsidRPr="00402720">
              <w:rPr>
                <w:rFonts w:ascii="Times New Roman" w:hAnsi="Times New Roman" w:cs="Times New Roman"/>
                <w:lang w:val="de-DE"/>
              </w:rPr>
              <w:t xml:space="preserve"> 33,5</w:t>
            </w:r>
          </w:p>
        </w:tc>
        <w:tc>
          <w:tcPr>
            <w:tcW w:w="1559" w:type="dxa"/>
          </w:tcPr>
          <w:p w14:paraId="76F5084D"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24,4 </w:t>
            </w:r>
            <w:r w:rsidR="00831F55" w:rsidRPr="00402720">
              <w:rPr>
                <w:rFonts w:ascii="Times New Roman" w:hAnsi="Times New Roman" w:cs="Times New Roman"/>
                <w:lang w:val="de-DE"/>
              </w:rPr>
              <w:t>-</w:t>
            </w:r>
            <w:r w:rsidRPr="00402720">
              <w:rPr>
                <w:rFonts w:ascii="Times New Roman" w:hAnsi="Times New Roman" w:cs="Times New Roman"/>
                <w:lang w:val="de-DE"/>
              </w:rPr>
              <w:t xml:space="preserve"> 57,8</w:t>
            </w:r>
          </w:p>
        </w:tc>
        <w:tc>
          <w:tcPr>
            <w:tcW w:w="1559" w:type="dxa"/>
          </w:tcPr>
          <w:p w14:paraId="314C6134"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11,7 </w:t>
            </w:r>
            <w:r w:rsidR="00831F55" w:rsidRPr="00402720">
              <w:rPr>
                <w:rFonts w:ascii="Times New Roman" w:hAnsi="Times New Roman" w:cs="Times New Roman"/>
                <w:lang w:val="de-DE"/>
              </w:rPr>
              <w:t>-</w:t>
            </w:r>
            <w:r w:rsidRPr="00402720">
              <w:rPr>
                <w:rFonts w:ascii="Times New Roman" w:hAnsi="Times New Roman" w:cs="Times New Roman"/>
                <w:lang w:val="de-DE"/>
              </w:rPr>
              <w:t xml:space="preserve"> 42,6</w:t>
            </w:r>
          </w:p>
        </w:tc>
        <w:tc>
          <w:tcPr>
            <w:tcW w:w="1134" w:type="dxa"/>
          </w:tcPr>
          <w:p w14:paraId="5A39E76C"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9,2 - 23,9</w:t>
            </w:r>
          </w:p>
        </w:tc>
        <w:tc>
          <w:tcPr>
            <w:tcW w:w="1559" w:type="dxa"/>
          </w:tcPr>
          <w:p w14:paraId="7A700AC6"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18,1 - 35,6</w:t>
            </w:r>
          </w:p>
        </w:tc>
      </w:tr>
      <w:tr w:rsidR="00252768" w:rsidRPr="00402720" w14:paraId="5D070945" w14:textId="77777777" w:rsidTr="00402720">
        <w:trPr>
          <w:trHeight w:val="20"/>
        </w:trPr>
        <w:tc>
          <w:tcPr>
            <w:tcW w:w="2127" w:type="dxa"/>
          </w:tcPr>
          <w:p w14:paraId="1D718BBD" w14:textId="77777777" w:rsidR="00AB12F9" w:rsidRPr="00402720" w:rsidRDefault="00AB12F9" w:rsidP="00402720">
            <w:pPr>
              <w:tabs>
                <w:tab w:val="left" w:pos="567"/>
              </w:tabs>
              <w:spacing w:after="0" w:line="240" w:lineRule="auto"/>
              <w:ind w:left="284"/>
              <w:rPr>
                <w:rFonts w:ascii="Times New Roman" w:hAnsi="Times New Roman" w:cs="Times New Roman"/>
                <w:lang w:val="de-DE"/>
              </w:rPr>
            </w:pPr>
            <w:r w:rsidRPr="00402720">
              <w:rPr>
                <w:rFonts w:ascii="Times New Roman" w:hAnsi="Times New Roman" w:cs="Times New Roman"/>
                <w:lang w:val="de-DE"/>
              </w:rPr>
              <w:t>p-Wert</w:t>
            </w:r>
          </w:p>
        </w:tc>
        <w:tc>
          <w:tcPr>
            <w:tcW w:w="1134" w:type="dxa"/>
          </w:tcPr>
          <w:p w14:paraId="280AA548"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p>
        </w:tc>
        <w:tc>
          <w:tcPr>
            <w:tcW w:w="1559" w:type="dxa"/>
          </w:tcPr>
          <w:p w14:paraId="3B7389E8"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0,029</w:t>
            </w:r>
          </w:p>
        </w:tc>
        <w:tc>
          <w:tcPr>
            <w:tcW w:w="1559" w:type="dxa"/>
          </w:tcPr>
          <w:p w14:paraId="5A7E5F73"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0,43</w:t>
            </w:r>
          </w:p>
        </w:tc>
        <w:tc>
          <w:tcPr>
            <w:tcW w:w="1134" w:type="dxa"/>
          </w:tcPr>
          <w:p w14:paraId="3D209445"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p>
        </w:tc>
        <w:tc>
          <w:tcPr>
            <w:tcW w:w="1559" w:type="dxa"/>
          </w:tcPr>
          <w:p w14:paraId="25E4FE93"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0,055</w:t>
            </w:r>
          </w:p>
        </w:tc>
      </w:tr>
      <w:tr w:rsidR="00AB12F9" w:rsidRPr="00402720" w14:paraId="57A7AE4A" w14:textId="77777777" w:rsidTr="00402720">
        <w:trPr>
          <w:trHeight w:val="20"/>
        </w:trPr>
        <w:tc>
          <w:tcPr>
            <w:tcW w:w="9072" w:type="dxa"/>
            <w:gridSpan w:val="6"/>
          </w:tcPr>
          <w:p w14:paraId="71FB7AEC" w14:textId="77777777" w:rsidR="00AB12F9" w:rsidRPr="00402720" w:rsidRDefault="00AB12F9" w:rsidP="00402720">
            <w:pPr>
              <w:keepNext/>
              <w:autoSpaceDE w:val="0"/>
              <w:autoSpaceDN w:val="0"/>
              <w:adjustRightInd w:val="0"/>
              <w:spacing w:after="0" w:line="240" w:lineRule="auto"/>
              <w:rPr>
                <w:rFonts w:ascii="Times New Roman" w:hAnsi="Times New Roman" w:cs="Times New Roman"/>
                <w:lang w:val="de-DE"/>
              </w:rPr>
            </w:pPr>
            <w:r w:rsidRPr="00402720">
              <w:rPr>
                <w:rFonts w:ascii="Times New Roman" w:hAnsi="Times New Roman" w:cs="Times New Roman"/>
                <w:lang w:val="de-DE"/>
              </w:rPr>
              <w:t>Ansprechdauer</w:t>
            </w:r>
          </w:p>
        </w:tc>
      </w:tr>
      <w:tr w:rsidR="00252768" w:rsidRPr="00402720" w14:paraId="2B4B4A2F" w14:textId="77777777" w:rsidTr="00402720">
        <w:trPr>
          <w:trHeight w:val="20"/>
        </w:trPr>
        <w:tc>
          <w:tcPr>
            <w:tcW w:w="2127" w:type="dxa"/>
          </w:tcPr>
          <w:p w14:paraId="56D61EC7" w14:textId="77777777" w:rsidR="00AB12F9" w:rsidRPr="00402720" w:rsidRDefault="00AB12F9" w:rsidP="00402720">
            <w:pPr>
              <w:keepNext/>
              <w:tabs>
                <w:tab w:val="left" w:pos="567"/>
              </w:tabs>
              <w:spacing w:after="0" w:line="240" w:lineRule="auto"/>
              <w:ind w:left="284"/>
              <w:rPr>
                <w:rFonts w:ascii="Times New Roman" w:hAnsi="Times New Roman" w:cs="Times New Roman"/>
                <w:lang w:val="de-DE"/>
              </w:rPr>
            </w:pPr>
            <w:r w:rsidRPr="00402720">
              <w:rPr>
                <w:rFonts w:ascii="Times New Roman" w:hAnsi="Times New Roman" w:cs="Times New Roman"/>
                <w:lang w:val="de-DE"/>
              </w:rPr>
              <w:t>Median (Monate)</w:t>
            </w:r>
          </w:p>
        </w:tc>
        <w:tc>
          <w:tcPr>
            <w:tcW w:w="1134" w:type="dxa"/>
          </w:tcPr>
          <w:p w14:paraId="6F67A696" w14:textId="77777777" w:rsidR="00AB12F9" w:rsidRPr="00402720" w:rsidRDefault="00AB12F9" w:rsidP="00402720">
            <w:pPr>
              <w:keepNext/>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NE</w:t>
            </w:r>
          </w:p>
        </w:tc>
        <w:tc>
          <w:tcPr>
            <w:tcW w:w="1559" w:type="dxa"/>
          </w:tcPr>
          <w:p w14:paraId="766EB0B7"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9,3</w:t>
            </w:r>
          </w:p>
        </w:tc>
        <w:tc>
          <w:tcPr>
            <w:tcW w:w="1559" w:type="dxa"/>
          </w:tcPr>
          <w:p w14:paraId="0F7E4FCC"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5,0</w:t>
            </w:r>
          </w:p>
        </w:tc>
        <w:tc>
          <w:tcPr>
            <w:tcW w:w="1134" w:type="dxa"/>
          </w:tcPr>
          <w:p w14:paraId="7BC80D90"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6,8</w:t>
            </w:r>
          </w:p>
        </w:tc>
        <w:tc>
          <w:tcPr>
            <w:tcW w:w="1559" w:type="dxa"/>
          </w:tcPr>
          <w:p w14:paraId="44BD3FF4"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9,2</w:t>
            </w:r>
          </w:p>
        </w:tc>
      </w:tr>
      <w:tr w:rsidR="00252768" w:rsidRPr="00402720" w14:paraId="2258F321" w14:textId="77777777" w:rsidTr="00402720">
        <w:trPr>
          <w:trHeight w:val="20"/>
        </w:trPr>
        <w:tc>
          <w:tcPr>
            <w:tcW w:w="2127" w:type="dxa"/>
          </w:tcPr>
          <w:p w14:paraId="0269BF0D" w14:textId="77777777" w:rsidR="00AB12F9" w:rsidRPr="00402720" w:rsidRDefault="00AB12F9" w:rsidP="00402720">
            <w:pPr>
              <w:keepNext/>
              <w:tabs>
                <w:tab w:val="left" w:pos="567"/>
              </w:tabs>
              <w:spacing w:after="0" w:line="240" w:lineRule="auto"/>
              <w:ind w:left="284"/>
              <w:rPr>
                <w:rFonts w:ascii="Times New Roman" w:hAnsi="Times New Roman" w:cs="Times New Roman"/>
                <w:lang w:val="de-DE"/>
              </w:rPr>
            </w:pPr>
            <w:r w:rsidRPr="00402720">
              <w:rPr>
                <w:rFonts w:ascii="Times New Roman" w:hAnsi="Times New Roman" w:cs="Times New Roman"/>
                <w:lang w:val="de-DE"/>
              </w:rPr>
              <w:t xml:space="preserve">25-75 </w:t>
            </w:r>
            <w:r w:rsidR="000B12BC" w:rsidRPr="00402720">
              <w:rPr>
                <w:rFonts w:ascii="Times New Roman" w:hAnsi="Times New Roman" w:cs="Times New Roman"/>
                <w:lang w:val="de-DE"/>
              </w:rPr>
              <w:t>P</w:t>
            </w:r>
            <w:r w:rsidR="0002070D" w:rsidRPr="00402720">
              <w:rPr>
                <w:rFonts w:ascii="Times New Roman" w:hAnsi="Times New Roman" w:cs="Times New Roman"/>
                <w:lang w:val="de-DE"/>
              </w:rPr>
              <w:t>erz</w:t>
            </w:r>
            <w:r w:rsidRPr="00402720">
              <w:rPr>
                <w:rFonts w:ascii="Times New Roman" w:hAnsi="Times New Roman" w:cs="Times New Roman"/>
                <w:lang w:val="de-DE"/>
              </w:rPr>
              <w:t>entil</w:t>
            </w:r>
            <w:r w:rsidR="000B12BC" w:rsidRPr="00402720">
              <w:rPr>
                <w:rFonts w:ascii="Times New Roman" w:hAnsi="Times New Roman" w:cs="Times New Roman"/>
                <w:lang w:val="de-DE"/>
              </w:rPr>
              <w:t>e</w:t>
            </w:r>
            <w:r w:rsidRPr="00402720">
              <w:rPr>
                <w:rFonts w:ascii="Times New Roman" w:hAnsi="Times New Roman" w:cs="Times New Roman"/>
                <w:lang w:val="de-DE"/>
              </w:rPr>
              <w:t xml:space="preserve"> (</w:t>
            </w:r>
            <w:r w:rsidR="00D14ED3" w:rsidRPr="00402720">
              <w:rPr>
                <w:rFonts w:ascii="Times New Roman" w:hAnsi="Times New Roman" w:cs="Times New Roman"/>
                <w:lang w:val="de-DE"/>
              </w:rPr>
              <w:t>Monate</w:t>
            </w:r>
            <w:r w:rsidRPr="00402720">
              <w:rPr>
                <w:rFonts w:ascii="Times New Roman" w:hAnsi="Times New Roman" w:cs="Times New Roman"/>
                <w:lang w:val="de-DE"/>
              </w:rPr>
              <w:t>)</w:t>
            </w:r>
          </w:p>
        </w:tc>
        <w:tc>
          <w:tcPr>
            <w:tcW w:w="1134" w:type="dxa"/>
          </w:tcPr>
          <w:p w14:paraId="2DD2FE43" w14:textId="77777777" w:rsidR="00AB12F9" w:rsidRPr="00402720" w:rsidRDefault="00AB12F9" w:rsidP="00402720">
            <w:pPr>
              <w:keepNext/>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5,5 </w:t>
            </w:r>
            <w:r w:rsidR="00BE6B03" w:rsidRPr="00402720">
              <w:rPr>
                <w:rFonts w:ascii="Times New Roman" w:hAnsi="Times New Roman" w:cs="Times New Roman"/>
                <w:lang w:val="de-DE"/>
              </w:rPr>
              <w:t>-</w:t>
            </w:r>
            <w:r w:rsidRPr="00402720">
              <w:rPr>
                <w:rFonts w:ascii="Times New Roman" w:hAnsi="Times New Roman" w:cs="Times New Roman"/>
                <w:lang w:val="de-DE"/>
              </w:rPr>
              <w:t xml:space="preserve"> NE</w:t>
            </w:r>
          </w:p>
        </w:tc>
        <w:tc>
          <w:tcPr>
            <w:tcW w:w="1559" w:type="dxa"/>
          </w:tcPr>
          <w:p w14:paraId="12710E16"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color w:val="000000"/>
                <w:lang w:val="de-DE"/>
              </w:rPr>
              <w:t xml:space="preserve">6,1 </w:t>
            </w:r>
            <w:r w:rsidR="00BE6B03" w:rsidRPr="00402720">
              <w:rPr>
                <w:rFonts w:ascii="Times New Roman" w:hAnsi="Times New Roman" w:cs="Times New Roman"/>
                <w:color w:val="000000"/>
                <w:lang w:val="de-DE"/>
              </w:rPr>
              <w:t>-</w:t>
            </w:r>
            <w:r w:rsidRPr="00402720">
              <w:rPr>
                <w:rFonts w:ascii="Times New Roman" w:hAnsi="Times New Roman" w:cs="Times New Roman"/>
                <w:color w:val="000000"/>
                <w:lang w:val="de-DE"/>
              </w:rPr>
              <w:t xml:space="preserve"> NE</w:t>
            </w:r>
          </w:p>
        </w:tc>
        <w:tc>
          <w:tcPr>
            <w:tcW w:w="1559" w:type="dxa"/>
          </w:tcPr>
          <w:p w14:paraId="16361FE3"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3,8 </w:t>
            </w:r>
            <w:r w:rsidR="00BE6B03" w:rsidRPr="00402720">
              <w:rPr>
                <w:rFonts w:ascii="Times New Roman" w:hAnsi="Times New Roman" w:cs="Times New Roman"/>
                <w:lang w:val="de-DE"/>
              </w:rPr>
              <w:t>-</w:t>
            </w:r>
            <w:r w:rsidRPr="00402720">
              <w:rPr>
                <w:rFonts w:ascii="Times New Roman" w:hAnsi="Times New Roman" w:cs="Times New Roman"/>
                <w:lang w:val="de-DE"/>
              </w:rPr>
              <w:t xml:space="preserve"> 7,8</w:t>
            </w:r>
          </w:p>
        </w:tc>
        <w:tc>
          <w:tcPr>
            <w:tcW w:w="1134" w:type="dxa"/>
          </w:tcPr>
          <w:p w14:paraId="3571FC4A"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lang w:val="de-DE"/>
              </w:rPr>
            </w:pPr>
            <w:r w:rsidRPr="00402720">
              <w:rPr>
                <w:rFonts w:ascii="Times New Roman" w:hAnsi="Times New Roman" w:cs="Times New Roman"/>
                <w:lang w:val="de-DE"/>
              </w:rPr>
              <w:t>5,59 - 9,17</w:t>
            </w:r>
          </w:p>
        </w:tc>
        <w:tc>
          <w:tcPr>
            <w:tcW w:w="1559" w:type="dxa"/>
          </w:tcPr>
          <w:p w14:paraId="70E87EE4" w14:textId="77777777" w:rsidR="00AB12F9" w:rsidRPr="00402720" w:rsidRDefault="00AB12F9" w:rsidP="00402720">
            <w:pPr>
              <w:autoSpaceDE w:val="0"/>
              <w:autoSpaceDN w:val="0"/>
              <w:adjustRightInd w:val="0"/>
              <w:spacing w:after="0" w:line="240" w:lineRule="auto"/>
              <w:jc w:val="center"/>
              <w:rPr>
                <w:rFonts w:ascii="Times New Roman" w:hAnsi="Times New Roman" w:cs="Times New Roman"/>
                <w:color w:val="000000"/>
                <w:lang w:val="de-DE"/>
              </w:rPr>
            </w:pPr>
            <w:r w:rsidRPr="00402720">
              <w:rPr>
                <w:rFonts w:ascii="Times New Roman" w:hAnsi="Times New Roman" w:cs="Times New Roman"/>
                <w:color w:val="000000"/>
                <w:lang w:val="de-DE"/>
              </w:rPr>
              <w:t>5,88 - 13,01</w:t>
            </w:r>
          </w:p>
        </w:tc>
      </w:tr>
    </w:tbl>
    <w:p w14:paraId="49740E08" w14:textId="348B2E8A" w:rsidR="00AF337C" w:rsidRPr="009737B5" w:rsidRDefault="00AB12F9" w:rsidP="00552E48">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a</w:t>
      </w:r>
      <w:r w:rsidRPr="009737B5">
        <w:rPr>
          <w:rFonts w:ascii="Times New Roman" w:hAnsi="Times New Roman" w:cs="Times New Roman"/>
          <w:sz w:val="20"/>
          <w:szCs w:val="20"/>
          <w:lang w:val="de-DE"/>
        </w:rPr>
        <w:tab/>
      </w:r>
      <w:r w:rsidR="00AF337C" w:rsidRPr="009737B5">
        <w:rPr>
          <w:rFonts w:ascii="Times New Roman" w:hAnsi="Times New Roman" w:cs="Times New Roman"/>
          <w:sz w:val="20"/>
          <w:szCs w:val="20"/>
          <w:lang w:val="de-DE"/>
        </w:rPr>
        <w:t>5</w:t>
      </w:r>
      <w:r w:rsidR="00AB26B9" w:rsidRPr="009737B5">
        <w:rPr>
          <w:rFonts w:ascii="Times New Roman" w:hAnsi="Times New Roman" w:cs="Times New Roman"/>
          <w:sz w:val="20"/>
          <w:szCs w:val="20"/>
          <w:lang w:val="de-DE"/>
        </w:rPr>
        <w:t> mg</w:t>
      </w:r>
      <w:r w:rsidR="00AF337C" w:rsidRPr="009737B5">
        <w:rPr>
          <w:rFonts w:ascii="Times New Roman" w:hAnsi="Times New Roman" w:cs="Times New Roman"/>
          <w:sz w:val="20"/>
          <w:szCs w:val="20"/>
          <w:lang w:val="de-DE"/>
        </w:rPr>
        <w:t>/kg alle 2</w:t>
      </w:r>
      <w:r w:rsidR="00D5199D">
        <w:rPr>
          <w:rFonts w:ascii="Times New Roman" w:hAnsi="Times New Roman" w:cs="Times New Roman"/>
          <w:sz w:val="20"/>
          <w:szCs w:val="20"/>
          <w:lang w:val="de-DE"/>
        </w:rPr>
        <w:t> </w:t>
      </w:r>
      <w:r w:rsidR="00AF337C" w:rsidRPr="009737B5">
        <w:rPr>
          <w:rFonts w:ascii="Times New Roman" w:hAnsi="Times New Roman" w:cs="Times New Roman"/>
          <w:sz w:val="20"/>
          <w:szCs w:val="20"/>
          <w:lang w:val="de-DE"/>
        </w:rPr>
        <w:t>Wochen</w:t>
      </w:r>
      <w:r w:rsidR="000A5F77" w:rsidRPr="009737B5">
        <w:rPr>
          <w:rFonts w:ascii="Times New Roman" w:hAnsi="Times New Roman" w:cs="Times New Roman"/>
          <w:sz w:val="20"/>
          <w:szCs w:val="20"/>
          <w:lang w:val="de-DE"/>
        </w:rPr>
        <w:t>.</w:t>
      </w:r>
    </w:p>
    <w:p w14:paraId="044B28F8" w14:textId="5A854397" w:rsidR="00AF337C" w:rsidRPr="009737B5" w:rsidRDefault="00AF337C" w:rsidP="00552E48">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b</w:t>
      </w:r>
      <w:r w:rsidR="00AB12F9" w:rsidRPr="009737B5">
        <w:rPr>
          <w:rFonts w:ascii="Times New Roman" w:hAnsi="Times New Roman" w:cs="Times New Roman"/>
          <w:sz w:val="20"/>
          <w:szCs w:val="20"/>
          <w:lang w:val="de-DE"/>
        </w:rPr>
        <w:tab/>
      </w:r>
      <w:r w:rsidRPr="009737B5">
        <w:rPr>
          <w:rFonts w:ascii="Times New Roman" w:hAnsi="Times New Roman" w:cs="Times New Roman"/>
          <w:sz w:val="20"/>
          <w:szCs w:val="20"/>
          <w:lang w:val="de-DE"/>
        </w:rPr>
        <w:t>10</w:t>
      </w:r>
      <w:r w:rsidR="00AB26B9" w:rsidRPr="009737B5">
        <w:rPr>
          <w:rFonts w:ascii="Times New Roman" w:hAnsi="Times New Roman" w:cs="Times New Roman"/>
          <w:sz w:val="20"/>
          <w:szCs w:val="20"/>
          <w:lang w:val="de-DE"/>
        </w:rPr>
        <w:t> mg</w:t>
      </w:r>
      <w:r w:rsidRPr="009737B5">
        <w:rPr>
          <w:rFonts w:ascii="Times New Roman" w:hAnsi="Times New Roman" w:cs="Times New Roman"/>
          <w:sz w:val="20"/>
          <w:szCs w:val="20"/>
          <w:lang w:val="de-DE"/>
        </w:rPr>
        <w:t>/kg alle 2</w:t>
      </w:r>
      <w:r w:rsidR="00D5199D">
        <w:rPr>
          <w:rFonts w:ascii="Times New Roman" w:hAnsi="Times New Roman" w:cs="Times New Roman"/>
          <w:sz w:val="20"/>
          <w:szCs w:val="20"/>
          <w:lang w:val="de-DE"/>
        </w:rPr>
        <w:t> </w:t>
      </w:r>
      <w:r w:rsidRPr="009737B5">
        <w:rPr>
          <w:rFonts w:ascii="Times New Roman" w:hAnsi="Times New Roman" w:cs="Times New Roman"/>
          <w:sz w:val="20"/>
          <w:szCs w:val="20"/>
          <w:lang w:val="de-DE"/>
        </w:rPr>
        <w:t>Wochen</w:t>
      </w:r>
      <w:r w:rsidR="000A5F77" w:rsidRPr="009737B5">
        <w:rPr>
          <w:rFonts w:ascii="Times New Roman" w:hAnsi="Times New Roman" w:cs="Times New Roman"/>
          <w:sz w:val="20"/>
          <w:szCs w:val="20"/>
          <w:lang w:val="de-DE"/>
        </w:rPr>
        <w:t>.</w:t>
      </w:r>
    </w:p>
    <w:p w14:paraId="526F6053" w14:textId="77777777" w:rsidR="00AF337C" w:rsidRPr="009737B5" w:rsidRDefault="00AF337C" w:rsidP="00552E48">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c</w:t>
      </w:r>
      <w:r w:rsidR="00AB12F9" w:rsidRPr="009737B5">
        <w:rPr>
          <w:rFonts w:ascii="Times New Roman" w:hAnsi="Times New Roman" w:cs="Times New Roman"/>
          <w:sz w:val="20"/>
          <w:szCs w:val="20"/>
          <w:lang w:val="de-DE"/>
        </w:rPr>
        <w:tab/>
      </w:r>
      <w:r w:rsidRPr="009737B5">
        <w:rPr>
          <w:rFonts w:ascii="Times New Roman" w:hAnsi="Times New Roman" w:cs="Times New Roman"/>
          <w:sz w:val="20"/>
          <w:szCs w:val="20"/>
          <w:lang w:val="de-DE"/>
        </w:rPr>
        <w:t>Relativ zum Kontrollarm</w:t>
      </w:r>
      <w:r w:rsidR="000A5F77" w:rsidRPr="009737B5">
        <w:rPr>
          <w:rFonts w:ascii="Times New Roman" w:hAnsi="Times New Roman" w:cs="Times New Roman"/>
          <w:sz w:val="20"/>
          <w:szCs w:val="20"/>
          <w:lang w:val="de-DE"/>
        </w:rPr>
        <w:t>.</w:t>
      </w:r>
    </w:p>
    <w:p w14:paraId="15CF2CC4" w14:textId="77777777" w:rsidR="00AF337C" w:rsidRPr="009737B5" w:rsidRDefault="00AF337C" w:rsidP="005F4D08">
      <w:pPr>
        <w:suppressAutoHyphens/>
        <w:spacing w:after="0" w:line="240" w:lineRule="auto"/>
        <w:rPr>
          <w:rFonts w:ascii="Times New Roman" w:hAnsi="Times New Roman" w:cs="Times New Roman"/>
          <w:sz w:val="20"/>
          <w:szCs w:val="20"/>
          <w:lang w:val="de-DE"/>
        </w:rPr>
      </w:pPr>
      <w:r w:rsidRPr="009737B5">
        <w:rPr>
          <w:rFonts w:ascii="Times New Roman" w:hAnsi="Times New Roman" w:cs="Times New Roman"/>
          <w:sz w:val="20"/>
          <w:szCs w:val="20"/>
          <w:lang w:val="de-DE"/>
        </w:rPr>
        <w:t>NE = Nicht erreicht</w:t>
      </w:r>
      <w:r w:rsidR="000A5F77" w:rsidRPr="009737B5">
        <w:rPr>
          <w:rFonts w:ascii="Times New Roman" w:hAnsi="Times New Roman" w:cs="Times New Roman"/>
          <w:sz w:val="20"/>
          <w:szCs w:val="20"/>
          <w:lang w:val="de-DE"/>
        </w:rPr>
        <w:t>.</w:t>
      </w:r>
    </w:p>
    <w:p w14:paraId="47F52229" w14:textId="77777777" w:rsidR="00AF337C" w:rsidRPr="009737B5" w:rsidRDefault="00AF337C" w:rsidP="005F4D08">
      <w:pPr>
        <w:suppressAutoHyphens/>
        <w:spacing w:after="0" w:line="240" w:lineRule="auto"/>
        <w:rPr>
          <w:rFonts w:ascii="Times New Roman" w:hAnsi="Times New Roman" w:cs="Times New Roman"/>
          <w:lang w:val="de-DE"/>
        </w:rPr>
      </w:pPr>
    </w:p>
    <w:p w14:paraId="222C5943" w14:textId="77777777" w:rsidR="00AF337C" w:rsidRPr="009737B5" w:rsidRDefault="00AF337C" w:rsidP="00552E48">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NO16966</w:t>
      </w:r>
    </w:p>
    <w:p w14:paraId="1A691511" w14:textId="7A9FA9CC" w:rsidR="00AF337C" w:rsidRPr="009737B5" w:rsidRDefault="00AF337C" w:rsidP="00CA2B95">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Hierbei handelte es sich um eine randomisierte, bezüglich Bevacizumab doppelblinde klinische</w:t>
      </w:r>
      <w:r w:rsidR="00AB12F9" w:rsidRPr="009737B5">
        <w:rPr>
          <w:rFonts w:ascii="Times New Roman" w:hAnsi="Times New Roman" w:cs="Times New Roman"/>
          <w:lang w:val="de-DE"/>
        </w:rPr>
        <w:t xml:space="preserve"> </w:t>
      </w:r>
      <w:r w:rsidRPr="009737B5">
        <w:rPr>
          <w:rFonts w:ascii="Times New Roman" w:hAnsi="Times New Roman" w:cs="Times New Roman"/>
          <w:lang w:val="de-DE"/>
        </w:rPr>
        <w:t>Studie der Phase</w:t>
      </w:r>
      <w:r w:rsidR="000B0A74">
        <w:rPr>
          <w:rFonts w:ascii="Times New Roman" w:hAnsi="Times New Roman" w:cs="Times New Roman"/>
          <w:lang w:val="de-DE"/>
        </w:rPr>
        <w:t> </w:t>
      </w:r>
      <w:r w:rsidRPr="009737B5">
        <w:rPr>
          <w:rFonts w:ascii="Times New Roman" w:hAnsi="Times New Roman" w:cs="Times New Roman"/>
          <w:lang w:val="de-DE"/>
        </w:rPr>
        <w:t xml:space="preserve">III zur Untersuchung der Anwendung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in einer Dosierung von 7,5</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alle 3</w:t>
      </w:r>
      <w:r w:rsidR="000B0A74">
        <w:rPr>
          <w:rFonts w:ascii="Times New Roman" w:hAnsi="Times New Roman" w:cs="Times New Roman"/>
          <w:lang w:val="de-DE"/>
        </w:rPr>
        <w:t> </w:t>
      </w:r>
      <w:r w:rsidRPr="009737B5">
        <w:rPr>
          <w:rFonts w:ascii="Times New Roman" w:hAnsi="Times New Roman" w:cs="Times New Roman"/>
          <w:lang w:val="de-DE"/>
        </w:rPr>
        <w:t xml:space="preserve">Wochen in Kombination mit oral gegebenem Capecitabin und intravenös appliziertem Oxaliplatin (XELOX) bzw. der Anwendung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in einer Dosierung von 5</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alle 2</w:t>
      </w:r>
      <w:r w:rsidR="000B0A74">
        <w:rPr>
          <w:rFonts w:ascii="Times New Roman" w:hAnsi="Times New Roman" w:cs="Times New Roman"/>
          <w:lang w:val="de-DE"/>
        </w:rPr>
        <w:t> </w:t>
      </w:r>
      <w:r w:rsidRPr="009737B5">
        <w:rPr>
          <w:rFonts w:ascii="Times New Roman" w:hAnsi="Times New Roman" w:cs="Times New Roman"/>
          <w:lang w:val="de-DE"/>
        </w:rPr>
        <w:t>Wochen in Kombination mit Leucovorin plus 5-Fluorouracil als Bolusinjektion, gefolgt von 5-Fluorouracil als Infusion und intravenös gegebenem Oxaliplatin (FOLFOX-4). Die Studie bestand aus zwei Teilen: einem initialen, offenen, zweiarmigen Teil (Teil I), in dem die</w:t>
      </w:r>
      <w:r w:rsidR="00AB12F9" w:rsidRPr="009737B5">
        <w:rPr>
          <w:rFonts w:ascii="Times New Roman" w:hAnsi="Times New Roman" w:cs="Times New Roman"/>
          <w:lang w:val="de-DE"/>
        </w:rPr>
        <w:t xml:space="preserve"> </w:t>
      </w:r>
      <w:r w:rsidRPr="009737B5">
        <w:rPr>
          <w:rFonts w:ascii="Times New Roman" w:hAnsi="Times New Roman" w:cs="Times New Roman"/>
          <w:lang w:val="de-DE"/>
        </w:rPr>
        <w:t>Patienten randomisiert zwei ver</w:t>
      </w:r>
      <w:r w:rsidRPr="006B461E">
        <w:rPr>
          <w:rFonts w:ascii="Times New Roman" w:hAnsi="Times New Roman" w:cs="Times New Roman"/>
          <w:lang w:val="de-DE"/>
        </w:rPr>
        <w:t>schiedenen Behandlungsgruppen zugeteilt wurden (XELOX und</w:t>
      </w:r>
      <w:r w:rsidR="00AB12F9" w:rsidRPr="006B461E">
        <w:rPr>
          <w:rFonts w:ascii="Times New Roman" w:hAnsi="Times New Roman" w:cs="Times New Roman"/>
          <w:lang w:val="de-DE"/>
        </w:rPr>
        <w:t xml:space="preserve"> </w:t>
      </w:r>
      <w:r w:rsidRPr="006B461E">
        <w:rPr>
          <w:rFonts w:ascii="Times New Roman" w:hAnsi="Times New Roman" w:cs="Times New Roman"/>
          <w:lang w:val="de-DE"/>
        </w:rPr>
        <w:t>FOLFOX-4)</w:t>
      </w:r>
      <w:r w:rsidR="00742397" w:rsidRPr="006B461E">
        <w:rPr>
          <w:rFonts w:ascii="Times New Roman" w:hAnsi="Times New Roman" w:cs="Times New Roman"/>
          <w:lang w:val="de-DE"/>
        </w:rPr>
        <w:t>,</w:t>
      </w:r>
      <w:r w:rsidRPr="006B461E">
        <w:rPr>
          <w:rFonts w:ascii="Times New Roman" w:hAnsi="Times New Roman" w:cs="Times New Roman"/>
          <w:lang w:val="de-DE"/>
        </w:rPr>
        <w:t xml:space="preserve"> und einem nachfolgenden, 2</w:t>
      </w:r>
      <w:r w:rsidR="00CA2B95" w:rsidRPr="006B461E">
        <w:rPr>
          <w:rFonts w:ascii="Times New Roman" w:hAnsi="Times New Roman" w:cs="Times New Roman"/>
          <w:lang w:val="de-DE"/>
        </w:rPr>
        <w:t> </w:t>
      </w:r>
      <w:r w:rsidR="00537F24" w:rsidRPr="006B461E">
        <w:rPr>
          <w:rFonts w:ascii="Times New Roman" w:hAnsi="Times New Roman" w:cs="Times New Roman"/>
          <w:lang w:val="de-DE"/>
        </w:rPr>
        <w:t>×</w:t>
      </w:r>
      <w:r w:rsidR="00CA2B95" w:rsidRPr="006B461E">
        <w:rPr>
          <w:rFonts w:ascii="Times New Roman" w:hAnsi="Times New Roman" w:cs="Times New Roman"/>
          <w:lang w:val="de-DE"/>
        </w:rPr>
        <w:t> </w:t>
      </w:r>
      <w:r w:rsidRPr="006B461E">
        <w:rPr>
          <w:rFonts w:ascii="Times New Roman" w:hAnsi="Times New Roman" w:cs="Times New Roman"/>
          <w:lang w:val="de-DE"/>
        </w:rPr>
        <w:t>2-faktoriellen, vierarmigen Teil (Teil II), in dem die</w:t>
      </w:r>
      <w:r w:rsidR="00AB12F9" w:rsidRPr="006B461E">
        <w:rPr>
          <w:rFonts w:ascii="Times New Roman" w:hAnsi="Times New Roman" w:cs="Times New Roman"/>
          <w:lang w:val="de-DE"/>
        </w:rPr>
        <w:t xml:space="preserve"> </w:t>
      </w:r>
      <w:r w:rsidRPr="006B461E">
        <w:rPr>
          <w:rFonts w:ascii="Times New Roman" w:hAnsi="Times New Roman" w:cs="Times New Roman"/>
          <w:lang w:val="de-DE"/>
        </w:rPr>
        <w:t>Patienten randomisiert vier Behandlungsgruppen zugewiesen wu</w:t>
      </w:r>
      <w:r w:rsidR="00AD5D8D" w:rsidRPr="006B461E">
        <w:rPr>
          <w:rFonts w:ascii="Times New Roman" w:hAnsi="Times New Roman" w:cs="Times New Roman"/>
          <w:lang w:val="de-DE"/>
        </w:rPr>
        <w:t>rden (XELOX + Placebo, FOLFOX</w:t>
      </w:r>
      <w:r w:rsidR="00AD5D8D" w:rsidRPr="006B461E">
        <w:rPr>
          <w:rFonts w:ascii="Times New Roman" w:hAnsi="Times New Roman" w:cs="Times New Roman"/>
          <w:lang w:val="de-DE"/>
        </w:rPr>
        <w:noBreakHyphen/>
        <w:t>4 </w:t>
      </w:r>
      <w:r w:rsidRPr="006B461E">
        <w:rPr>
          <w:rFonts w:ascii="Times New Roman" w:hAnsi="Times New Roman" w:cs="Times New Roman"/>
          <w:lang w:val="de-DE"/>
        </w:rPr>
        <w:t xml:space="preserve">+ Placebo, XELOX + </w:t>
      </w:r>
      <w:r w:rsidR="00A15C0A" w:rsidRPr="006B461E">
        <w:rPr>
          <w:rFonts w:ascii="Times New Roman" w:hAnsi="Times New Roman" w:cs="Times New Roman"/>
          <w:lang w:val="de-DE"/>
        </w:rPr>
        <w:t>Bevacizumab</w:t>
      </w:r>
      <w:r w:rsidRPr="006B461E">
        <w:rPr>
          <w:rFonts w:ascii="Times New Roman" w:hAnsi="Times New Roman" w:cs="Times New Roman"/>
          <w:lang w:val="de-DE"/>
        </w:rPr>
        <w:t xml:space="preserve">, FOLFOX-4 + </w:t>
      </w:r>
      <w:r w:rsidR="00A15C0A" w:rsidRPr="006B461E">
        <w:rPr>
          <w:rFonts w:ascii="Times New Roman" w:hAnsi="Times New Roman" w:cs="Times New Roman"/>
          <w:lang w:val="de-DE"/>
        </w:rPr>
        <w:t>Bevacizumab</w:t>
      </w:r>
      <w:r w:rsidRPr="006B461E">
        <w:rPr>
          <w:rFonts w:ascii="Times New Roman" w:hAnsi="Times New Roman" w:cs="Times New Roman"/>
          <w:lang w:val="de-DE"/>
        </w:rPr>
        <w:t>). Im Teil</w:t>
      </w:r>
      <w:r w:rsidR="000B0A74" w:rsidRPr="006B461E">
        <w:rPr>
          <w:rFonts w:ascii="Times New Roman" w:hAnsi="Times New Roman" w:cs="Times New Roman"/>
          <w:lang w:val="de-DE"/>
        </w:rPr>
        <w:t> </w:t>
      </w:r>
      <w:r w:rsidRPr="006B461E">
        <w:rPr>
          <w:rFonts w:ascii="Times New Roman" w:hAnsi="Times New Roman" w:cs="Times New Roman"/>
          <w:lang w:val="de-DE"/>
        </w:rPr>
        <w:t xml:space="preserve">II war die Zuteilung zur </w:t>
      </w:r>
      <w:r w:rsidR="00A15C0A" w:rsidRPr="006B461E">
        <w:rPr>
          <w:rFonts w:ascii="Times New Roman" w:hAnsi="Times New Roman" w:cs="Times New Roman"/>
          <w:lang w:val="de-DE"/>
        </w:rPr>
        <w:t>Bevacizumab-</w:t>
      </w:r>
      <w:r w:rsidRPr="006B461E">
        <w:rPr>
          <w:rFonts w:ascii="Times New Roman" w:hAnsi="Times New Roman" w:cs="Times New Roman"/>
          <w:lang w:val="de-DE"/>
        </w:rPr>
        <w:t>Behandlung d</w:t>
      </w:r>
      <w:r w:rsidRPr="009737B5">
        <w:rPr>
          <w:rFonts w:ascii="Times New Roman" w:hAnsi="Times New Roman" w:cs="Times New Roman"/>
          <w:lang w:val="de-DE"/>
        </w:rPr>
        <w:t>oppelblind.</w:t>
      </w:r>
    </w:p>
    <w:p w14:paraId="4C59E9B8" w14:textId="77777777" w:rsidR="00AF337C" w:rsidRPr="009737B5" w:rsidRDefault="00AF337C" w:rsidP="005F4D08">
      <w:pPr>
        <w:suppressAutoHyphens/>
        <w:spacing w:after="0" w:line="240" w:lineRule="auto"/>
        <w:rPr>
          <w:rFonts w:ascii="Times New Roman" w:hAnsi="Times New Roman" w:cs="Times New Roman"/>
          <w:lang w:val="de-DE"/>
        </w:rPr>
      </w:pPr>
    </w:p>
    <w:p w14:paraId="306808B1" w14:textId="2481C95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Im Teil</w:t>
      </w:r>
      <w:r w:rsidR="000B0A74">
        <w:rPr>
          <w:rFonts w:ascii="Times New Roman" w:hAnsi="Times New Roman" w:cs="Times New Roman"/>
          <w:lang w:val="de-DE"/>
        </w:rPr>
        <w:t> </w:t>
      </w:r>
      <w:r w:rsidRPr="009737B5">
        <w:rPr>
          <w:rFonts w:ascii="Times New Roman" w:hAnsi="Times New Roman" w:cs="Times New Roman"/>
          <w:lang w:val="de-DE"/>
        </w:rPr>
        <w:t>II der Studie wurden jedem der 4</w:t>
      </w:r>
      <w:r w:rsidR="000B0A74">
        <w:rPr>
          <w:rFonts w:ascii="Times New Roman" w:hAnsi="Times New Roman" w:cs="Times New Roman"/>
          <w:lang w:val="de-DE"/>
        </w:rPr>
        <w:t> </w:t>
      </w:r>
      <w:r w:rsidRPr="009737B5">
        <w:rPr>
          <w:rFonts w:ascii="Times New Roman" w:hAnsi="Times New Roman" w:cs="Times New Roman"/>
          <w:lang w:val="de-DE"/>
        </w:rPr>
        <w:t>Behandlungsarme ca. 350</w:t>
      </w:r>
      <w:r w:rsidR="000B0A74">
        <w:rPr>
          <w:rFonts w:ascii="Times New Roman" w:hAnsi="Times New Roman" w:cs="Times New Roman"/>
          <w:lang w:val="de-DE"/>
        </w:rPr>
        <w:t> </w:t>
      </w:r>
      <w:r w:rsidRPr="009737B5">
        <w:rPr>
          <w:rFonts w:ascii="Times New Roman" w:hAnsi="Times New Roman" w:cs="Times New Roman"/>
          <w:lang w:val="de-DE"/>
        </w:rPr>
        <w:t>Patienten randomisiert zugewiesen.</w:t>
      </w:r>
    </w:p>
    <w:p w14:paraId="222247C4" w14:textId="77777777" w:rsidR="00AF337C" w:rsidRPr="009737B5" w:rsidRDefault="00AF337C" w:rsidP="005F4D08">
      <w:pPr>
        <w:suppressAutoHyphens/>
        <w:spacing w:after="0" w:line="240" w:lineRule="auto"/>
        <w:rPr>
          <w:rFonts w:ascii="Times New Roman" w:hAnsi="Times New Roman" w:cs="Times New Roman"/>
          <w:lang w:val="de-DE"/>
        </w:rPr>
      </w:pPr>
    </w:p>
    <w:p w14:paraId="1827FF66" w14:textId="3D131421" w:rsidR="00AF337C" w:rsidRPr="009737B5" w:rsidRDefault="00AF337C" w:rsidP="00D87918">
      <w:pPr>
        <w:keepNext/>
        <w:keepLines/>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0B0A74">
        <w:rPr>
          <w:rFonts w:ascii="Times New Roman" w:hAnsi="Times New Roman" w:cs="Times New Roman"/>
          <w:b/>
          <w:lang w:val="de-DE"/>
        </w:rPr>
        <w:t> </w:t>
      </w:r>
      <w:r w:rsidRPr="009737B5">
        <w:rPr>
          <w:rFonts w:ascii="Times New Roman" w:hAnsi="Times New Roman" w:cs="Times New Roman"/>
          <w:b/>
          <w:lang w:val="de-DE"/>
        </w:rPr>
        <w:t>6</w:t>
      </w:r>
      <w:r w:rsidR="00E251E5" w:rsidRPr="009737B5">
        <w:rPr>
          <w:rFonts w:ascii="Times New Roman" w:hAnsi="Times New Roman" w:cs="Times New Roman"/>
          <w:b/>
          <w:lang w:val="de-DE"/>
        </w:rPr>
        <w:t>.</w:t>
      </w:r>
      <w:r w:rsidRPr="009737B5">
        <w:rPr>
          <w:rFonts w:ascii="Times New Roman" w:hAnsi="Times New Roman" w:cs="Times New Roman"/>
          <w:b/>
          <w:lang w:val="de-DE"/>
        </w:rPr>
        <w:t xml:space="preserve"> Behandlungsschemata in der Studie</w:t>
      </w:r>
      <w:r w:rsidR="00D5199D">
        <w:rPr>
          <w:rFonts w:ascii="Times New Roman" w:hAnsi="Times New Roman" w:cs="Times New Roman"/>
          <w:b/>
          <w:lang w:val="de-DE"/>
        </w:rPr>
        <w:t> </w:t>
      </w:r>
      <w:r w:rsidRPr="009737B5">
        <w:rPr>
          <w:rFonts w:ascii="Times New Roman" w:hAnsi="Times New Roman" w:cs="Times New Roman"/>
          <w:b/>
          <w:lang w:val="de-DE"/>
        </w:rPr>
        <w:t>NO16966</w:t>
      </w:r>
      <w:r w:rsidR="00742397" w:rsidRPr="009737B5">
        <w:rPr>
          <w:rFonts w:ascii="Times New Roman" w:hAnsi="Times New Roman" w:cs="Times New Roman"/>
          <w:b/>
          <w:lang w:val="de-DE"/>
        </w:rPr>
        <w:t xml:space="preserve"> (metastasiertes Kolorektalkarzinom)</w:t>
      </w:r>
    </w:p>
    <w:p w14:paraId="517DB3AF" w14:textId="77777777" w:rsidR="00AF337C" w:rsidRPr="009737B5" w:rsidRDefault="00AF337C" w:rsidP="00D87918">
      <w:pPr>
        <w:keepNext/>
        <w:keepLines/>
        <w:suppressAutoHyphens/>
        <w:spacing w:after="0" w:line="240" w:lineRule="auto"/>
        <w:rPr>
          <w:rFonts w:ascii="Times New Roman" w:hAnsi="Times New Roman" w:cs="Times New Roman"/>
          <w:lang w:val="de-D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871"/>
        <w:gridCol w:w="2386"/>
        <w:gridCol w:w="2717"/>
      </w:tblGrid>
      <w:tr w:rsidR="00252768" w:rsidRPr="00402720" w14:paraId="19B4D3BF" w14:textId="77777777" w:rsidTr="00402720">
        <w:trPr>
          <w:trHeight w:val="20"/>
          <w:tblHeader/>
        </w:trPr>
        <w:tc>
          <w:tcPr>
            <w:tcW w:w="2098" w:type="dxa"/>
          </w:tcPr>
          <w:p w14:paraId="5E63334A" w14:textId="77777777" w:rsidR="00AB12F9" w:rsidRPr="00402720" w:rsidRDefault="00AB12F9" w:rsidP="00402720">
            <w:pPr>
              <w:keepNext/>
              <w:spacing w:after="0" w:line="240" w:lineRule="auto"/>
              <w:jc w:val="center"/>
              <w:rPr>
                <w:rFonts w:ascii="Times New Roman" w:hAnsi="Times New Roman" w:cs="Times New Roman"/>
                <w:b/>
                <w:lang w:val="de-DE"/>
              </w:rPr>
            </w:pPr>
          </w:p>
        </w:tc>
        <w:tc>
          <w:tcPr>
            <w:tcW w:w="1871" w:type="dxa"/>
          </w:tcPr>
          <w:p w14:paraId="1EB37B3F" w14:textId="77777777" w:rsidR="00AB12F9" w:rsidRPr="00402720" w:rsidRDefault="00AB12F9" w:rsidP="00402720">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Behandlung</w:t>
            </w:r>
          </w:p>
        </w:tc>
        <w:tc>
          <w:tcPr>
            <w:tcW w:w="2386" w:type="dxa"/>
          </w:tcPr>
          <w:p w14:paraId="668BDFCC" w14:textId="77777777" w:rsidR="00AB12F9" w:rsidRPr="00402720" w:rsidRDefault="00AB12F9" w:rsidP="00402720">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Anfangsdosierung</w:t>
            </w:r>
          </w:p>
        </w:tc>
        <w:tc>
          <w:tcPr>
            <w:tcW w:w="2717" w:type="dxa"/>
          </w:tcPr>
          <w:p w14:paraId="1F1592FE" w14:textId="77777777" w:rsidR="00AB12F9" w:rsidRPr="00402720" w:rsidRDefault="00AB12F9" w:rsidP="00402720">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Ablaufplan</w:t>
            </w:r>
          </w:p>
        </w:tc>
      </w:tr>
      <w:tr w:rsidR="00252768" w:rsidRPr="00B83674" w14:paraId="36E607AB" w14:textId="77777777" w:rsidTr="00402720">
        <w:trPr>
          <w:trHeight w:val="20"/>
        </w:trPr>
        <w:tc>
          <w:tcPr>
            <w:tcW w:w="2098" w:type="dxa"/>
            <w:vMerge w:val="restart"/>
          </w:tcPr>
          <w:p w14:paraId="492C0613" w14:textId="77777777" w:rsidR="00552E48"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FOLFOX-4</w:t>
            </w:r>
          </w:p>
          <w:p w14:paraId="38F1EFE1" w14:textId="77777777"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oder</w:t>
            </w:r>
          </w:p>
          <w:p w14:paraId="348C5093" w14:textId="77777777"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FOLFOX-4 +</w:t>
            </w:r>
            <w:r w:rsidR="00552E48" w:rsidRPr="00402720">
              <w:rPr>
                <w:rFonts w:ascii="Times New Roman" w:hAnsi="Times New Roman" w:cs="Times New Roman"/>
                <w:lang w:val="de-DE"/>
              </w:rPr>
              <w:t xml:space="preserve"> </w:t>
            </w:r>
            <w:r w:rsidR="00A15C0A" w:rsidRPr="00402720">
              <w:rPr>
                <w:rFonts w:ascii="Times New Roman" w:hAnsi="Times New Roman" w:cs="Times New Roman"/>
                <w:lang w:val="de-DE"/>
              </w:rPr>
              <w:t>Bevacizumab</w:t>
            </w:r>
            <w:r w:rsidRPr="00402720">
              <w:rPr>
                <w:rFonts w:ascii="Times New Roman" w:hAnsi="Times New Roman" w:cs="Times New Roman"/>
                <w:lang w:val="de-DE"/>
              </w:rPr>
              <w:t xml:space="preserve"> </w:t>
            </w:r>
          </w:p>
        </w:tc>
        <w:tc>
          <w:tcPr>
            <w:tcW w:w="1871" w:type="dxa"/>
          </w:tcPr>
          <w:p w14:paraId="05FBD5F9" w14:textId="77777777"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Oxaliplatin</w:t>
            </w:r>
          </w:p>
          <w:p w14:paraId="294C5846" w14:textId="77777777" w:rsidR="00552E48" w:rsidRPr="00402720" w:rsidRDefault="00552E48" w:rsidP="00402720">
            <w:pPr>
              <w:spacing w:after="0" w:line="240" w:lineRule="auto"/>
              <w:rPr>
                <w:rFonts w:ascii="Times New Roman" w:hAnsi="Times New Roman" w:cs="Times New Roman"/>
                <w:lang w:val="de-DE"/>
              </w:rPr>
            </w:pPr>
          </w:p>
          <w:p w14:paraId="70E32C59" w14:textId="77777777"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Leucovorin</w:t>
            </w:r>
          </w:p>
          <w:p w14:paraId="56295801" w14:textId="77777777" w:rsidR="00552E48" w:rsidRPr="00402720" w:rsidRDefault="00552E48" w:rsidP="00402720">
            <w:pPr>
              <w:spacing w:after="0" w:line="240" w:lineRule="auto"/>
              <w:rPr>
                <w:rFonts w:ascii="Times New Roman" w:hAnsi="Times New Roman" w:cs="Times New Roman"/>
                <w:lang w:val="de-DE"/>
              </w:rPr>
            </w:pPr>
          </w:p>
          <w:p w14:paraId="0B21FA01" w14:textId="77777777"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5-Fluorouracil</w:t>
            </w:r>
          </w:p>
        </w:tc>
        <w:tc>
          <w:tcPr>
            <w:tcW w:w="2386" w:type="dxa"/>
          </w:tcPr>
          <w:p w14:paraId="3180B176" w14:textId="0B899DEC"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85</w:t>
            </w:r>
            <w:r w:rsidR="000B0A74">
              <w:rPr>
                <w:rFonts w:ascii="Times New Roman" w:hAnsi="Times New Roman" w:cs="Times New Roman"/>
                <w:lang w:val="de-DE"/>
              </w:rPr>
              <w:t> </w:t>
            </w:r>
            <w:r w:rsidR="00AB26B9" w:rsidRPr="00402720">
              <w:rPr>
                <w:rFonts w:ascii="Times New Roman" w:hAnsi="Times New Roman" w:cs="Times New Roman"/>
                <w:lang w:val="de-DE"/>
              </w:rPr>
              <w:t>mg</w:t>
            </w:r>
            <w:r w:rsidRPr="00402720">
              <w:rPr>
                <w:rFonts w:ascii="Times New Roman" w:hAnsi="Times New Roman" w:cs="Times New Roman"/>
                <w:lang w:val="de-DE"/>
              </w:rPr>
              <w:t>/m</w:t>
            </w:r>
            <w:r w:rsidRPr="00402720">
              <w:rPr>
                <w:rFonts w:ascii="Times New Roman" w:hAnsi="Times New Roman" w:cs="Times New Roman"/>
                <w:vertAlign w:val="superscript"/>
                <w:lang w:val="de-DE"/>
              </w:rPr>
              <w:t>2</w:t>
            </w:r>
            <w:r w:rsidRPr="00402720">
              <w:rPr>
                <w:rFonts w:ascii="Times New Roman" w:hAnsi="Times New Roman" w:cs="Times New Roman"/>
                <w:lang w:val="de-DE"/>
              </w:rPr>
              <w:t xml:space="preserve"> i.v. 2</w:t>
            </w:r>
            <w:r w:rsidR="000B0A74">
              <w:rPr>
                <w:rFonts w:ascii="Times New Roman" w:hAnsi="Times New Roman" w:cs="Times New Roman"/>
                <w:lang w:val="de-DE"/>
              </w:rPr>
              <w:t> </w:t>
            </w:r>
            <w:r w:rsidRPr="00402720">
              <w:rPr>
                <w:rFonts w:ascii="Times New Roman" w:hAnsi="Times New Roman" w:cs="Times New Roman"/>
                <w:lang w:val="de-DE"/>
              </w:rPr>
              <w:t>Std.</w:t>
            </w:r>
          </w:p>
          <w:p w14:paraId="3124BF14" w14:textId="77777777" w:rsidR="00552E48" w:rsidRPr="00402720" w:rsidRDefault="00552E48" w:rsidP="00402720">
            <w:pPr>
              <w:spacing w:after="0" w:line="240" w:lineRule="auto"/>
              <w:rPr>
                <w:rFonts w:ascii="Times New Roman" w:hAnsi="Times New Roman" w:cs="Times New Roman"/>
                <w:lang w:val="de-DE"/>
              </w:rPr>
            </w:pPr>
          </w:p>
          <w:p w14:paraId="69C3397B" w14:textId="6A3FAD31"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200</w:t>
            </w:r>
            <w:r w:rsidR="000B0A74">
              <w:rPr>
                <w:rFonts w:ascii="Times New Roman" w:hAnsi="Times New Roman" w:cs="Times New Roman"/>
                <w:lang w:val="de-DE"/>
              </w:rPr>
              <w:t> </w:t>
            </w:r>
            <w:r w:rsidR="00AB26B9" w:rsidRPr="00402720">
              <w:rPr>
                <w:rFonts w:ascii="Times New Roman" w:hAnsi="Times New Roman" w:cs="Times New Roman"/>
                <w:lang w:val="de-DE"/>
              </w:rPr>
              <w:t>mg</w:t>
            </w:r>
            <w:r w:rsidRPr="00402720">
              <w:rPr>
                <w:rFonts w:ascii="Times New Roman" w:hAnsi="Times New Roman" w:cs="Times New Roman"/>
                <w:lang w:val="de-DE"/>
              </w:rPr>
              <w:t>/m</w:t>
            </w:r>
            <w:r w:rsidRPr="00402720">
              <w:rPr>
                <w:rFonts w:ascii="Times New Roman" w:hAnsi="Times New Roman" w:cs="Times New Roman"/>
                <w:vertAlign w:val="superscript"/>
                <w:lang w:val="de-DE"/>
              </w:rPr>
              <w:t>2</w:t>
            </w:r>
            <w:r w:rsidRPr="00402720">
              <w:rPr>
                <w:rFonts w:ascii="Times New Roman" w:hAnsi="Times New Roman" w:cs="Times New Roman"/>
                <w:lang w:val="de-DE"/>
              </w:rPr>
              <w:t xml:space="preserve"> i.v. 2</w:t>
            </w:r>
            <w:r w:rsidR="000B0A74">
              <w:rPr>
                <w:rFonts w:ascii="Times New Roman" w:hAnsi="Times New Roman" w:cs="Times New Roman"/>
                <w:lang w:val="de-DE"/>
              </w:rPr>
              <w:t> </w:t>
            </w:r>
            <w:r w:rsidRPr="00402720">
              <w:rPr>
                <w:rFonts w:ascii="Times New Roman" w:hAnsi="Times New Roman" w:cs="Times New Roman"/>
                <w:lang w:val="de-DE"/>
              </w:rPr>
              <w:t>Std.</w:t>
            </w:r>
          </w:p>
          <w:p w14:paraId="01810E03" w14:textId="77777777" w:rsidR="00552E48" w:rsidRPr="00402720" w:rsidRDefault="00552E48" w:rsidP="00402720">
            <w:pPr>
              <w:spacing w:after="0" w:line="240" w:lineRule="auto"/>
              <w:rPr>
                <w:rFonts w:ascii="Times New Roman" w:hAnsi="Times New Roman" w:cs="Times New Roman"/>
                <w:lang w:val="de-DE"/>
              </w:rPr>
            </w:pPr>
          </w:p>
          <w:p w14:paraId="4F0332E6" w14:textId="27E4155B" w:rsidR="00552E48"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400</w:t>
            </w:r>
            <w:r w:rsidR="000B0A74">
              <w:rPr>
                <w:rFonts w:ascii="Times New Roman" w:hAnsi="Times New Roman" w:cs="Times New Roman"/>
                <w:lang w:val="de-DE"/>
              </w:rPr>
              <w:t> </w:t>
            </w:r>
            <w:r w:rsidR="00AB26B9" w:rsidRPr="00402720">
              <w:rPr>
                <w:rFonts w:ascii="Times New Roman" w:hAnsi="Times New Roman" w:cs="Times New Roman"/>
                <w:lang w:val="de-DE"/>
              </w:rPr>
              <w:t>mg</w:t>
            </w:r>
            <w:r w:rsidRPr="00402720">
              <w:rPr>
                <w:rFonts w:ascii="Times New Roman" w:hAnsi="Times New Roman" w:cs="Times New Roman"/>
                <w:lang w:val="de-DE"/>
              </w:rPr>
              <w:t>/m</w:t>
            </w:r>
            <w:r w:rsidRPr="00402720">
              <w:rPr>
                <w:rFonts w:ascii="Times New Roman" w:hAnsi="Times New Roman" w:cs="Times New Roman"/>
                <w:vertAlign w:val="superscript"/>
                <w:lang w:val="de-DE"/>
              </w:rPr>
              <w:t>2</w:t>
            </w:r>
            <w:r w:rsidRPr="00402720">
              <w:rPr>
                <w:rFonts w:ascii="Times New Roman" w:hAnsi="Times New Roman" w:cs="Times New Roman"/>
                <w:lang w:val="de-DE"/>
              </w:rPr>
              <w:t xml:space="preserve"> i.v. </w:t>
            </w:r>
            <w:r w:rsidR="00552E48" w:rsidRPr="00402720">
              <w:rPr>
                <w:rFonts w:ascii="Times New Roman" w:hAnsi="Times New Roman" w:cs="Times New Roman"/>
                <w:lang w:val="de-DE"/>
              </w:rPr>
              <w:t>Bolus,</w:t>
            </w:r>
          </w:p>
          <w:p w14:paraId="48C48908" w14:textId="416D2201"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600</w:t>
            </w:r>
            <w:r w:rsidR="000B0A74">
              <w:rPr>
                <w:rFonts w:ascii="Times New Roman" w:hAnsi="Times New Roman" w:cs="Times New Roman"/>
                <w:lang w:val="de-DE"/>
              </w:rPr>
              <w:t> </w:t>
            </w:r>
            <w:r w:rsidR="00AB26B9" w:rsidRPr="00402720">
              <w:rPr>
                <w:rFonts w:ascii="Times New Roman" w:hAnsi="Times New Roman" w:cs="Times New Roman"/>
                <w:lang w:val="de-DE"/>
              </w:rPr>
              <w:t>mg</w:t>
            </w:r>
            <w:r w:rsidRPr="00402720">
              <w:rPr>
                <w:rFonts w:ascii="Times New Roman" w:hAnsi="Times New Roman" w:cs="Times New Roman"/>
                <w:lang w:val="de-DE"/>
              </w:rPr>
              <w:t>/m</w:t>
            </w:r>
            <w:r w:rsidRPr="00402720">
              <w:rPr>
                <w:rFonts w:ascii="Times New Roman" w:hAnsi="Times New Roman" w:cs="Times New Roman"/>
                <w:vertAlign w:val="superscript"/>
                <w:lang w:val="de-DE"/>
              </w:rPr>
              <w:t>2</w:t>
            </w:r>
            <w:r w:rsidRPr="00402720">
              <w:rPr>
                <w:rFonts w:ascii="Times New Roman" w:hAnsi="Times New Roman" w:cs="Times New Roman"/>
                <w:lang w:val="de-DE"/>
              </w:rPr>
              <w:t xml:space="preserve"> i.v.</w:t>
            </w:r>
            <w:r w:rsidR="00552E48" w:rsidRPr="00402720">
              <w:rPr>
                <w:rFonts w:ascii="Times New Roman" w:hAnsi="Times New Roman" w:cs="Times New Roman"/>
                <w:lang w:val="de-DE"/>
              </w:rPr>
              <w:t xml:space="preserve"> </w:t>
            </w:r>
            <w:r w:rsidR="002208D9" w:rsidRPr="00402720">
              <w:rPr>
                <w:rFonts w:ascii="Times New Roman" w:hAnsi="Times New Roman" w:cs="Times New Roman"/>
                <w:lang w:val="de-DE"/>
              </w:rPr>
              <w:t>22</w:t>
            </w:r>
            <w:r w:rsidR="000B0A74">
              <w:rPr>
                <w:rFonts w:ascii="Times New Roman" w:hAnsi="Times New Roman" w:cs="Times New Roman"/>
                <w:lang w:val="de-DE"/>
              </w:rPr>
              <w:t> </w:t>
            </w:r>
            <w:r w:rsidR="002208D9" w:rsidRPr="00402720">
              <w:rPr>
                <w:rFonts w:ascii="Times New Roman" w:hAnsi="Times New Roman" w:cs="Times New Roman"/>
                <w:lang w:val="de-DE"/>
              </w:rPr>
              <w:t>Std.</w:t>
            </w:r>
          </w:p>
        </w:tc>
        <w:tc>
          <w:tcPr>
            <w:tcW w:w="2717" w:type="dxa"/>
          </w:tcPr>
          <w:p w14:paraId="36C9D74A" w14:textId="12BE5DCD"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Oxaliplatin am Tag</w:t>
            </w:r>
            <w:r w:rsidR="000B0A74">
              <w:rPr>
                <w:rFonts w:ascii="Times New Roman" w:hAnsi="Times New Roman" w:cs="Times New Roman"/>
                <w:lang w:val="de-DE"/>
              </w:rPr>
              <w:t> </w:t>
            </w:r>
            <w:r w:rsidRPr="00402720">
              <w:rPr>
                <w:rFonts w:ascii="Times New Roman" w:hAnsi="Times New Roman" w:cs="Times New Roman"/>
                <w:lang w:val="de-DE"/>
              </w:rPr>
              <w:t>1</w:t>
            </w:r>
          </w:p>
          <w:p w14:paraId="7855147C" w14:textId="77777777" w:rsidR="00552E48" w:rsidRPr="00402720" w:rsidRDefault="00552E48" w:rsidP="00402720">
            <w:pPr>
              <w:spacing w:after="0" w:line="240" w:lineRule="auto"/>
              <w:rPr>
                <w:rFonts w:ascii="Times New Roman" w:hAnsi="Times New Roman" w:cs="Times New Roman"/>
                <w:lang w:val="de-DE"/>
              </w:rPr>
            </w:pPr>
          </w:p>
          <w:p w14:paraId="72FFDABF" w14:textId="13E19E75"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Leucovorin am Tag</w:t>
            </w:r>
            <w:r w:rsidR="000B0A74">
              <w:rPr>
                <w:rFonts w:ascii="Times New Roman" w:hAnsi="Times New Roman" w:cs="Times New Roman"/>
                <w:lang w:val="de-DE"/>
              </w:rPr>
              <w:t> </w:t>
            </w:r>
            <w:r w:rsidRPr="00402720">
              <w:rPr>
                <w:rFonts w:ascii="Times New Roman" w:hAnsi="Times New Roman" w:cs="Times New Roman"/>
                <w:lang w:val="de-DE"/>
              </w:rPr>
              <w:t>1 und</w:t>
            </w:r>
            <w:r w:rsidR="000B0A74">
              <w:rPr>
                <w:rFonts w:ascii="Times New Roman" w:hAnsi="Times New Roman" w:cs="Times New Roman"/>
                <w:lang w:val="de-DE"/>
              </w:rPr>
              <w:t> </w:t>
            </w:r>
            <w:r w:rsidRPr="00402720">
              <w:rPr>
                <w:rFonts w:ascii="Times New Roman" w:hAnsi="Times New Roman" w:cs="Times New Roman"/>
                <w:lang w:val="de-DE"/>
              </w:rPr>
              <w:t>2</w:t>
            </w:r>
          </w:p>
          <w:p w14:paraId="5C77BB69" w14:textId="77777777" w:rsidR="00552E48" w:rsidRPr="00402720" w:rsidRDefault="00552E48" w:rsidP="00402720">
            <w:pPr>
              <w:spacing w:after="0" w:line="240" w:lineRule="auto"/>
              <w:rPr>
                <w:rFonts w:ascii="Times New Roman" w:hAnsi="Times New Roman" w:cs="Times New Roman"/>
                <w:lang w:val="de-DE"/>
              </w:rPr>
            </w:pPr>
          </w:p>
          <w:p w14:paraId="785D85E1" w14:textId="02AF40DE"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5-Fluorouracil i.v. Bolus/Infusion</w:t>
            </w:r>
            <w:r w:rsidR="00322E40" w:rsidRPr="00402720">
              <w:rPr>
                <w:rFonts w:ascii="Times New Roman" w:hAnsi="Times New Roman" w:cs="Times New Roman"/>
                <w:lang w:val="de-DE"/>
              </w:rPr>
              <w:t>, jeweils an den Tagen</w:t>
            </w:r>
            <w:r w:rsidR="000B0A74">
              <w:rPr>
                <w:rFonts w:ascii="Times New Roman" w:hAnsi="Times New Roman" w:cs="Times New Roman"/>
                <w:lang w:val="de-DE"/>
              </w:rPr>
              <w:t> </w:t>
            </w:r>
            <w:r w:rsidR="00322E40" w:rsidRPr="00402720">
              <w:rPr>
                <w:rFonts w:ascii="Times New Roman" w:hAnsi="Times New Roman" w:cs="Times New Roman"/>
                <w:lang w:val="de-DE"/>
              </w:rPr>
              <w:t>1 und</w:t>
            </w:r>
            <w:r w:rsidR="000B0A74">
              <w:rPr>
                <w:rFonts w:ascii="Times New Roman" w:hAnsi="Times New Roman" w:cs="Times New Roman"/>
                <w:lang w:val="de-DE"/>
              </w:rPr>
              <w:t> </w:t>
            </w:r>
            <w:r w:rsidR="00322E40" w:rsidRPr="00402720">
              <w:rPr>
                <w:rFonts w:ascii="Times New Roman" w:hAnsi="Times New Roman" w:cs="Times New Roman"/>
                <w:lang w:val="de-DE"/>
              </w:rPr>
              <w:t>2</w:t>
            </w:r>
          </w:p>
        </w:tc>
      </w:tr>
      <w:tr w:rsidR="00252768" w:rsidRPr="002A434E" w14:paraId="22287573" w14:textId="77777777" w:rsidTr="00402720">
        <w:trPr>
          <w:trHeight w:val="20"/>
        </w:trPr>
        <w:tc>
          <w:tcPr>
            <w:tcW w:w="2098" w:type="dxa"/>
            <w:vMerge/>
          </w:tcPr>
          <w:p w14:paraId="31C0F992" w14:textId="77777777" w:rsidR="00AB12F9" w:rsidRPr="00402720" w:rsidRDefault="00AB12F9" w:rsidP="00402720">
            <w:pPr>
              <w:autoSpaceDE w:val="0"/>
              <w:autoSpaceDN w:val="0"/>
              <w:adjustRightInd w:val="0"/>
              <w:spacing w:after="0" w:line="240" w:lineRule="auto"/>
              <w:rPr>
                <w:rFonts w:ascii="Times New Roman" w:hAnsi="Times New Roman" w:cs="Times New Roman"/>
                <w:lang w:val="de-DE"/>
              </w:rPr>
            </w:pPr>
          </w:p>
        </w:tc>
        <w:tc>
          <w:tcPr>
            <w:tcW w:w="1871" w:type="dxa"/>
          </w:tcPr>
          <w:p w14:paraId="533336B2" w14:textId="77777777"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Placebo oder </w:t>
            </w:r>
            <w:r w:rsidR="00A15C0A" w:rsidRPr="00402720">
              <w:rPr>
                <w:rFonts w:ascii="Times New Roman" w:hAnsi="Times New Roman" w:cs="Times New Roman"/>
                <w:lang w:val="de-DE"/>
              </w:rPr>
              <w:t>Bevacizumab</w:t>
            </w:r>
            <w:r w:rsidRPr="00402720">
              <w:rPr>
                <w:rFonts w:ascii="Times New Roman" w:hAnsi="Times New Roman" w:cs="Times New Roman"/>
                <w:lang w:val="de-DE"/>
              </w:rPr>
              <w:t xml:space="preserve"> </w:t>
            </w:r>
          </w:p>
        </w:tc>
        <w:tc>
          <w:tcPr>
            <w:tcW w:w="2386" w:type="dxa"/>
          </w:tcPr>
          <w:p w14:paraId="6EC630A4" w14:textId="0A9C1EBE"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5</w:t>
            </w:r>
            <w:r w:rsidR="000B0A74">
              <w:rPr>
                <w:rFonts w:ascii="Times New Roman" w:hAnsi="Times New Roman" w:cs="Times New Roman"/>
                <w:lang w:val="de-DE"/>
              </w:rPr>
              <w:t> </w:t>
            </w:r>
            <w:r w:rsidR="00AB26B9" w:rsidRPr="00402720">
              <w:rPr>
                <w:rFonts w:ascii="Times New Roman" w:hAnsi="Times New Roman" w:cs="Times New Roman"/>
                <w:lang w:val="de-DE"/>
              </w:rPr>
              <w:t>mg</w:t>
            </w:r>
            <w:r w:rsidRPr="00402720">
              <w:rPr>
                <w:rFonts w:ascii="Times New Roman" w:hAnsi="Times New Roman" w:cs="Times New Roman"/>
                <w:lang w:val="de-DE"/>
              </w:rPr>
              <w:t>/kg i.v.</w:t>
            </w:r>
            <w:r w:rsidR="00552E48" w:rsidRPr="00402720">
              <w:rPr>
                <w:rFonts w:ascii="Times New Roman" w:hAnsi="Times New Roman" w:cs="Times New Roman"/>
                <w:lang w:val="de-DE"/>
              </w:rPr>
              <w:t xml:space="preserve"> 30 - 90</w:t>
            </w:r>
            <w:r w:rsidR="000B0A74">
              <w:rPr>
                <w:rFonts w:ascii="Times New Roman" w:hAnsi="Times New Roman" w:cs="Times New Roman"/>
                <w:lang w:val="de-DE"/>
              </w:rPr>
              <w:t> </w:t>
            </w:r>
            <w:r w:rsidR="00552E48" w:rsidRPr="00402720">
              <w:rPr>
                <w:rFonts w:ascii="Times New Roman" w:hAnsi="Times New Roman" w:cs="Times New Roman"/>
                <w:lang w:val="de-DE"/>
              </w:rPr>
              <w:t>Min.</w:t>
            </w:r>
          </w:p>
        </w:tc>
        <w:tc>
          <w:tcPr>
            <w:tcW w:w="2717" w:type="dxa"/>
          </w:tcPr>
          <w:p w14:paraId="4444E596" w14:textId="10CEEDB9"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Tag</w:t>
            </w:r>
            <w:r w:rsidR="000B0A74">
              <w:rPr>
                <w:rFonts w:ascii="Times New Roman" w:hAnsi="Times New Roman" w:cs="Times New Roman"/>
                <w:lang w:val="de-DE"/>
              </w:rPr>
              <w:t> </w:t>
            </w:r>
            <w:r w:rsidR="00E87786" w:rsidRPr="00402720">
              <w:rPr>
                <w:rFonts w:ascii="Times New Roman" w:hAnsi="Times New Roman" w:cs="Times New Roman"/>
                <w:lang w:val="de-DE"/>
              </w:rPr>
              <w:t>1, vor FOLFOX-4, alle 2</w:t>
            </w:r>
            <w:r w:rsidR="000B0A74">
              <w:rPr>
                <w:rFonts w:ascii="Times New Roman" w:hAnsi="Times New Roman" w:cs="Times New Roman"/>
                <w:lang w:val="de-DE"/>
              </w:rPr>
              <w:t> </w:t>
            </w:r>
            <w:r w:rsidR="00E87786" w:rsidRPr="00402720">
              <w:rPr>
                <w:rFonts w:ascii="Times New Roman" w:hAnsi="Times New Roman" w:cs="Times New Roman"/>
                <w:lang w:val="de-DE"/>
              </w:rPr>
              <w:t>Wochen</w:t>
            </w:r>
          </w:p>
        </w:tc>
      </w:tr>
      <w:tr w:rsidR="00252768" w:rsidRPr="00B83674" w14:paraId="0D06D1A0" w14:textId="77777777" w:rsidTr="00402720">
        <w:trPr>
          <w:trHeight w:val="20"/>
        </w:trPr>
        <w:tc>
          <w:tcPr>
            <w:tcW w:w="2098" w:type="dxa"/>
            <w:vMerge w:val="restart"/>
          </w:tcPr>
          <w:p w14:paraId="052E7AF9" w14:textId="77777777" w:rsidR="00552E48" w:rsidRPr="00402720" w:rsidRDefault="00552E48"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XELOX</w:t>
            </w:r>
          </w:p>
          <w:p w14:paraId="63304CCA" w14:textId="77777777"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oder</w:t>
            </w:r>
          </w:p>
          <w:p w14:paraId="4EFED346" w14:textId="77777777"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XELOX +</w:t>
            </w:r>
            <w:r w:rsidR="00552E48" w:rsidRPr="00402720">
              <w:rPr>
                <w:rFonts w:ascii="Times New Roman" w:hAnsi="Times New Roman" w:cs="Times New Roman"/>
                <w:lang w:val="de-DE"/>
              </w:rPr>
              <w:t xml:space="preserve"> </w:t>
            </w:r>
            <w:r w:rsidR="00A15C0A" w:rsidRPr="00402720">
              <w:rPr>
                <w:rFonts w:ascii="Times New Roman" w:hAnsi="Times New Roman" w:cs="Times New Roman"/>
                <w:lang w:val="de-DE"/>
              </w:rPr>
              <w:t>Bevacizumab</w:t>
            </w:r>
            <w:r w:rsidRPr="00402720">
              <w:rPr>
                <w:rFonts w:ascii="Times New Roman" w:hAnsi="Times New Roman" w:cs="Times New Roman"/>
                <w:lang w:val="de-DE"/>
              </w:rPr>
              <w:t xml:space="preserve"> </w:t>
            </w:r>
          </w:p>
        </w:tc>
        <w:tc>
          <w:tcPr>
            <w:tcW w:w="1871" w:type="dxa"/>
          </w:tcPr>
          <w:p w14:paraId="20FC01DE" w14:textId="77777777"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Oxaliplatin</w:t>
            </w:r>
          </w:p>
          <w:p w14:paraId="7EE06887" w14:textId="77777777" w:rsidR="00552E48" w:rsidRPr="00402720" w:rsidRDefault="00552E48" w:rsidP="00402720">
            <w:pPr>
              <w:spacing w:after="0" w:line="240" w:lineRule="auto"/>
              <w:rPr>
                <w:rFonts w:ascii="Times New Roman" w:hAnsi="Times New Roman" w:cs="Times New Roman"/>
                <w:lang w:val="de-DE"/>
              </w:rPr>
            </w:pPr>
          </w:p>
          <w:p w14:paraId="0216FCCE" w14:textId="77777777" w:rsidR="00AB12F9" w:rsidRPr="00402720" w:rsidRDefault="00552E48"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Capecitabin</w:t>
            </w:r>
          </w:p>
        </w:tc>
        <w:tc>
          <w:tcPr>
            <w:tcW w:w="2386" w:type="dxa"/>
          </w:tcPr>
          <w:p w14:paraId="46ED24C1" w14:textId="455A84B5"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130</w:t>
            </w:r>
            <w:r w:rsidR="000B0A74">
              <w:rPr>
                <w:rFonts w:ascii="Times New Roman" w:hAnsi="Times New Roman" w:cs="Times New Roman"/>
                <w:lang w:val="de-DE"/>
              </w:rPr>
              <w:t> </w:t>
            </w:r>
            <w:r w:rsidR="00AB26B9" w:rsidRPr="00402720">
              <w:rPr>
                <w:rFonts w:ascii="Times New Roman" w:hAnsi="Times New Roman" w:cs="Times New Roman"/>
                <w:lang w:val="de-DE"/>
              </w:rPr>
              <w:t>mg</w:t>
            </w:r>
            <w:r w:rsidRPr="00402720">
              <w:rPr>
                <w:rFonts w:ascii="Times New Roman" w:hAnsi="Times New Roman" w:cs="Times New Roman"/>
                <w:lang w:val="de-DE"/>
              </w:rPr>
              <w:t>/m</w:t>
            </w:r>
            <w:r w:rsidRPr="00402720">
              <w:rPr>
                <w:rFonts w:ascii="Times New Roman" w:hAnsi="Times New Roman" w:cs="Times New Roman"/>
                <w:vertAlign w:val="superscript"/>
                <w:lang w:val="de-DE"/>
              </w:rPr>
              <w:t>2</w:t>
            </w:r>
            <w:r w:rsidRPr="00402720">
              <w:rPr>
                <w:rFonts w:ascii="Times New Roman" w:hAnsi="Times New Roman" w:cs="Times New Roman"/>
                <w:lang w:val="de-DE"/>
              </w:rPr>
              <w:t xml:space="preserve"> i.v. 2</w:t>
            </w:r>
            <w:r w:rsidR="000B0A74">
              <w:rPr>
                <w:rFonts w:ascii="Times New Roman" w:hAnsi="Times New Roman" w:cs="Times New Roman"/>
                <w:lang w:val="de-DE"/>
              </w:rPr>
              <w:t> </w:t>
            </w:r>
            <w:r w:rsidRPr="00402720">
              <w:rPr>
                <w:rFonts w:ascii="Times New Roman" w:hAnsi="Times New Roman" w:cs="Times New Roman"/>
                <w:lang w:val="de-DE"/>
              </w:rPr>
              <w:t>Std.</w:t>
            </w:r>
          </w:p>
          <w:p w14:paraId="12A7E99E" w14:textId="77777777" w:rsidR="00552E48" w:rsidRPr="00402720" w:rsidRDefault="00552E48" w:rsidP="00402720">
            <w:pPr>
              <w:spacing w:after="0" w:line="240" w:lineRule="auto"/>
              <w:rPr>
                <w:rFonts w:ascii="Times New Roman" w:hAnsi="Times New Roman" w:cs="Times New Roman"/>
                <w:lang w:val="de-DE"/>
              </w:rPr>
            </w:pPr>
          </w:p>
          <w:p w14:paraId="4EBA1349" w14:textId="5A41F4B0"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1</w:t>
            </w:r>
            <w:r w:rsidR="000C0AAA">
              <w:rPr>
                <w:rFonts w:ascii="Times New Roman" w:hAnsi="Times New Roman" w:cs="Times New Roman"/>
                <w:lang w:val="de-DE"/>
              </w:rPr>
              <w:t> </w:t>
            </w:r>
            <w:r w:rsidRPr="00402720">
              <w:rPr>
                <w:rFonts w:ascii="Times New Roman" w:hAnsi="Times New Roman" w:cs="Times New Roman"/>
                <w:lang w:val="de-DE"/>
              </w:rPr>
              <w:t>000</w:t>
            </w:r>
            <w:r w:rsidR="000B0A74">
              <w:rPr>
                <w:rFonts w:ascii="Times New Roman" w:hAnsi="Times New Roman" w:cs="Times New Roman"/>
                <w:lang w:val="de-DE"/>
              </w:rPr>
              <w:t> </w:t>
            </w:r>
            <w:r w:rsidR="00AB26B9" w:rsidRPr="00402720">
              <w:rPr>
                <w:rFonts w:ascii="Times New Roman" w:hAnsi="Times New Roman" w:cs="Times New Roman"/>
                <w:lang w:val="de-DE"/>
              </w:rPr>
              <w:t>mg</w:t>
            </w:r>
            <w:r w:rsidRPr="00402720">
              <w:rPr>
                <w:rFonts w:ascii="Times New Roman" w:hAnsi="Times New Roman" w:cs="Times New Roman"/>
                <w:lang w:val="de-DE"/>
              </w:rPr>
              <w:t>/m</w:t>
            </w:r>
            <w:r w:rsidRPr="00402720">
              <w:rPr>
                <w:rFonts w:ascii="Times New Roman" w:hAnsi="Times New Roman" w:cs="Times New Roman"/>
                <w:vertAlign w:val="superscript"/>
                <w:lang w:val="de-DE"/>
              </w:rPr>
              <w:t>2</w:t>
            </w:r>
            <w:r w:rsidRPr="00402720">
              <w:rPr>
                <w:rFonts w:ascii="Times New Roman" w:hAnsi="Times New Roman" w:cs="Times New Roman"/>
                <w:lang w:val="de-DE"/>
              </w:rPr>
              <w:t xml:space="preserve"> o</w:t>
            </w:r>
            <w:r w:rsidR="00552E48" w:rsidRPr="00402720">
              <w:rPr>
                <w:rFonts w:ascii="Times New Roman" w:hAnsi="Times New Roman" w:cs="Times New Roman"/>
                <w:lang w:val="de-DE"/>
              </w:rPr>
              <w:t>ral 2</w:t>
            </w:r>
            <w:r w:rsidR="000B0A74">
              <w:rPr>
                <w:rFonts w:ascii="Times New Roman" w:hAnsi="Times New Roman" w:cs="Times New Roman"/>
                <w:lang w:val="de-DE"/>
              </w:rPr>
              <w:t> </w:t>
            </w:r>
            <w:r w:rsidR="00552E48" w:rsidRPr="00402720">
              <w:rPr>
                <w:rFonts w:ascii="Times New Roman" w:hAnsi="Times New Roman" w:cs="Times New Roman"/>
                <w:lang w:val="de-DE"/>
              </w:rPr>
              <w:t>x tägl.</w:t>
            </w:r>
          </w:p>
        </w:tc>
        <w:tc>
          <w:tcPr>
            <w:tcW w:w="2717" w:type="dxa"/>
          </w:tcPr>
          <w:p w14:paraId="5382BCE6" w14:textId="3765F8BA"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Oxaliplatin am Tag</w:t>
            </w:r>
            <w:r w:rsidR="000B0A74">
              <w:rPr>
                <w:rFonts w:ascii="Times New Roman" w:hAnsi="Times New Roman" w:cs="Times New Roman"/>
                <w:lang w:val="de-DE"/>
              </w:rPr>
              <w:t> </w:t>
            </w:r>
            <w:r w:rsidRPr="00402720">
              <w:rPr>
                <w:rFonts w:ascii="Times New Roman" w:hAnsi="Times New Roman" w:cs="Times New Roman"/>
                <w:lang w:val="de-DE"/>
              </w:rPr>
              <w:t>1</w:t>
            </w:r>
          </w:p>
          <w:p w14:paraId="5995942D" w14:textId="77777777" w:rsidR="00552E48" w:rsidRPr="00402720" w:rsidRDefault="00552E48" w:rsidP="00402720">
            <w:pPr>
              <w:spacing w:after="0" w:line="240" w:lineRule="auto"/>
              <w:rPr>
                <w:rFonts w:ascii="Times New Roman" w:hAnsi="Times New Roman" w:cs="Times New Roman"/>
                <w:lang w:val="de-DE"/>
              </w:rPr>
            </w:pPr>
          </w:p>
          <w:p w14:paraId="5A626D45" w14:textId="588B15C4"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Capecitabin oral 2</w:t>
            </w:r>
            <w:r w:rsidR="000B0A74">
              <w:rPr>
                <w:rFonts w:ascii="Times New Roman" w:hAnsi="Times New Roman" w:cs="Times New Roman"/>
                <w:lang w:val="de-DE"/>
              </w:rPr>
              <w:t> </w:t>
            </w:r>
            <w:r w:rsidRPr="00402720">
              <w:rPr>
                <w:rFonts w:ascii="Times New Roman" w:hAnsi="Times New Roman" w:cs="Times New Roman"/>
                <w:lang w:val="de-DE"/>
              </w:rPr>
              <w:t xml:space="preserve">x tägl. </w:t>
            </w:r>
            <w:r w:rsidR="000B12BC" w:rsidRPr="00402720">
              <w:rPr>
                <w:rFonts w:ascii="Times New Roman" w:hAnsi="Times New Roman" w:cs="Times New Roman"/>
                <w:lang w:val="de-DE"/>
              </w:rPr>
              <w:t>ü</w:t>
            </w:r>
            <w:r w:rsidRPr="00402720">
              <w:rPr>
                <w:rFonts w:ascii="Times New Roman" w:hAnsi="Times New Roman" w:cs="Times New Roman"/>
                <w:lang w:val="de-DE"/>
              </w:rPr>
              <w:t>ber</w:t>
            </w:r>
            <w:r w:rsidR="00552E48" w:rsidRPr="00402720">
              <w:rPr>
                <w:rFonts w:ascii="Times New Roman" w:hAnsi="Times New Roman" w:cs="Times New Roman"/>
                <w:lang w:val="de-DE"/>
              </w:rPr>
              <w:t xml:space="preserve"> </w:t>
            </w:r>
            <w:r w:rsidRPr="00402720">
              <w:rPr>
                <w:rFonts w:ascii="Times New Roman" w:hAnsi="Times New Roman" w:cs="Times New Roman"/>
                <w:lang w:val="de-DE"/>
              </w:rPr>
              <w:t>2</w:t>
            </w:r>
            <w:r w:rsidR="000B0A74">
              <w:rPr>
                <w:rFonts w:ascii="Times New Roman" w:hAnsi="Times New Roman" w:cs="Times New Roman"/>
                <w:lang w:val="de-DE"/>
              </w:rPr>
              <w:t> </w:t>
            </w:r>
            <w:r w:rsidRPr="00402720">
              <w:rPr>
                <w:rFonts w:ascii="Times New Roman" w:hAnsi="Times New Roman" w:cs="Times New Roman"/>
                <w:lang w:val="de-DE"/>
              </w:rPr>
              <w:t>Wochen (gefolgt von 1</w:t>
            </w:r>
            <w:r w:rsidR="000B0A74">
              <w:rPr>
                <w:rFonts w:ascii="Times New Roman" w:hAnsi="Times New Roman" w:cs="Times New Roman"/>
                <w:lang w:val="de-DE"/>
              </w:rPr>
              <w:t> </w:t>
            </w:r>
            <w:r w:rsidRPr="00402720">
              <w:rPr>
                <w:rFonts w:ascii="Times New Roman" w:hAnsi="Times New Roman" w:cs="Times New Roman"/>
                <w:lang w:val="de-DE"/>
              </w:rPr>
              <w:t>Woche</w:t>
            </w:r>
            <w:r w:rsidR="00552E48" w:rsidRPr="00402720">
              <w:rPr>
                <w:rFonts w:ascii="Times New Roman" w:hAnsi="Times New Roman" w:cs="Times New Roman"/>
                <w:lang w:val="de-DE"/>
              </w:rPr>
              <w:t xml:space="preserve"> </w:t>
            </w:r>
            <w:r w:rsidRPr="00402720">
              <w:rPr>
                <w:rFonts w:ascii="Times New Roman" w:hAnsi="Times New Roman" w:cs="Times New Roman"/>
                <w:lang w:val="de-DE"/>
              </w:rPr>
              <w:t xml:space="preserve">Therapiepause) </w:t>
            </w:r>
          </w:p>
        </w:tc>
      </w:tr>
      <w:tr w:rsidR="00252768" w:rsidRPr="002A434E" w14:paraId="2DC02C27" w14:textId="77777777" w:rsidTr="00402720">
        <w:trPr>
          <w:trHeight w:val="20"/>
        </w:trPr>
        <w:tc>
          <w:tcPr>
            <w:tcW w:w="2098" w:type="dxa"/>
            <w:vMerge/>
          </w:tcPr>
          <w:p w14:paraId="59A4ADA2" w14:textId="77777777" w:rsidR="00AB12F9" w:rsidRPr="00402720" w:rsidRDefault="00AB12F9" w:rsidP="00402720">
            <w:pPr>
              <w:autoSpaceDE w:val="0"/>
              <w:autoSpaceDN w:val="0"/>
              <w:adjustRightInd w:val="0"/>
              <w:spacing w:after="0" w:line="240" w:lineRule="auto"/>
              <w:rPr>
                <w:rFonts w:ascii="Times New Roman" w:hAnsi="Times New Roman" w:cs="Times New Roman"/>
                <w:lang w:val="de-DE"/>
              </w:rPr>
            </w:pPr>
          </w:p>
        </w:tc>
        <w:tc>
          <w:tcPr>
            <w:tcW w:w="1871" w:type="dxa"/>
          </w:tcPr>
          <w:p w14:paraId="1DA5F6C5" w14:textId="77777777"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Placebo oder </w:t>
            </w:r>
            <w:r w:rsidR="00A15C0A" w:rsidRPr="00402720">
              <w:rPr>
                <w:rFonts w:ascii="Times New Roman" w:hAnsi="Times New Roman" w:cs="Times New Roman"/>
                <w:lang w:val="de-DE"/>
              </w:rPr>
              <w:t>Bevacizumab</w:t>
            </w:r>
            <w:r w:rsidRPr="00402720">
              <w:rPr>
                <w:rFonts w:ascii="Times New Roman" w:hAnsi="Times New Roman" w:cs="Times New Roman"/>
                <w:lang w:val="de-DE"/>
              </w:rPr>
              <w:t xml:space="preserve"> </w:t>
            </w:r>
          </w:p>
        </w:tc>
        <w:tc>
          <w:tcPr>
            <w:tcW w:w="2386" w:type="dxa"/>
          </w:tcPr>
          <w:p w14:paraId="02F8B205" w14:textId="1D41E1A7"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7,5</w:t>
            </w:r>
            <w:r w:rsidR="000B0A74">
              <w:rPr>
                <w:rFonts w:ascii="Times New Roman" w:hAnsi="Times New Roman" w:cs="Times New Roman"/>
                <w:lang w:val="de-DE"/>
              </w:rPr>
              <w:t> </w:t>
            </w:r>
            <w:r w:rsidR="00AB26B9" w:rsidRPr="00402720">
              <w:rPr>
                <w:rFonts w:ascii="Times New Roman" w:hAnsi="Times New Roman" w:cs="Times New Roman"/>
                <w:lang w:val="de-DE"/>
              </w:rPr>
              <w:t>mg</w:t>
            </w:r>
            <w:r w:rsidRPr="00402720">
              <w:rPr>
                <w:rFonts w:ascii="Times New Roman" w:hAnsi="Times New Roman" w:cs="Times New Roman"/>
                <w:lang w:val="de-DE"/>
              </w:rPr>
              <w:t>/kg i.v. 30 - 90</w:t>
            </w:r>
            <w:r w:rsidR="000B0A74">
              <w:rPr>
                <w:rFonts w:ascii="Times New Roman" w:hAnsi="Times New Roman" w:cs="Times New Roman"/>
                <w:lang w:val="de-DE"/>
              </w:rPr>
              <w:t> </w:t>
            </w:r>
            <w:r w:rsidRPr="00402720">
              <w:rPr>
                <w:rFonts w:ascii="Times New Roman" w:hAnsi="Times New Roman" w:cs="Times New Roman"/>
                <w:lang w:val="de-DE"/>
              </w:rPr>
              <w:t xml:space="preserve">Min. </w:t>
            </w:r>
          </w:p>
        </w:tc>
        <w:tc>
          <w:tcPr>
            <w:tcW w:w="2717" w:type="dxa"/>
          </w:tcPr>
          <w:p w14:paraId="19D2241D" w14:textId="0E1C8264" w:rsidR="00AB12F9" w:rsidRPr="00402720" w:rsidRDefault="00AB12F9" w:rsidP="00402720">
            <w:pPr>
              <w:spacing w:after="0" w:line="240" w:lineRule="auto"/>
              <w:rPr>
                <w:rFonts w:ascii="Times New Roman" w:hAnsi="Times New Roman" w:cs="Times New Roman"/>
                <w:lang w:val="de-DE"/>
              </w:rPr>
            </w:pPr>
            <w:r w:rsidRPr="00402720">
              <w:rPr>
                <w:rFonts w:ascii="Times New Roman" w:hAnsi="Times New Roman" w:cs="Times New Roman"/>
                <w:lang w:val="de-DE"/>
              </w:rPr>
              <w:t>Tag</w:t>
            </w:r>
            <w:r w:rsidR="000B0A74">
              <w:rPr>
                <w:rFonts w:ascii="Times New Roman" w:hAnsi="Times New Roman" w:cs="Times New Roman"/>
                <w:lang w:val="de-DE"/>
              </w:rPr>
              <w:t> </w:t>
            </w:r>
            <w:r w:rsidRPr="00402720">
              <w:rPr>
                <w:rFonts w:ascii="Times New Roman" w:hAnsi="Times New Roman" w:cs="Times New Roman"/>
                <w:lang w:val="de-DE"/>
              </w:rPr>
              <w:t>1, vor XELOX, alle 3</w:t>
            </w:r>
            <w:r w:rsidR="000B0A74">
              <w:rPr>
                <w:rFonts w:ascii="Times New Roman" w:hAnsi="Times New Roman" w:cs="Times New Roman"/>
                <w:lang w:val="de-DE"/>
              </w:rPr>
              <w:t> </w:t>
            </w:r>
            <w:r w:rsidRPr="00402720">
              <w:rPr>
                <w:rFonts w:ascii="Times New Roman" w:hAnsi="Times New Roman" w:cs="Times New Roman"/>
                <w:lang w:val="de-DE"/>
              </w:rPr>
              <w:t xml:space="preserve">Wochen </w:t>
            </w:r>
          </w:p>
        </w:tc>
      </w:tr>
      <w:tr w:rsidR="00AB12F9" w:rsidRPr="00B83674" w14:paraId="568E60D0" w14:textId="77777777" w:rsidTr="00402720">
        <w:trPr>
          <w:trHeight w:val="20"/>
        </w:trPr>
        <w:tc>
          <w:tcPr>
            <w:tcW w:w="9072" w:type="dxa"/>
            <w:gridSpan w:val="4"/>
          </w:tcPr>
          <w:p w14:paraId="406AA6D0" w14:textId="77777777" w:rsidR="00AB12F9" w:rsidRPr="00402720" w:rsidRDefault="00AB12F9" w:rsidP="00402720">
            <w:pPr>
              <w:autoSpaceDE w:val="0"/>
              <w:autoSpaceDN w:val="0"/>
              <w:adjustRightInd w:val="0"/>
              <w:spacing w:after="0" w:line="240" w:lineRule="auto"/>
              <w:rPr>
                <w:rFonts w:ascii="Times New Roman" w:hAnsi="Times New Roman" w:cs="Times New Roman"/>
                <w:color w:val="000000"/>
                <w:lang w:val="de-DE"/>
              </w:rPr>
            </w:pPr>
            <w:r w:rsidRPr="00402720">
              <w:rPr>
                <w:rFonts w:ascii="Times New Roman" w:hAnsi="Times New Roman" w:cs="Times New Roman"/>
                <w:color w:val="000000"/>
                <w:lang w:val="de-DE"/>
              </w:rPr>
              <w:t>5-Fluorouracil: i.v. Bolusinjektion unmittelbar nach Leucovorin</w:t>
            </w:r>
          </w:p>
        </w:tc>
      </w:tr>
    </w:tbl>
    <w:p w14:paraId="2F24F0F1" w14:textId="77777777" w:rsidR="00AB12F9" w:rsidRPr="009737B5" w:rsidRDefault="00AB12F9" w:rsidP="005F4D08">
      <w:pPr>
        <w:suppressAutoHyphens/>
        <w:spacing w:after="0" w:line="240" w:lineRule="auto"/>
        <w:rPr>
          <w:rFonts w:ascii="Times New Roman" w:hAnsi="Times New Roman" w:cs="Times New Roman"/>
          <w:lang w:val="de-DE"/>
        </w:rPr>
      </w:pPr>
    </w:p>
    <w:p w14:paraId="373C1E2D" w14:textId="77777777" w:rsidR="00AF337C" w:rsidRPr="009737B5" w:rsidRDefault="00AF337C" w:rsidP="004D0273">
      <w:pPr>
        <w:keepNext/>
        <w:keepLines/>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Der primäre Wirksamkeitsparameter dieser Studie war die Dauer des progressionsfreien Überlebens. Die Studie hatte zwei primäre Zielkriterien: den Nachweis der Nichtunterlegenheit von XELOX gegenüber FOLFOX-4 und den Nachweis der Überlegenheit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XELOX- oder FOLFOX-4-Chemotherapie gegenüber alleiniger Chemotherapie. Beide co-primären Zielkriterien wurden erfüllt:</w:t>
      </w:r>
    </w:p>
    <w:p w14:paraId="185E68E9" w14:textId="77777777" w:rsidR="00AF337C" w:rsidRPr="009737B5" w:rsidRDefault="00AF337C" w:rsidP="004D0273">
      <w:pPr>
        <w:keepNext/>
        <w:keepLines/>
        <w:suppressAutoHyphens/>
        <w:spacing w:after="0" w:line="240" w:lineRule="auto"/>
        <w:rPr>
          <w:rFonts w:ascii="Times New Roman" w:hAnsi="Times New Roman" w:cs="Times New Roman"/>
          <w:lang w:val="de-DE"/>
        </w:rPr>
      </w:pPr>
    </w:p>
    <w:p w14:paraId="78EB6DD6" w14:textId="77777777" w:rsidR="00AF337C" w:rsidRPr="009737B5" w:rsidRDefault="00AF337C" w:rsidP="004D0273">
      <w:pPr>
        <w:keepNext/>
        <w:keepLines/>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Die Nichtunterlegenheit der XELOX-Behandlungsarme gegenüber den FOLFOX-4-Armen wurde im Gesamtvergleich anhand des progressionsfreien Überlebens und des</w:t>
      </w:r>
      <w:r w:rsidR="00EE7578" w:rsidRPr="009737B5">
        <w:rPr>
          <w:rFonts w:ascii="Times New Roman" w:hAnsi="Times New Roman" w:cs="Times New Roman"/>
          <w:lang w:val="de-DE"/>
        </w:rPr>
        <w:t xml:space="preserve"> </w:t>
      </w:r>
      <w:r w:rsidRPr="009737B5">
        <w:rPr>
          <w:rFonts w:ascii="Times New Roman" w:hAnsi="Times New Roman" w:cs="Times New Roman"/>
          <w:lang w:val="de-DE"/>
        </w:rPr>
        <w:t>Gesamtüberlebens in der auswertbaren Per-Protokoll-Population nachgewiesen.</w:t>
      </w:r>
    </w:p>
    <w:p w14:paraId="7AE1979C" w14:textId="76C2E78E" w:rsidR="00AF337C" w:rsidRPr="009737B5" w:rsidRDefault="00AF337C" w:rsidP="00EE7578">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 xml:space="preserve">Die Überlegenheit der </w:t>
      </w:r>
      <w:r w:rsidR="00A15C0A" w:rsidRPr="009737B5">
        <w:rPr>
          <w:rFonts w:ascii="Times New Roman" w:hAnsi="Times New Roman" w:cs="Times New Roman"/>
          <w:lang w:val="de-DE"/>
        </w:rPr>
        <w:t>Bevacizumab-</w:t>
      </w:r>
      <w:r w:rsidRPr="009737B5">
        <w:rPr>
          <w:rFonts w:ascii="Times New Roman" w:hAnsi="Times New Roman" w:cs="Times New Roman"/>
          <w:lang w:val="de-DE"/>
        </w:rPr>
        <w:t>Behandlungsarme gegenüber den reinen Chemotherapie-Armen wurde im Gesamtvergleich anhand des progressionsfreien Überleb</w:t>
      </w:r>
      <w:r w:rsidR="00AD5D8D" w:rsidRPr="009737B5">
        <w:rPr>
          <w:rFonts w:ascii="Times New Roman" w:hAnsi="Times New Roman" w:cs="Times New Roman"/>
          <w:lang w:val="de-DE"/>
        </w:rPr>
        <w:t>ens in der Intent</w:t>
      </w:r>
      <w:r w:rsidR="00C706FB" w:rsidRPr="009737B5">
        <w:rPr>
          <w:rFonts w:ascii="Times New Roman" w:hAnsi="Times New Roman" w:cs="Times New Roman"/>
          <w:lang w:val="de-DE"/>
        </w:rPr>
        <w:t>-</w:t>
      </w:r>
      <w:r w:rsidRPr="009737B5">
        <w:rPr>
          <w:rFonts w:ascii="Times New Roman" w:hAnsi="Times New Roman" w:cs="Times New Roman"/>
          <w:lang w:val="de-DE"/>
        </w:rPr>
        <w:t>to</w:t>
      </w:r>
      <w:r w:rsidR="00C706FB" w:rsidRPr="009737B5">
        <w:rPr>
          <w:rFonts w:ascii="Times New Roman" w:hAnsi="Times New Roman" w:cs="Times New Roman"/>
          <w:lang w:val="de-DE"/>
        </w:rPr>
        <w:t>-</w:t>
      </w:r>
      <w:r w:rsidRPr="009737B5">
        <w:rPr>
          <w:rFonts w:ascii="Times New Roman" w:hAnsi="Times New Roman" w:cs="Times New Roman"/>
          <w:lang w:val="de-DE"/>
        </w:rPr>
        <w:t>Treat(ITT)-Population nachgewiesen (</w:t>
      </w:r>
      <w:r w:rsidR="00947E0E">
        <w:rPr>
          <w:rFonts w:ascii="Times New Roman" w:hAnsi="Times New Roman" w:cs="Times New Roman"/>
          <w:lang w:val="de-DE"/>
        </w:rPr>
        <w:t xml:space="preserve">siehe </w:t>
      </w:r>
      <w:r w:rsidRPr="009737B5">
        <w:rPr>
          <w:rFonts w:ascii="Times New Roman" w:hAnsi="Times New Roman" w:cs="Times New Roman"/>
          <w:lang w:val="de-DE"/>
        </w:rPr>
        <w:t>Tabelle</w:t>
      </w:r>
      <w:r w:rsidR="00A36C33">
        <w:rPr>
          <w:rFonts w:ascii="Times New Roman" w:hAnsi="Times New Roman" w:cs="Times New Roman"/>
          <w:lang w:val="de-DE"/>
        </w:rPr>
        <w:t> </w:t>
      </w:r>
      <w:r w:rsidRPr="009737B5">
        <w:rPr>
          <w:rFonts w:ascii="Times New Roman" w:hAnsi="Times New Roman" w:cs="Times New Roman"/>
          <w:lang w:val="de-DE"/>
        </w:rPr>
        <w:t>7).</w:t>
      </w:r>
    </w:p>
    <w:p w14:paraId="3B823907" w14:textId="77777777" w:rsidR="00AF337C" w:rsidRPr="009737B5" w:rsidRDefault="00AF337C" w:rsidP="005F4D08">
      <w:pPr>
        <w:suppressAutoHyphens/>
        <w:spacing w:after="0" w:line="240" w:lineRule="auto"/>
        <w:rPr>
          <w:rFonts w:ascii="Times New Roman" w:hAnsi="Times New Roman" w:cs="Times New Roman"/>
          <w:lang w:val="de-DE"/>
        </w:rPr>
      </w:pPr>
    </w:p>
    <w:p w14:paraId="0DD2970A" w14:textId="2E3A1964"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Sekundärauswertungen des progressionsfreien Überlebens, die auf Untersuchungen des Ansprechens unter der Behandlung basierten, bestätigten den signifikant höheren klinischen Nutzen der </w:t>
      </w:r>
      <w:r w:rsidR="00A15C0A" w:rsidRPr="009737B5">
        <w:rPr>
          <w:rFonts w:ascii="Times New Roman" w:hAnsi="Times New Roman" w:cs="Times New Roman"/>
          <w:lang w:val="de-DE"/>
        </w:rPr>
        <w:t>Bevacizumab-</w:t>
      </w:r>
      <w:r w:rsidRPr="009737B5">
        <w:rPr>
          <w:rFonts w:ascii="Times New Roman" w:hAnsi="Times New Roman" w:cs="Times New Roman"/>
          <w:lang w:val="de-DE"/>
        </w:rPr>
        <w:t>Behandlung (Auswertungen in Tabelle</w:t>
      </w:r>
      <w:r w:rsidR="00A36C33">
        <w:rPr>
          <w:rFonts w:ascii="Times New Roman" w:hAnsi="Times New Roman" w:cs="Times New Roman"/>
          <w:lang w:val="de-DE"/>
        </w:rPr>
        <w:t> </w:t>
      </w:r>
      <w:r w:rsidRPr="009737B5">
        <w:rPr>
          <w:rFonts w:ascii="Times New Roman" w:hAnsi="Times New Roman" w:cs="Times New Roman"/>
          <w:lang w:val="de-DE"/>
        </w:rPr>
        <w:t>7), in Übereinstimmung mit dem statistisch signifikanten Vorteil, der in der gepoolten Auswertung beobachtet wurde.</w:t>
      </w:r>
    </w:p>
    <w:p w14:paraId="62F917C6" w14:textId="77777777" w:rsidR="00AF337C" w:rsidRPr="009737B5" w:rsidRDefault="00AF337C" w:rsidP="005F4D08">
      <w:pPr>
        <w:suppressAutoHyphens/>
        <w:spacing w:after="0" w:line="240" w:lineRule="auto"/>
        <w:rPr>
          <w:rFonts w:ascii="Times New Roman" w:hAnsi="Times New Roman" w:cs="Times New Roman"/>
          <w:lang w:val="de-DE"/>
        </w:rPr>
      </w:pPr>
    </w:p>
    <w:p w14:paraId="0911E92A" w14:textId="687D568A" w:rsidR="00AF337C" w:rsidRPr="009737B5" w:rsidRDefault="00AF337C" w:rsidP="00246A77">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A36C33">
        <w:rPr>
          <w:rFonts w:ascii="Times New Roman" w:hAnsi="Times New Roman" w:cs="Times New Roman"/>
          <w:b/>
          <w:lang w:val="de-DE"/>
        </w:rPr>
        <w:t> </w:t>
      </w:r>
      <w:r w:rsidRPr="009737B5">
        <w:rPr>
          <w:rFonts w:ascii="Times New Roman" w:hAnsi="Times New Roman" w:cs="Times New Roman"/>
          <w:b/>
          <w:lang w:val="de-DE"/>
        </w:rPr>
        <w:t>7</w:t>
      </w:r>
      <w:r w:rsidR="00E251E5" w:rsidRPr="009737B5">
        <w:rPr>
          <w:rFonts w:ascii="Times New Roman" w:hAnsi="Times New Roman" w:cs="Times New Roman"/>
          <w:b/>
          <w:lang w:val="de-DE"/>
        </w:rPr>
        <w:t>.</w:t>
      </w:r>
      <w:r w:rsidRPr="009737B5">
        <w:rPr>
          <w:rFonts w:ascii="Times New Roman" w:hAnsi="Times New Roman" w:cs="Times New Roman"/>
          <w:b/>
          <w:lang w:val="de-DE"/>
        </w:rPr>
        <w:t xml:space="preserve"> Wesentliche Wirksamkeitsergebnisse der Überlegenheitsprüfung (ITT-Population, Studie</w:t>
      </w:r>
      <w:r w:rsidR="00A36C33">
        <w:rPr>
          <w:rFonts w:ascii="Times New Roman" w:hAnsi="Times New Roman" w:cs="Times New Roman"/>
          <w:b/>
          <w:lang w:val="de-DE"/>
        </w:rPr>
        <w:t> </w:t>
      </w:r>
      <w:r w:rsidRPr="009737B5">
        <w:rPr>
          <w:rFonts w:ascii="Times New Roman" w:hAnsi="Times New Roman" w:cs="Times New Roman"/>
          <w:b/>
          <w:lang w:val="de-DE"/>
        </w:rPr>
        <w:t>NO16966)</w:t>
      </w:r>
    </w:p>
    <w:p w14:paraId="0F2AA8C2" w14:textId="77777777" w:rsidR="00EE7578" w:rsidRPr="009737B5" w:rsidRDefault="00EE7578" w:rsidP="00246A77">
      <w:pPr>
        <w:keepNext/>
        <w:suppressAutoHyphens/>
        <w:spacing w:after="0" w:line="240" w:lineRule="auto"/>
        <w:rPr>
          <w:rFonts w:ascii="Times New Roman" w:hAnsi="Times New Roman" w:cs="Times New Roman"/>
          <w:lang w:val="de-D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5"/>
        <w:gridCol w:w="2126"/>
        <w:gridCol w:w="1417"/>
      </w:tblGrid>
      <w:tr w:rsidR="00303CDE" w:rsidRPr="00402720" w14:paraId="0A5466B5" w14:textId="77777777" w:rsidTr="00534633">
        <w:trPr>
          <w:trHeight w:val="23"/>
          <w:tblHeader/>
        </w:trPr>
        <w:tc>
          <w:tcPr>
            <w:tcW w:w="3544" w:type="dxa"/>
            <w:tcBorders>
              <w:top w:val="single" w:sz="4" w:space="0" w:color="000000"/>
              <w:left w:val="single" w:sz="4" w:space="0" w:color="000000"/>
              <w:bottom w:val="single" w:sz="4" w:space="0" w:color="000000"/>
              <w:right w:val="single" w:sz="4" w:space="0" w:color="000000"/>
            </w:tcBorders>
            <w:noWrap/>
            <w:hideMark/>
          </w:tcPr>
          <w:p w14:paraId="7298CC4D" w14:textId="77777777" w:rsidR="00303CDE" w:rsidRPr="00402720" w:rsidRDefault="00303CDE" w:rsidP="002C3DFA">
            <w:pPr>
              <w:keepNext/>
              <w:spacing w:after="0" w:line="240" w:lineRule="auto"/>
              <w:rPr>
                <w:rFonts w:ascii="Times New Roman" w:hAnsi="Times New Roman" w:cs="Times New Roman"/>
                <w:lang w:val="de-DE"/>
              </w:rPr>
            </w:pPr>
            <w:r w:rsidRPr="00402720">
              <w:rPr>
                <w:rFonts w:ascii="Times New Roman" w:hAnsi="Times New Roman" w:cs="Times New Roman"/>
                <w:b/>
                <w:lang w:val="de-DE"/>
              </w:rPr>
              <w:t>Endpunkt (Monate)</w:t>
            </w:r>
          </w:p>
        </w:tc>
        <w:tc>
          <w:tcPr>
            <w:tcW w:w="1985" w:type="dxa"/>
            <w:tcBorders>
              <w:top w:val="single" w:sz="4" w:space="0" w:color="000000"/>
              <w:left w:val="single" w:sz="4" w:space="0" w:color="000000"/>
              <w:bottom w:val="single" w:sz="4" w:space="0" w:color="000000"/>
              <w:right w:val="single" w:sz="4" w:space="0" w:color="000000"/>
            </w:tcBorders>
            <w:noWrap/>
            <w:hideMark/>
          </w:tcPr>
          <w:p w14:paraId="6AE29E28" w14:textId="77777777" w:rsidR="00ED6110" w:rsidRPr="00402720" w:rsidRDefault="00246A77" w:rsidP="00246A77">
            <w:pPr>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 xml:space="preserve">FOLFOX-4 </w:t>
            </w:r>
          </w:p>
          <w:p w14:paraId="12DA4BDC" w14:textId="77777777" w:rsidR="00ED6110" w:rsidRPr="00402720" w:rsidRDefault="00303CDE" w:rsidP="00246A77">
            <w:pPr>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oder XELOX</w:t>
            </w:r>
            <w:r w:rsidR="00ED6110" w:rsidRPr="00402720">
              <w:rPr>
                <w:rFonts w:ascii="Times New Roman" w:hAnsi="Times New Roman" w:cs="Times New Roman"/>
                <w:b/>
                <w:lang w:val="de-DE"/>
              </w:rPr>
              <w:t xml:space="preserve"> </w:t>
            </w:r>
          </w:p>
          <w:p w14:paraId="5B9CFCFA" w14:textId="77777777" w:rsidR="00303CDE" w:rsidRPr="00402720" w:rsidRDefault="00303CDE" w:rsidP="00246A77">
            <w:pPr>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 Placebo</w:t>
            </w:r>
            <w:r w:rsidR="00ED6110" w:rsidRPr="00402720">
              <w:rPr>
                <w:rFonts w:ascii="Times New Roman" w:hAnsi="Times New Roman" w:cs="Times New Roman"/>
                <w:b/>
                <w:lang w:val="de-DE"/>
              </w:rPr>
              <w:t xml:space="preserve"> </w:t>
            </w:r>
          </w:p>
          <w:p w14:paraId="30A1FCA8" w14:textId="77777777" w:rsidR="00303CDE" w:rsidRPr="00402720" w:rsidRDefault="00303CDE" w:rsidP="00246A77">
            <w:pPr>
              <w:spacing w:after="0" w:line="240" w:lineRule="auto"/>
              <w:jc w:val="center"/>
              <w:rPr>
                <w:rFonts w:ascii="Times New Roman" w:hAnsi="Times New Roman" w:cs="Times New Roman"/>
                <w:lang w:val="de-DE"/>
              </w:rPr>
            </w:pPr>
            <w:r w:rsidRPr="00402720">
              <w:rPr>
                <w:rFonts w:ascii="Times New Roman" w:hAnsi="Times New Roman" w:cs="Times New Roman"/>
                <w:b/>
                <w:lang w:val="de-DE"/>
              </w:rPr>
              <w:t>(n = 701)</w:t>
            </w:r>
          </w:p>
        </w:tc>
        <w:tc>
          <w:tcPr>
            <w:tcW w:w="2126" w:type="dxa"/>
            <w:tcBorders>
              <w:top w:val="single" w:sz="4" w:space="0" w:color="000000"/>
              <w:left w:val="single" w:sz="4" w:space="0" w:color="000000"/>
              <w:bottom w:val="single" w:sz="4" w:space="0" w:color="000000"/>
              <w:right w:val="single" w:sz="4" w:space="0" w:color="000000"/>
            </w:tcBorders>
            <w:noWrap/>
            <w:hideMark/>
          </w:tcPr>
          <w:p w14:paraId="516679D8" w14:textId="77777777" w:rsidR="00ED6110" w:rsidRPr="00402720" w:rsidRDefault="00ED6110" w:rsidP="00246A77">
            <w:pPr>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FOLFOX-4</w:t>
            </w:r>
          </w:p>
          <w:p w14:paraId="635D31E0" w14:textId="77777777" w:rsidR="00ED6110" w:rsidRPr="00402720" w:rsidRDefault="00303CDE" w:rsidP="00246A77">
            <w:pPr>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oder XELOX</w:t>
            </w:r>
            <w:r w:rsidR="00ED6110" w:rsidRPr="00402720">
              <w:rPr>
                <w:rFonts w:ascii="Times New Roman" w:hAnsi="Times New Roman" w:cs="Times New Roman"/>
                <w:b/>
                <w:lang w:val="de-DE"/>
              </w:rPr>
              <w:t xml:space="preserve"> + </w:t>
            </w:r>
          </w:p>
          <w:p w14:paraId="094F597C" w14:textId="77777777" w:rsidR="00246A77" w:rsidRPr="00402720" w:rsidRDefault="00246A77" w:rsidP="00246A77">
            <w:pPr>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Bevacizumab</w:t>
            </w:r>
          </w:p>
          <w:p w14:paraId="4428AE3B" w14:textId="77777777" w:rsidR="00303CDE" w:rsidRPr="00402720" w:rsidRDefault="00303CDE" w:rsidP="00246A77">
            <w:pPr>
              <w:spacing w:after="0" w:line="240" w:lineRule="auto"/>
              <w:jc w:val="center"/>
              <w:rPr>
                <w:rFonts w:ascii="Times New Roman" w:hAnsi="Times New Roman" w:cs="Times New Roman"/>
                <w:lang w:val="de-DE"/>
              </w:rPr>
            </w:pPr>
            <w:r w:rsidRPr="00402720">
              <w:rPr>
                <w:rFonts w:ascii="Times New Roman" w:hAnsi="Times New Roman" w:cs="Times New Roman"/>
                <w:b/>
                <w:lang w:val="de-DE"/>
              </w:rPr>
              <w:t>(n = 699)</w:t>
            </w:r>
          </w:p>
        </w:tc>
        <w:tc>
          <w:tcPr>
            <w:tcW w:w="1417" w:type="dxa"/>
            <w:tcBorders>
              <w:top w:val="single" w:sz="4" w:space="0" w:color="000000"/>
              <w:left w:val="single" w:sz="4" w:space="0" w:color="000000"/>
              <w:bottom w:val="single" w:sz="4" w:space="0" w:color="000000"/>
              <w:right w:val="single" w:sz="4" w:space="0" w:color="000000"/>
            </w:tcBorders>
            <w:noWrap/>
            <w:hideMark/>
          </w:tcPr>
          <w:p w14:paraId="67B0F282" w14:textId="77777777" w:rsidR="00303CDE" w:rsidRPr="00402720" w:rsidRDefault="00303CDE" w:rsidP="00246A77">
            <w:pPr>
              <w:spacing w:after="0" w:line="240" w:lineRule="auto"/>
              <w:jc w:val="center"/>
              <w:rPr>
                <w:rFonts w:ascii="Times New Roman" w:hAnsi="Times New Roman" w:cs="Times New Roman"/>
                <w:lang w:val="de-DE"/>
              </w:rPr>
            </w:pPr>
            <w:r w:rsidRPr="00402720">
              <w:rPr>
                <w:rFonts w:ascii="Times New Roman" w:hAnsi="Times New Roman" w:cs="Times New Roman"/>
                <w:b/>
                <w:lang w:val="de-DE"/>
              </w:rPr>
              <w:t>p-Wert</w:t>
            </w:r>
          </w:p>
        </w:tc>
      </w:tr>
      <w:tr w:rsidR="00EE7578" w:rsidRPr="00402720" w14:paraId="66B96E61" w14:textId="77777777" w:rsidTr="006874B5">
        <w:trPr>
          <w:trHeight w:val="23"/>
        </w:trPr>
        <w:tc>
          <w:tcPr>
            <w:tcW w:w="9072" w:type="dxa"/>
            <w:gridSpan w:val="4"/>
            <w:noWrap/>
            <w:hideMark/>
          </w:tcPr>
          <w:p w14:paraId="62F4DC6F" w14:textId="77777777" w:rsidR="00EE7578" w:rsidRPr="009737B5" w:rsidRDefault="00303CDE" w:rsidP="00246A77">
            <w:pPr>
              <w:autoSpaceDE w:val="0"/>
              <w:autoSpaceDN w:val="0"/>
              <w:adjustRightInd w:val="0"/>
              <w:spacing w:after="0" w:line="240" w:lineRule="auto"/>
              <w:rPr>
                <w:rFonts w:ascii="Times New Roman" w:hAnsi="Times New Roman" w:cs="Times New Roman"/>
                <w:lang w:val="de-DE"/>
              </w:rPr>
            </w:pPr>
            <w:r w:rsidRPr="009737B5">
              <w:rPr>
                <w:rFonts w:ascii="Times New Roman" w:hAnsi="Times New Roman" w:cs="Times New Roman"/>
                <w:lang w:val="de-DE"/>
              </w:rPr>
              <w:t>Primärer Endpunkt</w:t>
            </w:r>
          </w:p>
        </w:tc>
      </w:tr>
      <w:tr w:rsidR="00303CDE" w:rsidRPr="00402720" w14:paraId="0F33ED20" w14:textId="77777777" w:rsidTr="00534633">
        <w:trPr>
          <w:trHeight w:val="23"/>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72CC7A31" w14:textId="77777777" w:rsidR="00303CDE" w:rsidRPr="00402720" w:rsidRDefault="00B66D6F" w:rsidP="00B55FF5">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PFS**</w:t>
            </w:r>
          </w:p>
        </w:tc>
        <w:tc>
          <w:tcPr>
            <w:tcW w:w="1985" w:type="dxa"/>
            <w:tcBorders>
              <w:top w:val="single" w:sz="4" w:space="0" w:color="000000"/>
              <w:left w:val="single" w:sz="4" w:space="0" w:color="000000"/>
              <w:bottom w:val="single" w:sz="4" w:space="0" w:color="000000"/>
              <w:right w:val="single" w:sz="4" w:space="0" w:color="000000"/>
            </w:tcBorders>
            <w:noWrap/>
            <w:vAlign w:val="center"/>
            <w:hideMark/>
          </w:tcPr>
          <w:p w14:paraId="2978ACC7" w14:textId="77777777" w:rsidR="00303CDE" w:rsidRPr="00402720" w:rsidRDefault="00303CDE" w:rsidP="00246A77">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8,0</w:t>
            </w:r>
          </w:p>
        </w:tc>
        <w:tc>
          <w:tcPr>
            <w:tcW w:w="2126" w:type="dxa"/>
            <w:tcBorders>
              <w:top w:val="single" w:sz="4" w:space="0" w:color="000000"/>
              <w:left w:val="single" w:sz="4" w:space="0" w:color="000000"/>
              <w:bottom w:val="single" w:sz="4" w:space="0" w:color="000000"/>
              <w:right w:val="single" w:sz="4" w:space="0" w:color="000000"/>
            </w:tcBorders>
            <w:noWrap/>
            <w:vAlign w:val="center"/>
            <w:hideMark/>
          </w:tcPr>
          <w:p w14:paraId="15891541" w14:textId="77777777" w:rsidR="00303CDE" w:rsidRPr="00402720" w:rsidRDefault="00303CDE" w:rsidP="00246A77">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9,4</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4701129D" w14:textId="77777777" w:rsidR="00303CDE" w:rsidRPr="00402720" w:rsidRDefault="00303CDE" w:rsidP="00246A77">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0,0023</w:t>
            </w:r>
          </w:p>
        </w:tc>
      </w:tr>
      <w:tr w:rsidR="00303CDE" w:rsidRPr="00402720" w14:paraId="00106CA6" w14:textId="77777777" w:rsidTr="006874B5">
        <w:trPr>
          <w:trHeight w:val="23"/>
        </w:trPr>
        <w:tc>
          <w:tcPr>
            <w:tcW w:w="3544" w:type="dxa"/>
            <w:noWrap/>
            <w:hideMark/>
          </w:tcPr>
          <w:p w14:paraId="561CA12B" w14:textId="2F89D986" w:rsidR="00303CDE" w:rsidRPr="00402720" w:rsidRDefault="00303CDE" w:rsidP="00B55FF5">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(97,5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KI)</w:t>
            </w:r>
            <w:r w:rsidRPr="00402720">
              <w:rPr>
                <w:rFonts w:ascii="Times New Roman" w:hAnsi="Times New Roman" w:cs="Times New Roman"/>
                <w:vertAlign w:val="superscript"/>
                <w:lang w:val="de-DE"/>
              </w:rPr>
              <w:t>a</w:t>
            </w:r>
          </w:p>
        </w:tc>
        <w:tc>
          <w:tcPr>
            <w:tcW w:w="4111" w:type="dxa"/>
            <w:gridSpan w:val="2"/>
            <w:noWrap/>
            <w:hideMark/>
          </w:tcPr>
          <w:p w14:paraId="235FBF79" w14:textId="77777777" w:rsidR="00303CDE" w:rsidRPr="00402720" w:rsidRDefault="00303CDE" w:rsidP="00246A77">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0,83 (0,72 - 0,95)</w:t>
            </w:r>
          </w:p>
        </w:tc>
        <w:tc>
          <w:tcPr>
            <w:tcW w:w="1417" w:type="dxa"/>
            <w:noWrap/>
            <w:hideMark/>
          </w:tcPr>
          <w:p w14:paraId="2B41380F" w14:textId="77777777" w:rsidR="00303CDE" w:rsidRPr="00402720" w:rsidRDefault="00303CDE" w:rsidP="00246A77">
            <w:pPr>
              <w:spacing w:after="0" w:line="240" w:lineRule="auto"/>
              <w:jc w:val="center"/>
              <w:rPr>
                <w:rFonts w:ascii="Times New Roman" w:hAnsi="Times New Roman" w:cs="Times New Roman"/>
                <w:lang w:val="de-DE"/>
              </w:rPr>
            </w:pPr>
          </w:p>
        </w:tc>
      </w:tr>
      <w:tr w:rsidR="00EE7578" w:rsidRPr="00402720" w14:paraId="49897CC1" w14:textId="77777777" w:rsidTr="006874B5">
        <w:trPr>
          <w:trHeight w:val="23"/>
        </w:trPr>
        <w:tc>
          <w:tcPr>
            <w:tcW w:w="9072" w:type="dxa"/>
            <w:gridSpan w:val="4"/>
            <w:noWrap/>
            <w:hideMark/>
          </w:tcPr>
          <w:p w14:paraId="1124BD93" w14:textId="77777777" w:rsidR="00EE7578" w:rsidRPr="009737B5" w:rsidRDefault="00303CDE" w:rsidP="00246A77">
            <w:pPr>
              <w:autoSpaceDE w:val="0"/>
              <w:autoSpaceDN w:val="0"/>
              <w:adjustRightInd w:val="0"/>
              <w:spacing w:after="0" w:line="240" w:lineRule="auto"/>
              <w:rPr>
                <w:rFonts w:ascii="Times New Roman" w:hAnsi="Times New Roman" w:cs="Times New Roman"/>
                <w:lang w:val="de-DE"/>
              </w:rPr>
            </w:pPr>
            <w:r w:rsidRPr="009737B5">
              <w:rPr>
                <w:rFonts w:ascii="Times New Roman" w:hAnsi="Times New Roman" w:cs="Times New Roman"/>
                <w:lang w:val="de-DE"/>
              </w:rPr>
              <w:t>Sekundäre Endpunkte</w:t>
            </w:r>
          </w:p>
        </w:tc>
      </w:tr>
      <w:tr w:rsidR="00303CDE" w:rsidRPr="00402720" w14:paraId="16A48C11" w14:textId="77777777" w:rsidTr="00534633">
        <w:trPr>
          <w:trHeight w:val="23"/>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3A83E321" w14:textId="77777777" w:rsidR="00303CDE" w:rsidRPr="00402720" w:rsidRDefault="00303CDE" w:rsidP="00B55FF5">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PFS</w:t>
            </w:r>
            <w:r w:rsidR="000C36D5" w:rsidRPr="00402720">
              <w:rPr>
                <w:rFonts w:ascii="Times New Roman" w:hAnsi="Times New Roman" w:cs="Times New Roman"/>
                <w:lang w:val="de-DE"/>
              </w:rPr>
              <w:t xml:space="preserve"> </w:t>
            </w:r>
            <w:r w:rsidRPr="00402720">
              <w:rPr>
                <w:rFonts w:ascii="Times New Roman" w:hAnsi="Times New Roman" w:cs="Times New Roman"/>
                <w:lang w:val="de-DE"/>
              </w:rPr>
              <w:t>(während der Behandlung</w:t>
            </w:r>
            <w:r w:rsidR="00B66D6F" w:rsidRPr="00402720">
              <w:rPr>
                <w:rFonts w:ascii="Times New Roman" w:hAnsi="Times New Roman" w:cs="Times New Roman"/>
                <w:lang w:val="de-DE"/>
              </w:rPr>
              <w:t>)**</w:t>
            </w:r>
          </w:p>
        </w:tc>
        <w:tc>
          <w:tcPr>
            <w:tcW w:w="1985" w:type="dxa"/>
            <w:tcBorders>
              <w:top w:val="single" w:sz="4" w:space="0" w:color="000000"/>
              <w:left w:val="single" w:sz="4" w:space="0" w:color="000000"/>
              <w:bottom w:val="single" w:sz="4" w:space="0" w:color="000000"/>
              <w:right w:val="single" w:sz="4" w:space="0" w:color="000000"/>
            </w:tcBorders>
            <w:noWrap/>
            <w:hideMark/>
          </w:tcPr>
          <w:p w14:paraId="70AD49A5" w14:textId="77777777" w:rsidR="00303CDE" w:rsidRPr="00402720" w:rsidRDefault="00303CDE" w:rsidP="00246A77">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7,9</w:t>
            </w:r>
          </w:p>
        </w:tc>
        <w:tc>
          <w:tcPr>
            <w:tcW w:w="2126" w:type="dxa"/>
            <w:tcBorders>
              <w:top w:val="single" w:sz="4" w:space="0" w:color="000000"/>
              <w:left w:val="single" w:sz="4" w:space="0" w:color="000000"/>
              <w:bottom w:val="single" w:sz="4" w:space="0" w:color="000000"/>
              <w:right w:val="single" w:sz="4" w:space="0" w:color="000000"/>
            </w:tcBorders>
            <w:noWrap/>
            <w:hideMark/>
          </w:tcPr>
          <w:p w14:paraId="42EF24EB" w14:textId="77777777" w:rsidR="00303CDE" w:rsidRPr="00402720" w:rsidRDefault="00303CDE" w:rsidP="00246A77">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10,4</w:t>
            </w:r>
          </w:p>
        </w:tc>
        <w:tc>
          <w:tcPr>
            <w:tcW w:w="1417" w:type="dxa"/>
            <w:tcBorders>
              <w:top w:val="single" w:sz="4" w:space="0" w:color="000000"/>
              <w:left w:val="single" w:sz="4" w:space="0" w:color="000000"/>
              <w:bottom w:val="single" w:sz="4" w:space="0" w:color="000000"/>
              <w:right w:val="single" w:sz="4" w:space="0" w:color="000000"/>
            </w:tcBorders>
            <w:noWrap/>
            <w:hideMark/>
          </w:tcPr>
          <w:p w14:paraId="6B682D73" w14:textId="77777777" w:rsidR="00303CDE" w:rsidRPr="00402720" w:rsidRDefault="00E32D5C" w:rsidP="00246A77">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&lt;</w:t>
            </w:r>
            <w:r w:rsidR="00BF042B" w:rsidRPr="00402720">
              <w:rPr>
                <w:rFonts w:ascii="Times New Roman" w:hAnsi="Times New Roman" w:cs="Times New Roman"/>
                <w:lang w:val="de-DE"/>
              </w:rPr>
              <w:t xml:space="preserve"> </w:t>
            </w:r>
            <w:r w:rsidR="00303CDE" w:rsidRPr="00402720">
              <w:rPr>
                <w:rFonts w:ascii="Times New Roman" w:hAnsi="Times New Roman" w:cs="Times New Roman"/>
                <w:lang w:val="de-DE"/>
              </w:rPr>
              <w:t>0,0001</w:t>
            </w:r>
          </w:p>
        </w:tc>
      </w:tr>
      <w:tr w:rsidR="00303CDE" w:rsidRPr="00402720" w14:paraId="64BECFB4" w14:textId="77777777" w:rsidTr="006874B5">
        <w:trPr>
          <w:trHeight w:val="23"/>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419E223F" w14:textId="573DA99C" w:rsidR="00303CDE" w:rsidRPr="00402720" w:rsidRDefault="00303CDE" w:rsidP="00B55FF5">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(97,5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00B66D6F" w:rsidRPr="00402720">
              <w:rPr>
                <w:rFonts w:ascii="Times New Roman" w:hAnsi="Times New Roman" w:cs="Times New Roman"/>
                <w:lang w:val="de-DE"/>
              </w:rPr>
              <w:t>KI)</w:t>
            </w:r>
          </w:p>
        </w:tc>
        <w:tc>
          <w:tcPr>
            <w:tcW w:w="4111" w:type="dxa"/>
            <w:gridSpan w:val="2"/>
            <w:tcBorders>
              <w:top w:val="single" w:sz="4" w:space="0" w:color="000000"/>
              <w:left w:val="single" w:sz="4" w:space="0" w:color="000000"/>
              <w:bottom w:val="single" w:sz="4" w:space="0" w:color="000000"/>
              <w:right w:val="single" w:sz="4" w:space="0" w:color="000000"/>
            </w:tcBorders>
            <w:noWrap/>
            <w:vAlign w:val="center"/>
            <w:hideMark/>
          </w:tcPr>
          <w:p w14:paraId="6A949BF5" w14:textId="77777777" w:rsidR="00303CDE" w:rsidRPr="00402720" w:rsidRDefault="00303CDE" w:rsidP="00246A77">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0,63 (0,52 - 0,75)</w:t>
            </w:r>
          </w:p>
        </w:tc>
        <w:tc>
          <w:tcPr>
            <w:tcW w:w="1417" w:type="dxa"/>
            <w:tcBorders>
              <w:top w:val="single" w:sz="4" w:space="0" w:color="000000"/>
              <w:left w:val="single" w:sz="4" w:space="0" w:color="000000"/>
              <w:bottom w:val="single" w:sz="4" w:space="0" w:color="000000"/>
              <w:right w:val="single" w:sz="4" w:space="0" w:color="000000"/>
            </w:tcBorders>
            <w:vAlign w:val="center"/>
          </w:tcPr>
          <w:p w14:paraId="622FF45F" w14:textId="77777777" w:rsidR="00303CDE" w:rsidRPr="00402720" w:rsidRDefault="00303CDE" w:rsidP="00246A77">
            <w:pPr>
              <w:spacing w:after="0" w:line="240" w:lineRule="auto"/>
              <w:jc w:val="center"/>
              <w:rPr>
                <w:rFonts w:ascii="Times New Roman" w:hAnsi="Times New Roman" w:cs="Times New Roman"/>
                <w:lang w:val="de-DE"/>
              </w:rPr>
            </w:pPr>
          </w:p>
        </w:tc>
      </w:tr>
      <w:tr w:rsidR="00303CDE" w:rsidRPr="00402720" w14:paraId="4FCD0EA9" w14:textId="77777777" w:rsidTr="00534633">
        <w:trPr>
          <w:trHeight w:val="23"/>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07331B83" w14:textId="77777777" w:rsidR="00303CDE" w:rsidRPr="00402720" w:rsidRDefault="00303CDE" w:rsidP="00D87918">
            <w:pPr>
              <w:keepNext/>
              <w:keepLines/>
              <w:spacing w:after="0" w:line="240" w:lineRule="auto"/>
              <w:rPr>
                <w:rFonts w:ascii="Times New Roman" w:hAnsi="Times New Roman" w:cs="Times New Roman"/>
                <w:lang w:val="de-DE"/>
              </w:rPr>
            </w:pPr>
            <w:r w:rsidRPr="00402720">
              <w:rPr>
                <w:rFonts w:ascii="Times New Roman" w:hAnsi="Times New Roman" w:cs="Times New Roman"/>
                <w:lang w:val="de-DE"/>
              </w:rPr>
              <w:t>Gesamtansprechrate</w:t>
            </w:r>
            <w:r w:rsidR="00B55FF5" w:rsidRPr="00402720">
              <w:rPr>
                <w:rFonts w:ascii="Times New Roman" w:hAnsi="Times New Roman" w:cs="Times New Roman"/>
                <w:lang w:val="de-DE"/>
              </w:rPr>
              <w:t xml:space="preserve"> </w:t>
            </w:r>
            <w:r w:rsidRPr="00402720">
              <w:rPr>
                <w:rFonts w:ascii="Times New Roman" w:hAnsi="Times New Roman" w:cs="Times New Roman"/>
                <w:lang w:val="de-DE"/>
              </w:rPr>
              <w:t>(Beurteilung durch</w:t>
            </w:r>
            <w:r w:rsidR="00B55FF5" w:rsidRPr="00402720">
              <w:rPr>
                <w:rFonts w:ascii="Times New Roman" w:hAnsi="Times New Roman" w:cs="Times New Roman"/>
                <w:lang w:val="de-DE"/>
              </w:rPr>
              <w:t xml:space="preserve"> </w:t>
            </w:r>
            <w:r w:rsidR="00B66D6F" w:rsidRPr="00402720">
              <w:rPr>
                <w:rFonts w:ascii="Times New Roman" w:hAnsi="Times New Roman" w:cs="Times New Roman"/>
                <w:lang w:val="de-DE"/>
              </w:rPr>
              <w:t>Prüfarzt)**</w:t>
            </w:r>
          </w:p>
        </w:tc>
        <w:tc>
          <w:tcPr>
            <w:tcW w:w="1985" w:type="dxa"/>
            <w:tcBorders>
              <w:top w:val="single" w:sz="4" w:space="0" w:color="000000"/>
              <w:left w:val="single" w:sz="4" w:space="0" w:color="000000"/>
              <w:bottom w:val="single" w:sz="4" w:space="0" w:color="000000"/>
              <w:right w:val="single" w:sz="4" w:space="0" w:color="000000"/>
            </w:tcBorders>
            <w:noWrap/>
            <w:hideMark/>
          </w:tcPr>
          <w:p w14:paraId="4EB33260" w14:textId="77777777" w:rsidR="00303CDE" w:rsidRPr="00402720" w:rsidRDefault="00303CDE" w:rsidP="00D87918">
            <w:pPr>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49,2</w:t>
            </w:r>
            <w:r w:rsidR="004B1BD9"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tc>
        <w:tc>
          <w:tcPr>
            <w:tcW w:w="2126" w:type="dxa"/>
            <w:tcBorders>
              <w:top w:val="single" w:sz="4" w:space="0" w:color="000000"/>
              <w:left w:val="single" w:sz="4" w:space="0" w:color="000000"/>
              <w:bottom w:val="single" w:sz="4" w:space="0" w:color="000000"/>
              <w:right w:val="single" w:sz="4" w:space="0" w:color="000000"/>
            </w:tcBorders>
            <w:noWrap/>
            <w:hideMark/>
          </w:tcPr>
          <w:p w14:paraId="4BA07925" w14:textId="77777777" w:rsidR="00303CDE" w:rsidRPr="00402720" w:rsidRDefault="00303CDE" w:rsidP="00D87918">
            <w:pPr>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46,5</w:t>
            </w:r>
            <w:r w:rsidR="004B1BD9"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tc>
        <w:tc>
          <w:tcPr>
            <w:tcW w:w="1417" w:type="dxa"/>
            <w:tcBorders>
              <w:top w:val="single" w:sz="4" w:space="0" w:color="000000"/>
              <w:left w:val="single" w:sz="4" w:space="0" w:color="000000"/>
              <w:bottom w:val="single" w:sz="4" w:space="0" w:color="000000"/>
              <w:right w:val="single" w:sz="4" w:space="0" w:color="000000"/>
            </w:tcBorders>
            <w:noWrap/>
            <w:hideMark/>
          </w:tcPr>
          <w:p w14:paraId="66546C56" w14:textId="77777777" w:rsidR="00303CDE" w:rsidRPr="00402720" w:rsidRDefault="00303CDE" w:rsidP="00B55FF5">
            <w:pPr>
              <w:spacing w:after="0" w:line="240" w:lineRule="auto"/>
              <w:jc w:val="center"/>
              <w:rPr>
                <w:rFonts w:ascii="Times New Roman" w:hAnsi="Times New Roman" w:cs="Times New Roman"/>
                <w:lang w:val="de-DE"/>
              </w:rPr>
            </w:pPr>
          </w:p>
        </w:tc>
      </w:tr>
      <w:tr w:rsidR="00303CDE" w:rsidRPr="00402720" w14:paraId="595B3E80" w14:textId="77777777" w:rsidTr="00534633">
        <w:trPr>
          <w:trHeight w:val="23"/>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08B8470F" w14:textId="77777777" w:rsidR="00303CDE" w:rsidRPr="00402720" w:rsidRDefault="00B66D6F" w:rsidP="00D87918">
            <w:pPr>
              <w:keepLines/>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Gesamtüberleben*</w:t>
            </w:r>
          </w:p>
        </w:tc>
        <w:tc>
          <w:tcPr>
            <w:tcW w:w="1985" w:type="dxa"/>
            <w:tcBorders>
              <w:top w:val="single" w:sz="4" w:space="0" w:color="000000"/>
              <w:left w:val="single" w:sz="4" w:space="0" w:color="000000"/>
              <w:bottom w:val="single" w:sz="4" w:space="0" w:color="000000"/>
              <w:right w:val="single" w:sz="4" w:space="0" w:color="000000"/>
            </w:tcBorders>
            <w:noWrap/>
            <w:vAlign w:val="center"/>
            <w:hideMark/>
          </w:tcPr>
          <w:p w14:paraId="208ABFE0" w14:textId="77777777" w:rsidR="00303CDE" w:rsidRPr="00402720" w:rsidRDefault="00303CDE" w:rsidP="00D87918">
            <w:pPr>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19,9</w:t>
            </w:r>
          </w:p>
        </w:tc>
        <w:tc>
          <w:tcPr>
            <w:tcW w:w="2126" w:type="dxa"/>
            <w:tcBorders>
              <w:top w:val="single" w:sz="4" w:space="0" w:color="000000"/>
              <w:left w:val="single" w:sz="4" w:space="0" w:color="000000"/>
              <w:bottom w:val="single" w:sz="4" w:space="0" w:color="000000"/>
              <w:right w:val="single" w:sz="4" w:space="0" w:color="000000"/>
            </w:tcBorders>
            <w:noWrap/>
            <w:vAlign w:val="center"/>
            <w:hideMark/>
          </w:tcPr>
          <w:p w14:paraId="05EFBB69" w14:textId="77777777" w:rsidR="00303CDE" w:rsidRPr="00402720" w:rsidRDefault="00303CDE" w:rsidP="00D87918">
            <w:pPr>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21,2</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58F5661D" w14:textId="77777777" w:rsidR="00303CDE" w:rsidRPr="00402720" w:rsidRDefault="00303CDE" w:rsidP="00D87918">
            <w:pPr>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0,0769</w:t>
            </w:r>
          </w:p>
        </w:tc>
      </w:tr>
      <w:tr w:rsidR="00303CDE" w:rsidRPr="00402720" w14:paraId="610574EC" w14:textId="77777777" w:rsidTr="006874B5">
        <w:trPr>
          <w:trHeight w:val="23"/>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1C7997C8" w14:textId="76B4D7FF" w:rsidR="00303CDE" w:rsidRPr="00402720" w:rsidRDefault="00303CDE" w:rsidP="00B55FF5">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(97,5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00B66D6F" w:rsidRPr="00402720">
              <w:rPr>
                <w:rFonts w:ascii="Times New Roman" w:hAnsi="Times New Roman" w:cs="Times New Roman"/>
                <w:lang w:val="de-DE"/>
              </w:rPr>
              <w:t>KI)</w:t>
            </w:r>
          </w:p>
        </w:tc>
        <w:tc>
          <w:tcPr>
            <w:tcW w:w="4111" w:type="dxa"/>
            <w:gridSpan w:val="2"/>
            <w:tcBorders>
              <w:top w:val="single" w:sz="4" w:space="0" w:color="000000"/>
              <w:left w:val="single" w:sz="4" w:space="0" w:color="000000"/>
              <w:bottom w:val="single" w:sz="4" w:space="0" w:color="000000"/>
              <w:right w:val="single" w:sz="4" w:space="0" w:color="000000"/>
            </w:tcBorders>
            <w:noWrap/>
            <w:vAlign w:val="center"/>
            <w:hideMark/>
          </w:tcPr>
          <w:p w14:paraId="7FC0A0FB" w14:textId="77777777" w:rsidR="00303CDE" w:rsidRPr="00402720" w:rsidRDefault="00303CDE" w:rsidP="00B55FF5">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0,89 (0,76 - 1,03)</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1BECA869" w14:textId="77777777" w:rsidR="00303CDE" w:rsidRPr="00402720" w:rsidRDefault="00303CDE" w:rsidP="00B55FF5">
            <w:pPr>
              <w:spacing w:after="0" w:line="240" w:lineRule="auto"/>
              <w:jc w:val="center"/>
              <w:rPr>
                <w:rFonts w:ascii="Times New Roman" w:hAnsi="Times New Roman" w:cs="Times New Roman"/>
                <w:lang w:val="de-DE"/>
              </w:rPr>
            </w:pPr>
          </w:p>
        </w:tc>
      </w:tr>
    </w:tbl>
    <w:p w14:paraId="29636517" w14:textId="12CF4C26" w:rsidR="00AF337C" w:rsidRPr="009737B5" w:rsidRDefault="00AF337C" w:rsidP="000C36D5">
      <w:pPr>
        <w:suppressAutoHyphens/>
        <w:spacing w:after="0" w:line="240" w:lineRule="auto"/>
        <w:ind w:left="567" w:hanging="567"/>
        <w:rPr>
          <w:rFonts w:ascii="Times New Roman" w:hAnsi="Times New Roman" w:cs="Times New Roman"/>
          <w:sz w:val="20"/>
          <w:lang w:val="de-DE"/>
        </w:rPr>
      </w:pPr>
      <w:r w:rsidRPr="009737B5">
        <w:rPr>
          <w:rFonts w:ascii="Times New Roman" w:hAnsi="Times New Roman" w:cs="Times New Roman"/>
          <w:lang w:val="de-DE"/>
        </w:rPr>
        <w:t>*</w:t>
      </w:r>
      <w:r w:rsidR="000C36D5" w:rsidRPr="009737B5">
        <w:rPr>
          <w:rFonts w:ascii="Times New Roman" w:hAnsi="Times New Roman" w:cs="Times New Roman"/>
          <w:sz w:val="20"/>
          <w:lang w:val="de-DE"/>
        </w:rPr>
        <w:tab/>
      </w:r>
      <w:r w:rsidRPr="009737B5">
        <w:rPr>
          <w:rFonts w:ascii="Times New Roman" w:hAnsi="Times New Roman" w:cs="Times New Roman"/>
          <w:sz w:val="20"/>
          <w:lang w:val="de-DE"/>
        </w:rPr>
        <w:t>Auswertung des Gesamtüberlebens zum Stichtag 31.</w:t>
      </w:r>
      <w:r w:rsidR="00A36C33">
        <w:rPr>
          <w:rFonts w:ascii="Times New Roman" w:hAnsi="Times New Roman" w:cs="Times New Roman"/>
          <w:sz w:val="20"/>
          <w:lang w:val="de-DE"/>
        </w:rPr>
        <w:t> </w:t>
      </w:r>
      <w:r w:rsidRPr="009737B5">
        <w:rPr>
          <w:rFonts w:ascii="Times New Roman" w:hAnsi="Times New Roman" w:cs="Times New Roman"/>
          <w:sz w:val="20"/>
          <w:lang w:val="de-DE"/>
        </w:rPr>
        <w:t>Januar 2007</w:t>
      </w:r>
      <w:r w:rsidR="000C36D5" w:rsidRPr="009737B5">
        <w:rPr>
          <w:rFonts w:ascii="Times New Roman" w:hAnsi="Times New Roman" w:cs="Times New Roman"/>
          <w:sz w:val="20"/>
          <w:lang w:val="de-DE"/>
        </w:rPr>
        <w:t>.</w:t>
      </w:r>
    </w:p>
    <w:p w14:paraId="6529F7A6" w14:textId="35A900AF" w:rsidR="00AF337C" w:rsidRPr="009737B5" w:rsidRDefault="00AF337C" w:rsidP="000C36D5">
      <w:pPr>
        <w:suppressAutoHyphens/>
        <w:spacing w:after="0" w:line="240" w:lineRule="auto"/>
        <w:ind w:left="567" w:hanging="567"/>
        <w:rPr>
          <w:rFonts w:ascii="Times New Roman" w:hAnsi="Times New Roman" w:cs="Times New Roman"/>
          <w:sz w:val="20"/>
          <w:lang w:val="de-DE"/>
        </w:rPr>
      </w:pPr>
      <w:r w:rsidRPr="009737B5">
        <w:rPr>
          <w:rFonts w:ascii="Times New Roman" w:hAnsi="Times New Roman" w:cs="Times New Roman"/>
          <w:sz w:val="20"/>
          <w:lang w:val="de-DE"/>
        </w:rPr>
        <w:t>*</w:t>
      </w:r>
      <w:r w:rsidR="000C36D5" w:rsidRPr="009737B5">
        <w:rPr>
          <w:rFonts w:ascii="Times New Roman" w:hAnsi="Times New Roman" w:cs="Times New Roman"/>
          <w:sz w:val="20"/>
          <w:lang w:val="de-DE"/>
        </w:rPr>
        <w:t>*</w:t>
      </w:r>
      <w:r w:rsidR="000C36D5" w:rsidRPr="009737B5">
        <w:rPr>
          <w:rFonts w:ascii="Times New Roman" w:hAnsi="Times New Roman" w:cs="Times New Roman"/>
          <w:sz w:val="20"/>
          <w:lang w:val="de-DE"/>
        </w:rPr>
        <w:tab/>
      </w:r>
      <w:r w:rsidRPr="009737B5">
        <w:rPr>
          <w:rFonts w:ascii="Times New Roman" w:hAnsi="Times New Roman" w:cs="Times New Roman"/>
          <w:sz w:val="20"/>
          <w:lang w:val="de-DE"/>
        </w:rPr>
        <w:t>Primärauswertung zum Stichtag 31.</w:t>
      </w:r>
      <w:r w:rsidR="00A36C33">
        <w:rPr>
          <w:rFonts w:ascii="Times New Roman" w:hAnsi="Times New Roman" w:cs="Times New Roman"/>
          <w:sz w:val="20"/>
          <w:lang w:val="de-DE"/>
        </w:rPr>
        <w:t> </w:t>
      </w:r>
      <w:r w:rsidRPr="009737B5">
        <w:rPr>
          <w:rFonts w:ascii="Times New Roman" w:hAnsi="Times New Roman" w:cs="Times New Roman"/>
          <w:sz w:val="20"/>
          <w:lang w:val="de-DE"/>
        </w:rPr>
        <w:t>Januar 2006</w:t>
      </w:r>
      <w:r w:rsidR="000C36D5" w:rsidRPr="009737B5">
        <w:rPr>
          <w:rFonts w:ascii="Times New Roman" w:hAnsi="Times New Roman" w:cs="Times New Roman"/>
          <w:sz w:val="20"/>
          <w:lang w:val="de-DE"/>
        </w:rPr>
        <w:t>.</w:t>
      </w:r>
    </w:p>
    <w:p w14:paraId="160E8269" w14:textId="77777777" w:rsidR="00AF337C" w:rsidRPr="009737B5" w:rsidRDefault="00AF337C" w:rsidP="000C36D5">
      <w:pPr>
        <w:suppressAutoHyphens/>
        <w:spacing w:after="0" w:line="240" w:lineRule="auto"/>
        <w:ind w:left="567" w:hanging="567"/>
        <w:rPr>
          <w:rFonts w:ascii="Times New Roman" w:hAnsi="Times New Roman" w:cs="Times New Roman"/>
          <w:sz w:val="20"/>
          <w:lang w:val="de-DE"/>
        </w:rPr>
      </w:pPr>
      <w:r w:rsidRPr="009737B5">
        <w:rPr>
          <w:rFonts w:ascii="Times New Roman" w:hAnsi="Times New Roman" w:cs="Times New Roman"/>
          <w:sz w:val="20"/>
          <w:vertAlign w:val="superscript"/>
          <w:lang w:val="de-DE"/>
        </w:rPr>
        <w:t>a</w:t>
      </w:r>
      <w:r w:rsidR="000C36D5" w:rsidRPr="009737B5">
        <w:rPr>
          <w:rFonts w:ascii="Times New Roman" w:hAnsi="Times New Roman" w:cs="Times New Roman"/>
          <w:sz w:val="20"/>
          <w:lang w:val="de-DE"/>
        </w:rPr>
        <w:tab/>
      </w:r>
      <w:r w:rsidRPr="009737B5">
        <w:rPr>
          <w:rFonts w:ascii="Times New Roman" w:hAnsi="Times New Roman" w:cs="Times New Roman"/>
          <w:sz w:val="20"/>
          <w:lang w:val="de-DE"/>
        </w:rPr>
        <w:t>Relativ zum Kontrollarm</w:t>
      </w:r>
      <w:r w:rsidR="000C36D5" w:rsidRPr="009737B5">
        <w:rPr>
          <w:rFonts w:ascii="Times New Roman" w:hAnsi="Times New Roman" w:cs="Times New Roman"/>
          <w:sz w:val="20"/>
          <w:lang w:val="de-DE"/>
        </w:rPr>
        <w:t>.</w:t>
      </w:r>
    </w:p>
    <w:p w14:paraId="45ADA739" w14:textId="77777777" w:rsidR="00AF337C" w:rsidRPr="009737B5" w:rsidRDefault="00AF337C" w:rsidP="005F4D08">
      <w:pPr>
        <w:suppressAutoHyphens/>
        <w:spacing w:after="0" w:line="240" w:lineRule="auto"/>
        <w:rPr>
          <w:rFonts w:ascii="Times New Roman" w:hAnsi="Times New Roman" w:cs="Times New Roman"/>
          <w:lang w:val="de-DE"/>
        </w:rPr>
      </w:pPr>
    </w:p>
    <w:p w14:paraId="31F50E93" w14:textId="21BAE625"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der Subgruppe, die mit FOLFOX behandelt wurde, betrug das mediane progressionsfreie Überleben unter Placebo 8,6</w:t>
      </w:r>
      <w:r w:rsidR="00C004B9">
        <w:rPr>
          <w:rFonts w:ascii="Times New Roman" w:hAnsi="Times New Roman" w:cs="Times New Roman"/>
          <w:lang w:val="de-DE"/>
        </w:rPr>
        <w:t> </w:t>
      </w:r>
      <w:r w:rsidRPr="009737B5">
        <w:rPr>
          <w:rFonts w:ascii="Times New Roman" w:hAnsi="Times New Roman" w:cs="Times New Roman"/>
          <w:lang w:val="de-DE"/>
        </w:rPr>
        <w:t>Monate und unter Anwendung von Bevacizumab 9,4</w:t>
      </w:r>
      <w:r w:rsidR="00A36C33">
        <w:rPr>
          <w:rFonts w:ascii="Times New Roman" w:hAnsi="Times New Roman" w:cs="Times New Roman"/>
          <w:lang w:val="de-DE"/>
        </w:rPr>
        <w:t> </w:t>
      </w:r>
      <w:r w:rsidRPr="009737B5">
        <w:rPr>
          <w:rFonts w:ascii="Times New Roman" w:hAnsi="Times New Roman" w:cs="Times New Roman"/>
          <w:lang w:val="de-DE"/>
        </w:rPr>
        <w:t>Monate (Hazard Ratio [HR]</w:t>
      </w:r>
      <w:r w:rsidR="00B55FF5" w:rsidRPr="009737B5">
        <w:rPr>
          <w:rFonts w:ascii="Times New Roman" w:hAnsi="Times New Roman" w:cs="Times New Roman"/>
          <w:lang w:val="de-DE"/>
        </w:rPr>
        <w:t> = </w:t>
      </w:r>
      <w:r w:rsidRPr="009737B5">
        <w:rPr>
          <w:rFonts w:ascii="Times New Roman" w:hAnsi="Times New Roman" w:cs="Times New Roman"/>
          <w:lang w:val="de-DE"/>
        </w:rPr>
        <w:t>0,89; 97,5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KI</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0,73</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1,08; p</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0,1871). In der Subgruppe, die mit XELOX behandelt wurde, waren die entsprechenden Ergebnisse 7,4 vs. 9,3</w:t>
      </w:r>
      <w:r w:rsidR="00A36C33">
        <w:rPr>
          <w:rFonts w:ascii="Times New Roman" w:hAnsi="Times New Roman" w:cs="Times New Roman"/>
          <w:lang w:val="de-DE"/>
        </w:rPr>
        <w:t> </w:t>
      </w:r>
      <w:r w:rsidRPr="009737B5">
        <w:rPr>
          <w:rFonts w:ascii="Times New Roman" w:hAnsi="Times New Roman" w:cs="Times New Roman"/>
          <w:lang w:val="de-DE"/>
        </w:rPr>
        <w:t>Monate (HR</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0,77; 97,5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KI</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0,63</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0,94; p</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0,0026).</w:t>
      </w:r>
    </w:p>
    <w:p w14:paraId="213CE137" w14:textId="77777777" w:rsidR="00AF337C" w:rsidRPr="009737B5" w:rsidRDefault="00AF337C" w:rsidP="005F4D08">
      <w:pPr>
        <w:suppressAutoHyphens/>
        <w:spacing w:after="0" w:line="240" w:lineRule="auto"/>
        <w:rPr>
          <w:rFonts w:ascii="Times New Roman" w:hAnsi="Times New Roman" w:cs="Times New Roman"/>
          <w:lang w:val="de-DE"/>
        </w:rPr>
      </w:pPr>
    </w:p>
    <w:p w14:paraId="3798BD38" w14:textId="7A6A5DE3" w:rsidR="00AF337C" w:rsidRPr="009737B5" w:rsidRDefault="00AF337C" w:rsidP="0055707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Das mediane Gesamtüberleben betrug in der Subgruppe, die mit FOLFOX behandelt wurde,</w:t>
      </w:r>
      <w:r w:rsidR="002A5DCF" w:rsidRPr="009737B5">
        <w:rPr>
          <w:rFonts w:ascii="Times New Roman" w:hAnsi="Times New Roman" w:cs="Times New Roman"/>
          <w:lang w:val="de-DE"/>
        </w:rPr>
        <w:t xml:space="preserve"> </w:t>
      </w:r>
      <w:r w:rsidRPr="009737B5">
        <w:rPr>
          <w:rFonts w:ascii="Times New Roman" w:hAnsi="Times New Roman" w:cs="Times New Roman"/>
          <w:lang w:val="de-DE"/>
        </w:rPr>
        <w:t>20,3</w:t>
      </w:r>
      <w:r w:rsidR="00A36C33">
        <w:rPr>
          <w:rFonts w:ascii="Times New Roman" w:hAnsi="Times New Roman" w:cs="Times New Roman"/>
          <w:lang w:val="de-DE"/>
        </w:rPr>
        <w:t> </w:t>
      </w:r>
      <w:r w:rsidRPr="009737B5">
        <w:rPr>
          <w:rFonts w:ascii="Times New Roman" w:hAnsi="Times New Roman" w:cs="Times New Roman"/>
          <w:lang w:val="de-DE"/>
        </w:rPr>
        <w:t>Monate unter Placebo und 21,2</w:t>
      </w:r>
      <w:r w:rsidR="00A36C33">
        <w:rPr>
          <w:rFonts w:ascii="Times New Roman" w:hAnsi="Times New Roman" w:cs="Times New Roman"/>
          <w:lang w:val="de-DE"/>
        </w:rPr>
        <w:t> </w:t>
      </w:r>
      <w:r w:rsidRPr="009737B5">
        <w:rPr>
          <w:rFonts w:ascii="Times New Roman" w:hAnsi="Times New Roman" w:cs="Times New Roman"/>
          <w:lang w:val="de-DE"/>
        </w:rPr>
        <w:t>Monate unter Anwendung von Bevacizumab (HR</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0,94; 97,5</w:t>
      </w:r>
      <w:r w:rsidR="00322E40" w:rsidRPr="009737B5">
        <w:rPr>
          <w:rFonts w:ascii="Times New Roman" w:hAnsi="Times New Roman" w:cs="Times New Roman"/>
          <w:lang w:val="de-DE"/>
        </w:rPr>
        <w:t> %</w:t>
      </w:r>
      <w:r w:rsidR="002A5DCF" w:rsidRPr="009737B5">
        <w:rPr>
          <w:rFonts w:ascii="Times New Roman" w:hAnsi="Times New Roman" w:cs="Times New Roman"/>
          <w:lang w:val="de-DE"/>
        </w:rPr>
        <w:t xml:space="preserve"> KI </w:t>
      </w:r>
      <w:r w:rsidRPr="009737B5">
        <w:rPr>
          <w:rFonts w:ascii="Times New Roman" w:hAnsi="Times New Roman" w:cs="Times New Roman"/>
          <w:lang w:val="de-DE"/>
        </w:rPr>
        <w:t>=</w:t>
      </w:r>
      <w:r w:rsidR="002A5DCF" w:rsidRPr="009737B5">
        <w:rPr>
          <w:rFonts w:ascii="Times New Roman" w:hAnsi="Times New Roman" w:cs="Times New Roman"/>
          <w:lang w:val="de-DE"/>
        </w:rPr>
        <w:t> </w:t>
      </w:r>
      <w:r w:rsidRPr="009737B5">
        <w:rPr>
          <w:rFonts w:ascii="Times New Roman" w:hAnsi="Times New Roman" w:cs="Times New Roman"/>
          <w:lang w:val="de-DE"/>
        </w:rPr>
        <w:t>0,75</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1,16; p</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0,4937). In der Subgruppe, die mit XELOX behandelt wurde, waren die entsprechenden Ergebnisse 19,2 vs. 21,4</w:t>
      </w:r>
      <w:r w:rsidR="00A36C33">
        <w:rPr>
          <w:rFonts w:ascii="Times New Roman" w:hAnsi="Times New Roman" w:cs="Times New Roman"/>
          <w:lang w:val="de-DE"/>
        </w:rPr>
        <w:t> </w:t>
      </w:r>
      <w:r w:rsidRPr="009737B5">
        <w:rPr>
          <w:rFonts w:ascii="Times New Roman" w:hAnsi="Times New Roman" w:cs="Times New Roman"/>
          <w:lang w:val="de-DE"/>
        </w:rPr>
        <w:t>Monate (HR</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0,84; 97,5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KI</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0,68</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1,04; p</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0,0698).</w:t>
      </w:r>
    </w:p>
    <w:p w14:paraId="799FD6B2" w14:textId="77777777" w:rsidR="00AF337C" w:rsidRPr="009737B5" w:rsidRDefault="00AF337C" w:rsidP="005F4D08">
      <w:pPr>
        <w:suppressAutoHyphens/>
        <w:spacing w:after="0" w:line="240" w:lineRule="auto"/>
        <w:rPr>
          <w:rFonts w:ascii="Times New Roman" w:hAnsi="Times New Roman" w:cs="Times New Roman"/>
          <w:lang w:val="de-DE"/>
        </w:rPr>
      </w:pPr>
    </w:p>
    <w:p w14:paraId="03FC6434" w14:textId="77777777" w:rsidR="00AF337C" w:rsidRPr="009737B5" w:rsidRDefault="00AF337C" w:rsidP="00B55FF5">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ECOG E3200</w:t>
      </w:r>
    </w:p>
    <w:p w14:paraId="049CC3FC" w14:textId="6E82F87F"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Hierbei handelte es sich um eine randomisierte, offene Phase</w:t>
      </w:r>
      <w:r w:rsidR="00A36C33">
        <w:rPr>
          <w:rFonts w:ascii="Times New Roman" w:hAnsi="Times New Roman" w:cs="Times New Roman"/>
          <w:lang w:val="de-DE"/>
        </w:rPr>
        <w:t> </w:t>
      </w:r>
      <w:r w:rsidRPr="009737B5">
        <w:rPr>
          <w:rFonts w:ascii="Times New Roman" w:hAnsi="Times New Roman" w:cs="Times New Roman"/>
          <w:lang w:val="de-DE"/>
        </w:rPr>
        <w:t xml:space="preserve">III-Studie mit aktiver Kontrolle zur Untersuchung der Anwendung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in einer Dosierung von 10</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alle</w:t>
      </w:r>
      <w:r w:rsidR="00B55FF5" w:rsidRPr="009737B5">
        <w:rPr>
          <w:rFonts w:ascii="Times New Roman" w:hAnsi="Times New Roman" w:cs="Times New Roman"/>
          <w:lang w:val="de-DE"/>
        </w:rPr>
        <w:t xml:space="preserve"> 2 </w:t>
      </w:r>
      <w:r w:rsidRPr="009737B5">
        <w:rPr>
          <w:rFonts w:ascii="Times New Roman" w:hAnsi="Times New Roman" w:cs="Times New Roman"/>
          <w:lang w:val="de-DE"/>
        </w:rPr>
        <w:t>Wochen, in Kombination mit Leucovorin plus 5-Fluorouracil als Bolusinjektion, gefolgt von</w:t>
      </w:r>
      <w:r w:rsidR="00B55FF5" w:rsidRPr="009737B5">
        <w:rPr>
          <w:rFonts w:ascii="Times New Roman" w:hAnsi="Times New Roman" w:cs="Times New Roman"/>
          <w:lang w:val="de-DE"/>
        </w:rPr>
        <w:t xml:space="preserve"> 5</w:t>
      </w:r>
      <w:r w:rsidR="00B55FF5" w:rsidRPr="009737B5">
        <w:rPr>
          <w:rFonts w:ascii="Times New Roman" w:hAnsi="Times New Roman" w:cs="Times New Roman"/>
          <w:lang w:val="de-DE"/>
        </w:rPr>
        <w:noBreakHyphen/>
      </w:r>
      <w:r w:rsidRPr="009737B5">
        <w:rPr>
          <w:rFonts w:ascii="Times New Roman" w:hAnsi="Times New Roman" w:cs="Times New Roman"/>
          <w:lang w:val="de-DE"/>
        </w:rPr>
        <w:t xml:space="preserve">Fluorouracil als Infusion und intravenös appliziertem Oxaliplatin (FOLFOX-4) bei vorbehandelten </w:t>
      </w:r>
      <w:r w:rsidRPr="009737B5">
        <w:rPr>
          <w:rFonts w:ascii="Times New Roman" w:hAnsi="Times New Roman" w:cs="Times New Roman"/>
          <w:lang w:val="de-DE"/>
        </w:rPr>
        <w:lastRenderedPageBreak/>
        <w:t>Patienten (Second-Line) mit fortgeschrittenem Kolorektalkarzinom. In den Studienarmen mit Chemotherapie wurde FOLFOX-4 in derselben Dosierung und nach dem gleichen Ablaufschema angewendet, wie es in Tabelle</w:t>
      </w:r>
      <w:r w:rsidR="00A36C33">
        <w:rPr>
          <w:rFonts w:ascii="Times New Roman" w:hAnsi="Times New Roman" w:cs="Times New Roman"/>
          <w:lang w:val="de-DE"/>
        </w:rPr>
        <w:t> </w:t>
      </w:r>
      <w:r w:rsidRPr="009737B5">
        <w:rPr>
          <w:rFonts w:ascii="Times New Roman" w:hAnsi="Times New Roman" w:cs="Times New Roman"/>
          <w:lang w:val="de-DE"/>
        </w:rPr>
        <w:t>6 für die Studie</w:t>
      </w:r>
      <w:r w:rsidR="00A36C33">
        <w:rPr>
          <w:rFonts w:ascii="Times New Roman" w:hAnsi="Times New Roman" w:cs="Times New Roman"/>
          <w:lang w:val="de-DE"/>
        </w:rPr>
        <w:t> </w:t>
      </w:r>
      <w:r w:rsidRPr="009737B5">
        <w:rPr>
          <w:rFonts w:ascii="Times New Roman" w:hAnsi="Times New Roman" w:cs="Times New Roman"/>
          <w:lang w:val="de-DE"/>
        </w:rPr>
        <w:t>NO16966 dargestellt ist.</w:t>
      </w:r>
    </w:p>
    <w:p w14:paraId="0D174AA7" w14:textId="77777777" w:rsidR="00AF337C" w:rsidRPr="009737B5" w:rsidRDefault="00AF337C" w:rsidP="005F4D08">
      <w:pPr>
        <w:suppressAutoHyphens/>
        <w:spacing w:after="0" w:line="240" w:lineRule="auto"/>
        <w:rPr>
          <w:rFonts w:ascii="Times New Roman" w:hAnsi="Times New Roman" w:cs="Times New Roman"/>
          <w:lang w:val="de-DE"/>
        </w:rPr>
      </w:pPr>
    </w:p>
    <w:p w14:paraId="5197B3AC" w14:textId="35077949"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Der primäre Wirksamkeitsparameter der Studie war das Gesamtüberleben, das als die Zeitspanne zwischen der Randomisierung und dem Tod (jeder Ursache) definiert wurde. 829</w:t>
      </w:r>
      <w:r w:rsidR="00A36C33">
        <w:rPr>
          <w:rFonts w:ascii="Times New Roman" w:hAnsi="Times New Roman" w:cs="Times New Roman"/>
          <w:lang w:val="de-DE"/>
        </w:rPr>
        <w:t> </w:t>
      </w:r>
      <w:r w:rsidRPr="009737B5">
        <w:rPr>
          <w:rFonts w:ascii="Times New Roman" w:hAnsi="Times New Roman" w:cs="Times New Roman"/>
          <w:lang w:val="de-DE"/>
        </w:rPr>
        <w:t xml:space="preserve">Patienten wurden randomisiert den Behandlungen zugewiesen (292 zu FOLFOX-4, 293 zu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 FOLFOX-4 und 244 zur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Monotherapie). Die Hinzugabe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zu FOLFOX-4 führte zu einer statistisch signifikanten Verlängerung des Überlebens. Ebenso wurden statistisch signifikante Erhöhungen des progressionsfreien Überlebens und der objektiven Ansprechrate beobachtet (siehe Tabelle</w:t>
      </w:r>
      <w:r w:rsidR="00A36C33">
        <w:rPr>
          <w:rFonts w:ascii="Times New Roman" w:hAnsi="Times New Roman" w:cs="Times New Roman"/>
          <w:lang w:val="de-DE"/>
        </w:rPr>
        <w:t> </w:t>
      </w:r>
      <w:r w:rsidRPr="009737B5">
        <w:rPr>
          <w:rFonts w:ascii="Times New Roman" w:hAnsi="Times New Roman" w:cs="Times New Roman"/>
          <w:lang w:val="de-DE"/>
        </w:rPr>
        <w:t>8).</w:t>
      </w:r>
    </w:p>
    <w:p w14:paraId="43D4A081" w14:textId="77777777" w:rsidR="00AF337C" w:rsidRPr="009737B5" w:rsidRDefault="00AF337C" w:rsidP="005F4D08">
      <w:pPr>
        <w:suppressAutoHyphens/>
        <w:spacing w:after="0" w:line="240" w:lineRule="auto"/>
        <w:rPr>
          <w:rFonts w:ascii="Times New Roman" w:hAnsi="Times New Roman" w:cs="Times New Roman"/>
          <w:lang w:val="de-DE"/>
        </w:rPr>
      </w:pPr>
    </w:p>
    <w:p w14:paraId="4F1E5898" w14:textId="65C6426F" w:rsidR="00AF337C" w:rsidRPr="009737B5" w:rsidRDefault="00AF337C" w:rsidP="00B55FF5">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A36C33">
        <w:rPr>
          <w:rFonts w:ascii="Times New Roman" w:hAnsi="Times New Roman" w:cs="Times New Roman"/>
          <w:b/>
          <w:lang w:val="de-DE"/>
        </w:rPr>
        <w:t> </w:t>
      </w:r>
      <w:r w:rsidRPr="009737B5">
        <w:rPr>
          <w:rFonts w:ascii="Times New Roman" w:hAnsi="Times New Roman" w:cs="Times New Roman"/>
          <w:b/>
          <w:lang w:val="de-DE"/>
        </w:rPr>
        <w:t>8</w:t>
      </w:r>
      <w:r w:rsidR="00B55FF5" w:rsidRPr="009737B5">
        <w:rPr>
          <w:rFonts w:ascii="Times New Roman" w:hAnsi="Times New Roman" w:cs="Times New Roman"/>
          <w:b/>
          <w:lang w:val="de-DE"/>
        </w:rPr>
        <w:t>.</w:t>
      </w:r>
      <w:r w:rsidRPr="009737B5">
        <w:rPr>
          <w:rFonts w:ascii="Times New Roman" w:hAnsi="Times New Roman" w:cs="Times New Roman"/>
          <w:b/>
          <w:lang w:val="de-DE"/>
        </w:rPr>
        <w:t xml:space="preserve"> Wirksamkeitsergebnisse der Studie</w:t>
      </w:r>
      <w:r w:rsidR="00A36C33">
        <w:rPr>
          <w:rFonts w:ascii="Times New Roman" w:hAnsi="Times New Roman" w:cs="Times New Roman"/>
          <w:b/>
          <w:lang w:val="de-DE"/>
        </w:rPr>
        <w:t> </w:t>
      </w:r>
      <w:r w:rsidRPr="009737B5">
        <w:rPr>
          <w:rFonts w:ascii="Times New Roman" w:hAnsi="Times New Roman" w:cs="Times New Roman"/>
          <w:b/>
          <w:lang w:val="de-DE"/>
        </w:rPr>
        <w:t>E3200</w:t>
      </w:r>
    </w:p>
    <w:p w14:paraId="5A398FFD" w14:textId="77777777" w:rsidR="00BC0A52" w:rsidRPr="009737B5" w:rsidRDefault="00BC0A52" w:rsidP="00B55FF5">
      <w:pPr>
        <w:keepNext/>
        <w:suppressAutoHyphens/>
        <w:spacing w:after="0" w:line="240" w:lineRule="auto"/>
        <w:rPr>
          <w:rFonts w:ascii="Times New Roman" w:hAnsi="Times New Roman" w:cs="Times New Roman"/>
          <w:b/>
          <w:lang w:val="de-DE"/>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693"/>
        <w:gridCol w:w="2835"/>
      </w:tblGrid>
      <w:tr w:rsidR="00BC0A52" w:rsidRPr="00402720" w14:paraId="652C085B" w14:textId="77777777" w:rsidTr="00557078">
        <w:trPr>
          <w:trHeight w:val="23"/>
          <w:tblHeader/>
        </w:trPr>
        <w:tc>
          <w:tcPr>
            <w:tcW w:w="3261" w:type="dxa"/>
            <w:vMerge w:val="restart"/>
            <w:noWrap/>
            <w:hideMark/>
          </w:tcPr>
          <w:p w14:paraId="6D55D5C4" w14:textId="77777777" w:rsidR="00BC0A52" w:rsidRPr="00402720" w:rsidRDefault="00BC0A52" w:rsidP="00557078">
            <w:pPr>
              <w:keepNext/>
              <w:spacing w:after="0" w:line="240" w:lineRule="auto"/>
              <w:jc w:val="center"/>
              <w:rPr>
                <w:rFonts w:ascii="Times New Roman" w:hAnsi="Times New Roman" w:cs="Times New Roman"/>
                <w:lang w:val="de-DE"/>
              </w:rPr>
            </w:pPr>
          </w:p>
        </w:tc>
        <w:tc>
          <w:tcPr>
            <w:tcW w:w="5528" w:type="dxa"/>
            <w:gridSpan w:val="2"/>
            <w:noWrap/>
            <w:hideMark/>
          </w:tcPr>
          <w:p w14:paraId="10F6BFE2" w14:textId="77777777" w:rsidR="00BC0A52" w:rsidRPr="009737B5" w:rsidRDefault="00BC0A52" w:rsidP="00557078">
            <w:pPr>
              <w:keepNext/>
              <w:autoSpaceDE w:val="0"/>
              <w:autoSpaceDN w:val="0"/>
              <w:adjustRightInd w:val="0"/>
              <w:spacing w:after="0" w:line="240" w:lineRule="auto"/>
              <w:jc w:val="center"/>
              <w:rPr>
                <w:rFonts w:ascii="Times New Roman" w:hAnsi="Times New Roman" w:cs="Times New Roman"/>
                <w:b/>
                <w:lang w:val="de-DE"/>
              </w:rPr>
            </w:pPr>
            <w:r w:rsidRPr="009737B5">
              <w:rPr>
                <w:rFonts w:ascii="Times New Roman" w:hAnsi="Times New Roman" w:cs="Times New Roman"/>
                <w:b/>
                <w:lang w:val="de-DE"/>
              </w:rPr>
              <w:t>E3200</w:t>
            </w:r>
          </w:p>
        </w:tc>
      </w:tr>
      <w:tr w:rsidR="00BC0A52" w:rsidRPr="00402720" w14:paraId="7AFCA0F0" w14:textId="77777777" w:rsidTr="00557078">
        <w:trPr>
          <w:trHeight w:val="23"/>
          <w:tblHeader/>
        </w:trPr>
        <w:tc>
          <w:tcPr>
            <w:tcW w:w="3261" w:type="dxa"/>
            <w:vMerge/>
            <w:noWrap/>
            <w:hideMark/>
          </w:tcPr>
          <w:p w14:paraId="6549814B" w14:textId="77777777" w:rsidR="00BC0A52" w:rsidRPr="009737B5" w:rsidRDefault="00BC0A52" w:rsidP="00557078">
            <w:pPr>
              <w:keepNext/>
              <w:autoSpaceDE w:val="0"/>
              <w:autoSpaceDN w:val="0"/>
              <w:adjustRightInd w:val="0"/>
              <w:spacing w:after="0" w:line="240" w:lineRule="auto"/>
              <w:jc w:val="center"/>
              <w:rPr>
                <w:rFonts w:ascii="Times New Roman" w:hAnsi="Times New Roman" w:cs="Times New Roman"/>
                <w:b/>
                <w:lang w:val="de-DE"/>
              </w:rPr>
            </w:pPr>
          </w:p>
        </w:tc>
        <w:tc>
          <w:tcPr>
            <w:tcW w:w="2693" w:type="dxa"/>
            <w:noWrap/>
            <w:hideMark/>
          </w:tcPr>
          <w:p w14:paraId="4FF20C36" w14:textId="77777777" w:rsidR="00BC0A52" w:rsidRPr="009737B5" w:rsidRDefault="00BC0A52" w:rsidP="00557078">
            <w:pPr>
              <w:keepNext/>
              <w:autoSpaceDE w:val="0"/>
              <w:autoSpaceDN w:val="0"/>
              <w:adjustRightInd w:val="0"/>
              <w:spacing w:after="0" w:line="240" w:lineRule="auto"/>
              <w:jc w:val="center"/>
              <w:rPr>
                <w:rFonts w:ascii="Times New Roman" w:hAnsi="Times New Roman" w:cs="Times New Roman"/>
                <w:b/>
                <w:lang w:val="de-DE"/>
              </w:rPr>
            </w:pPr>
            <w:r w:rsidRPr="009737B5">
              <w:rPr>
                <w:rFonts w:ascii="Times New Roman" w:hAnsi="Times New Roman" w:cs="Times New Roman"/>
                <w:b/>
                <w:lang w:val="de-DE"/>
              </w:rPr>
              <w:t>FOLFOX-4</w:t>
            </w:r>
          </w:p>
        </w:tc>
        <w:tc>
          <w:tcPr>
            <w:tcW w:w="2835" w:type="dxa"/>
            <w:noWrap/>
            <w:hideMark/>
          </w:tcPr>
          <w:p w14:paraId="13CB5806" w14:textId="77777777" w:rsidR="00BC0A52" w:rsidRPr="009737B5" w:rsidRDefault="00BC0A52" w:rsidP="00557078">
            <w:pPr>
              <w:keepNext/>
              <w:autoSpaceDE w:val="0"/>
              <w:autoSpaceDN w:val="0"/>
              <w:adjustRightInd w:val="0"/>
              <w:spacing w:after="0" w:line="240" w:lineRule="auto"/>
              <w:jc w:val="center"/>
              <w:rPr>
                <w:rFonts w:ascii="Times New Roman" w:hAnsi="Times New Roman" w:cs="Times New Roman"/>
                <w:b/>
                <w:lang w:val="de-DE"/>
              </w:rPr>
            </w:pPr>
            <w:r w:rsidRPr="009737B5">
              <w:rPr>
                <w:rFonts w:ascii="Times New Roman" w:hAnsi="Times New Roman" w:cs="Times New Roman"/>
                <w:b/>
                <w:lang w:val="de-DE"/>
              </w:rPr>
              <w:t xml:space="preserve">FOLFOX-4 + </w:t>
            </w:r>
            <w:r w:rsidR="00A15C0A" w:rsidRPr="009737B5">
              <w:rPr>
                <w:rFonts w:ascii="Times New Roman" w:hAnsi="Times New Roman" w:cs="Times New Roman"/>
                <w:b/>
                <w:lang w:val="de-DE"/>
              </w:rPr>
              <w:t>Bevacizumab</w:t>
            </w:r>
            <w:r w:rsidRPr="009737B5">
              <w:rPr>
                <w:rFonts w:ascii="Times New Roman" w:hAnsi="Times New Roman" w:cs="Times New Roman"/>
                <w:b/>
                <w:vertAlign w:val="superscript"/>
                <w:lang w:val="de-DE"/>
              </w:rPr>
              <w:t>a</w:t>
            </w:r>
          </w:p>
        </w:tc>
      </w:tr>
      <w:tr w:rsidR="00BC0A52" w:rsidRPr="00402720" w14:paraId="14DA43EA" w14:textId="77777777" w:rsidTr="00557078">
        <w:trPr>
          <w:trHeight w:val="23"/>
        </w:trPr>
        <w:tc>
          <w:tcPr>
            <w:tcW w:w="3261" w:type="dxa"/>
            <w:noWrap/>
            <w:hideMark/>
          </w:tcPr>
          <w:p w14:paraId="48B71152" w14:textId="77777777" w:rsidR="00BC0A52" w:rsidRPr="00402720" w:rsidRDefault="003A130E" w:rsidP="00B55FF5">
            <w:pPr>
              <w:spacing w:after="0" w:line="240" w:lineRule="auto"/>
              <w:rPr>
                <w:rFonts w:ascii="Times New Roman" w:hAnsi="Times New Roman" w:cs="Times New Roman"/>
                <w:lang w:val="de-DE"/>
              </w:rPr>
            </w:pPr>
            <w:r w:rsidRPr="00402720">
              <w:rPr>
                <w:rFonts w:ascii="Times New Roman" w:hAnsi="Times New Roman" w:cs="Times New Roman"/>
                <w:lang w:val="de-DE"/>
              </w:rPr>
              <w:t>Anzahl Patienten</w:t>
            </w:r>
          </w:p>
        </w:tc>
        <w:tc>
          <w:tcPr>
            <w:tcW w:w="2693" w:type="dxa"/>
            <w:noWrap/>
            <w:hideMark/>
          </w:tcPr>
          <w:p w14:paraId="322053A0" w14:textId="77777777" w:rsidR="00BC0A52" w:rsidRPr="009737B5" w:rsidRDefault="00BC0A52" w:rsidP="00B55FF5">
            <w:pPr>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292</w:t>
            </w:r>
          </w:p>
        </w:tc>
        <w:tc>
          <w:tcPr>
            <w:tcW w:w="2835" w:type="dxa"/>
            <w:noWrap/>
            <w:hideMark/>
          </w:tcPr>
          <w:p w14:paraId="1D34FCFD" w14:textId="77777777" w:rsidR="00BC0A52" w:rsidRPr="009737B5" w:rsidRDefault="00BC0A52" w:rsidP="00B55FF5">
            <w:pPr>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293</w:t>
            </w:r>
          </w:p>
        </w:tc>
      </w:tr>
      <w:tr w:rsidR="00BC0A52" w:rsidRPr="00402720" w14:paraId="12E88FE7" w14:textId="77777777" w:rsidTr="00557078">
        <w:trPr>
          <w:trHeight w:val="23"/>
        </w:trPr>
        <w:tc>
          <w:tcPr>
            <w:tcW w:w="8789" w:type="dxa"/>
            <w:gridSpan w:val="3"/>
            <w:noWrap/>
          </w:tcPr>
          <w:p w14:paraId="146C1EDC" w14:textId="77777777" w:rsidR="00BC0A52" w:rsidRPr="00402720" w:rsidRDefault="003A130E" w:rsidP="00B55FF5">
            <w:pPr>
              <w:spacing w:after="0" w:line="240" w:lineRule="auto"/>
              <w:rPr>
                <w:rFonts w:ascii="Times New Roman" w:hAnsi="Times New Roman" w:cs="Times New Roman"/>
                <w:lang w:val="de-DE"/>
              </w:rPr>
            </w:pPr>
            <w:r w:rsidRPr="00402720">
              <w:rPr>
                <w:rFonts w:ascii="Times New Roman" w:hAnsi="Times New Roman" w:cs="Times New Roman"/>
                <w:lang w:val="de-DE"/>
              </w:rPr>
              <w:t>Gesamtüberleben</w:t>
            </w:r>
          </w:p>
        </w:tc>
      </w:tr>
      <w:tr w:rsidR="003A130E" w:rsidRPr="00402720" w14:paraId="0DE51977" w14:textId="77777777" w:rsidTr="00557078">
        <w:trPr>
          <w:trHeight w:val="23"/>
        </w:trPr>
        <w:tc>
          <w:tcPr>
            <w:tcW w:w="3261" w:type="dxa"/>
            <w:noWrap/>
            <w:hideMark/>
          </w:tcPr>
          <w:p w14:paraId="7EE54A4F" w14:textId="77777777" w:rsidR="003A130E" w:rsidRPr="00402720" w:rsidRDefault="00097E91" w:rsidP="003A130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 (Monate)</w:t>
            </w:r>
          </w:p>
        </w:tc>
        <w:tc>
          <w:tcPr>
            <w:tcW w:w="2693" w:type="dxa"/>
            <w:noWrap/>
            <w:vAlign w:val="center"/>
            <w:hideMark/>
          </w:tcPr>
          <w:p w14:paraId="3D60BE26" w14:textId="77777777" w:rsidR="003A130E" w:rsidRPr="009737B5" w:rsidRDefault="003A130E" w:rsidP="003A130E">
            <w:pPr>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10,8</w:t>
            </w:r>
          </w:p>
        </w:tc>
        <w:tc>
          <w:tcPr>
            <w:tcW w:w="2835" w:type="dxa"/>
            <w:noWrap/>
            <w:vAlign w:val="center"/>
            <w:hideMark/>
          </w:tcPr>
          <w:p w14:paraId="436B7E9D" w14:textId="77777777" w:rsidR="003A130E" w:rsidRPr="009737B5" w:rsidRDefault="003A130E" w:rsidP="003A130E">
            <w:pPr>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13,0</w:t>
            </w:r>
          </w:p>
        </w:tc>
      </w:tr>
      <w:tr w:rsidR="003A130E" w:rsidRPr="00402720" w14:paraId="54969486" w14:textId="77777777" w:rsidTr="00557078">
        <w:trPr>
          <w:trHeight w:val="23"/>
        </w:trPr>
        <w:tc>
          <w:tcPr>
            <w:tcW w:w="3261" w:type="dxa"/>
            <w:noWrap/>
          </w:tcPr>
          <w:p w14:paraId="290EA833" w14:textId="5B97AF4A" w:rsidR="003A130E" w:rsidRPr="00402720" w:rsidRDefault="003A130E" w:rsidP="003A130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 xml:space="preserve">KI </w:t>
            </w:r>
          </w:p>
        </w:tc>
        <w:tc>
          <w:tcPr>
            <w:tcW w:w="2693" w:type="dxa"/>
            <w:noWrap/>
            <w:vAlign w:val="center"/>
            <w:hideMark/>
          </w:tcPr>
          <w:p w14:paraId="32576852" w14:textId="77777777" w:rsidR="003A130E" w:rsidRPr="009737B5" w:rsidRDefault="003A130E" w:rsidP="003A130E">
            <w:pPr>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 xml:space="preserve">10,12 </w:t>
            </w:r>
            <w:r w:rsidR="00D7227D" w:rsidRPr="009737B5">
              <w:rPr>
                <w:rFonts w:ascii="Times New Roman" w:hAnsi="Times New Roman" w:cs="Times New Roman"/>
                <w:lang w:val="de-DE"/>
              </w:rPr>
              <w:t>-</w:t>
            </w:r>
            <w:r w:rsidRPr="009737B5">
              <w:rPr>
                <w:rFonts w:ascii="Times New Roman" w:hAnsi="Times New Roman" w:cs="Times New Roman"/>
                <w:lang w:val="de-DE"/>
              </w:rPr>
              <w:t xml:space="preserve"> 11,86</w:t>
            </w:r>
          </w:p>
        </w:tc>
        <w:tc>
          <w:tcPr>
            <w:tcW w:w="2835" w:type="dxa"/>
            <w:noWrap/>
            <w:vAlign w:val="center"/>
            <w:hideMark/>
          </w:tcPr>
          <w:p w14:paraId="5E49E9AE" w14:textId="77777777" w:rsidR="003A130E" w:rsidRPr="009737B5" w:rsidRDefault="003A130E" w:rsidP="003A130E">
            <w:pPr>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 xml:space="preserve">12,09 </w:t>
            </w:r>
            <w:r w:rsidR="00D7227D" w:rsidRPr="009737B5">
              <w:rPr>
                <w:rFonts w:ascii="Times New Roman" w:hAnsi="Times New Roman" w:cs="Times New Roman"/>
                <w:lang w:val="de-DE"/>
              </w:rPr>
              <w:t>-</w:t>
            </w:r>
            <w:r w:rsidRPr="009737B5">
              <w:rPr>
                <w:rFonts w:ascii="Times New Roman" w:hAnsi="Times New Roman" w:cs="Times New Roman"/>
                <w:lang w:val="de-DE"/>
              </w:rPr>
              <w:t xml:space="preserve"> 14,03</w:t>
            </w:r>
          </w:p>
        </w:tc>
      </w:tr>
      <w:tr w:rsidR="00BC0A52" w:rsidRPr="00402720" w14:paraId="1EE0897E" w14:textId="77777777" w:rsidTr="00271521">
        <w:trPr>
          <w:trHeight w:val="510"/>
        </w:trPr>
        <w:tc>
          <w:tcPr>
            <w:tcW w:w="3261" w:type="dxa"/>
            <w:noWrap/>
          </w:tcPr>
          <w:p w14:paraId="2FCCAA21" w14:textId="77777777" w:rsidR="00BC0A52" w:rsidRPr="00402720" w:rsidRDefault="003A130E" w:rsidP="00B55FF5">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w:t>
            </w:r>
            <w:r w:rsidRPr="00402720">
              <w:rPr>
                <w:rFonts w:ascii="Times New Roman" w:hAnsi="Times New Roman" w:cs="Times New Roman"/>
                <w:vertAlign w:val="superscript"/>
                <w:lang w:val="de-DE"/>
              </w:rPr>
              <w:t>b</w:t>
            </w:r>
          </w:p>
        </w:tc>
        <w:tc>
          <w:tcPr>
            <w:tcW w:w="5528" w:type="dxa"/>
            <w:gridSpan w:val="2"/>
            <w:noWrap/>
            <w:hideMark/>
          </w:tcPr>
          <w:p w14:paraId="59A77879" w14:textId="77777777" w:rsidR="00BC0A52" w:rsidRPr="009737B5" w:rsidRDefault="00BC0A52" w:rsidP="00B55FF5">
            <w:pPr>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0,751</w:t>
            </w:r>
          </w:p>
          <w:p w14:paraId="08C5948D" w14:textId="77777777" w:rsidR="00BC0A52" w:rsidRPr="009737B5" w:rsidRDefault="00BC0A52" w:rsidP="00B55FF5">
            <w:pPr>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(p-Wert = 0,0012)</w:t>
            </w:r>
          </w:p>
        </w:tc>
      </w:tr>
      <w:tr w:rsidR="00BC0A52" w:rsidRPr="00402720" w14:paraId="5F9FA09C" w14:textId="77777777" w:rsidTr="00557078">
        <w:trPr>
          <w:trHeight w:val="23"/>
        </w:trPr>
        <w:tc>
          <w:tcPr>
            <w:tcW w:w="8789" w:type="dxa"/>
            <w:gridSpan w:val="3"/>
            <w:noWrap/>
            <w:hideMark/>
          </w:tcPr>
          <w:p w14:paraId="270756F4" w14:textId="77777777" w:rsidR="00BC0A52" w:rsidRPr="00402720" w:rsidRDefault="003A130E" w:rsidP="00097E91">
            <w:pPr>
              <w:spacing w:after="0" w:line="240" w:lineRule="auto"/>
              <w:rPr>
                <w:rFonts w:ascii="Times New Roman" w:hAnsi="Times New Roman" w:cs="Times New Roman"/>
                <w:lang w:val="de-DE"/>
              </w:rPr>
            </w:pPr>
            <w:r w:rsidRPr="00402720">
              <w:rPr>
                <w:rFonts w:ascii="Times New Roman" w:hAnsi="Times New Roman" w:cs="Times New Roman"/>
                <w:lang w:val="de-DE"/>
              </w:rPr>
              <w:t>Progressionsfreies Überleben</w:t>
            </w:r>
          </w:p>
        </w:tc>
      </w:tr>
      <w:tr w:rsidR="00BC0A52" w:rsidRPr="00402720" w14:paraId="0B5E0260" w14:textId="77777777" w:rsidTr="00557078">
        <w:trPr>
          <w:trHeight w:val="23"/>
        </w:trPr>
        <w:tc>
          <w:tcPr>
            <w:tcW w:w="3261" w:type="dxa"/>
            <w:noWrap/>
            <w:hideMark/>
          </w:tcPr>
          <w:p w14:paraId="09E175F0" w14:textId="77777777" w:rsidR="00BC0A52" w:rsidRPr="00402720" w:rsidRDefault="003A130E" w:rsidP="00097E91">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 (Monate)</w:t>
            </w:r>
          </w:p>
        </w:tc>
        <w:tc>
          <w:tcPr>
            <w:tcW w:w="2693" w:type="dxa"/>
            <w:noWrap/>
            <w:vAlign w:val="center"/>
            <w:hideMark/>
          </w:tcPr>
          <w:p w14:paraId="297635EE" w14:textId="77777777" w:rsidR="00BC0A52" w:rsidRPr="009737B5" w:rsidRDefault="00BC0A52" w:rsidP="003A130E">
            <w:pPr>
              <w:keepNext/>
              <w:keepLines/>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4,5</w:t>
            </w:r>
          </w:p>
        </w:tc>
        <w:tc>
          <w:tcPr>
            <w:tcW w:w="2835" w:type="dxa"/>
            <w:noWrap/>
            <w:vAlign w:val="center"/>
            <w:hideMark/>
          </w:tcPr>
          <w:p w14:paraId="36FFB8B6" w14:textId="77777777" w:rsidR="00BC0A52" w:rsidRPr="009737B5" w:rsidRDefault="00BC0A52" w:rsidP="003A130E">
            <w:pPr>
              <w:keepNext/>
              <w:keepLines/>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7,5</w:t>
            </w:r>
          </w:p>
        </w:tc>
      </w:tr>
      <w:tr w:rsidR="00BC0A52" w:rsidRPr="00402720" w14:paraId="41444102" w14:textId="77777777" w:rsidTr="00557078">
        <w:trPr>
          <w:trHeight w:val="23"/>
        </w:trPr>
        <w:tc>
          <w:tcPr>
            <w:tcW w:w="3261" w:type="dxa"/>
            <w:noWrap/>
            <w:hideMark/>
          </w:tcPr>
          <w:p w14:paraId="308DD1B3" w14:textId="77777777" w:rsidR="00BC0A52" w:rsidRPr="00402720" w:rsidRDefault="003A130E" w:rsidP="00B55FF5">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w:t>
            </w:r>
          </w:p>
        </w:tc>
        <w:tc>
          <w:tcPr>
            <w:tcW w:w="5528" w:type="dxa"/>
            <w:gridSpan w:val="2"/>
            <w:noWrap/>
            <w:hideMark/>
          </w:tcPr>
          <w:p w14:paraId="4BB29C0A" w14:textId="77777777" w:rsidR="00BC0A52" w:rsidRPr="009737B5" w:rsidRDefault="00BC0A52" w:rsidP="00B55FF5">
            <w:pPr>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0,518</w:t>
            </w:r>
          </w:p>
          <w:p w14:paraId="1E190792" w14:textId="77777777" w:rsidR="00BC0A52" w:rsidRPr="009737B5" w:rsidRDefault="00BC0A52" w:rsidP="00B55FF5">
            <w:pPr>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 xml:space="preserve">(p-Wert </w:t>
            </w:r>
            <w:r w:rsidR="00E32D5C" w:rsidRPr="009737B5">
              <w:rPr>
                <w:rFonts w:ascii="Times New Roman" w:hAnsi="Times New Roman" w:cs="Times New Roman"/>
                <w:lang w:val="de-DE"/>
              </w:rPr>
              <w:t>&lt;</w:t>
            </w:r>
            <w:r w:rsidR="003331EC" w:rsidRPr="009737B5">
              <w:rPr>
                <w:rFonts w:ascii="Times New Roman" w:hAnsi="Times New Roman" w:cs="Times New Roman"/>
                <w:lang w:val="de-DE"/>
              </w:rPr>
              <w:t xml:space="preserve"> </w:t>
            </w:r>
            <w:r w:rsidRPr="009737B5">
              <w:rPr>
                <w:rFonts w:ascii="Times New Roman" w:hAnsi="Times New Roman" w:cs="Times New Roman"/>
                <w:lang w:val="de-DE"/>
              </w:rPr>
              <w:t>0,0001)</w:t>
            </w:r>
          </w:p>
        </w:tc>
      </w:tr>
      <w:tr w:rsidR="00BC0A52" w:rsidRPr="00402720" w14:paraId="0404A4A5" w14:textId="77777777" w:rsidTr="00557078">
        <w:trPr>
          <w:trHeight w:val="23"/>
        </w:trPr>
        <w:tc>
          <w:tcPr>
            <w:tcW w:w="8789" w:type="dxa"/>
            <w:gridSpan w:val="3"/>
            <w:noWrap/>
            <w:hideMark/>
          </w:tcPr>
          <w:p w14:paraId="727EC2D0" w14:textId="77777777" w:rsidR="00BC0A52" w:rsidRPr="00402720" w:rsidRDefault="003A130E" w:rsidP="000530E2">
            <w:pPr>
              <w:keepNext/>
              <w:spacing w:after="0" w:line="240" w:lineRule="auto"/>
              <w:rPr>
                <w:rFonts w:ascii="Times New Roman" w:hAnsi="Times New Roman" w:cs="Times New Roman"/>
                <w:lang w:val="de-DE"/>
              </w:rPr>
            </w:pPr>
            <w:r w:rsidRPr="00402720">
              <w:rPr>
                <w:rFonts w:ascii="Times New Roman" w:hAnsi="Times New Roman" w:cs="Times New Roman"/>
                <w:lang w:val="de-DE"/>
              </w:rPr>
              <w:t>Objektive Ansprechrate</w:t>
            </w:r>
          </w:p>
        </w:tc>
      </w:tr>
      <w:tr w:rsidR="00BC0A52" w:rsidRPr="00402720" w14:paraId="5DE4E140" w14:textId="77777777" w:rsidTr="00557078">
        <w:trPr>
          <w:trHeight w:val="23"/>
        </w:trPr>
        <w:tc>
          <w:tcPr>
            <w:tcW w:w="3261" w:type="dxa"/>
            <w:noWrap/>
          </w:tcPr>
          <w:p w14:paraId="412D03D1" w14:textId="77777777" w:rsidR="00BC0A52" w:rsidRPr="00402720" w:rsidRDefault="003A130E" w:rsidP="000530E2">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Rate (</w:t>
            </w:r>
            <w:r w:rsidR="00322E40" w:rsidRPr="00402720">
              <w:rPr>
                <w:rFonts w:ascii="Times New Roman" w:hAnsi="Times New Roman" w:cs="Times New Roman"/>
                <w:lang w:val="de-DE"/>
              </w:rPr>
              <w:t>%</w:t>
            </w:r>
            <w:r w:rsidRPr="00402720">
              <w:rPr>
                <w:rFonts w:ascii="Times New Roman" w:hAnsi="Times New Roman" w:cs="Times New Roman"/>
                <w:lang w:val="de-DE"/>
              </w:rPr>
              <w:t>)</w:t>
            </w:r>
          </w:p>
        </w:tc>
        <w:tc>
          <w:tcPr>
            <w:tcW w:w="2693" w:type="dxa"/>
            <w:noWrap/>
            <w:vAlign w:val="center"/>
            <w:hideMark/>
          </w:tcPr>
          <w:p w14:paraId="76F83367" w14:textId="77777777" w:rsidR="00BC0A52" w:rsidRPr="009737B5" w:rsidRDefault="00BC0A52" w:rsidP="00B55FF5">
            <w:pPr>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8,6</w:t>
            </w:r>
            <w:r w:rsidR="004B1BD9" w:rsidRPr="009737B5">
              <w:rPr>
                <w:rFonts w:ascii="Times New Roman" w:hAnsi="Times New Roman" w:cs="Times New Roman"/>
                <w:lang w:val="de-DE"/>
              </w:rPr>
              <w:t xml:space="preserve"> </w:t>
            </w:r>
            <w:r w:rsidR="00322E40" w:rsidRPr="009737B5">
              <w:rPr>
                <w:rFonts w:ascii="Times New Roman" w:hAnsi="Times New Roman" w:cs="Times New Roman"/>
                <w:lang w:val="de-DE"/>
              </w:rPr>
              <w:t>%</w:t>
            </w:r>
          </w:p>
        </w:tc>
        <w:tc>
          <w:tcPr>
            <w:tcW w:w="2835" w:type="dxa"/>
            <w:noWrap/>
            <w:vAlign w:val="center"/>
            <w:hideMark/>
          </w:tcPr>
          <w:p w14:paraId="2AD8E563" w14:textId="77777777" w:rsidR="00BC0A52" w:rsidRPr="009737B5" w:rsidRDefault="00BC0A52" w:rsidP="00B55FF5">
            <w:pPr>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22,2</w:t>
            </w:r>
            <w:r w:rsidR="004B1BD9" w:rsidRPr="009737B5">
              <w:rPr>
                <w:rFonts w:ascii="Times New Roman" w:hAnsi="Times New Roman" w:cs="Times New Roman"/>
                <w:lang w:val="de-DE"/>
              </w:rPr>
              <w:t xml:space="preserve"> </w:t>
            </w:r>
            <w:r w:rsidR="00322E40" w:rsidRPr="009737B5">
              <w:rPr>
                <w:rFonts w:ascii="Times New Roman" w:hAnsi="Times New Roman" w:cs="Times New Roman"/>
                <w:lang w:val="de-DE"/>
              </w:rPr>
              <w:t>%</w:t>
            </w:r>
          </w:p>
        </w:tc>
      </w:tr>
      <w:tr w:rsidR="00BC0A52" w:rsidRPr="00402720" w14:paraId="00DA70D8" w14:textId="77777777" w:rsidTr="000530E2">
        <w:trPr>
          <w:trHeight w:val="283"/>
        </w:trPr>
        <w:tc>
          <w:tcPr>
            <w:tcW w:w="3261" w:type="dxa"/>
            <w:noWrap/>
            <w:hideMark/>
          </w:tcPr>
          <w:p w14:paraId="30A24FBC" w14:textId="77777777" w:rsidR="00BC0A52" w:rsidRPr="00402720" w:rsidRDefault="00BC0A52" w:rsidP="003A130E">
            <w:pPr>
              <w:spacing w:after="0" w:line="240" w:lineRule="auto"/>
              <w:rPr>
                <w:rFonts w:ascii="Times New Roman" w:hAnsi="Times New Roman" w:cs="Times New Roman"/>
                <w:lang w:val="de-DE"/>
              </w:rPr>
            </w:pPr>
          </w:p>
        </w:tc>
        <w:tc>
          <w:tcPr>
            <w:tcW w:w="5528" w:type="dxa"/>
            <w:gridSpan w:val="2"/>
            <w:noWrap/>
            <w:vAlign w:val="center"/>
            <w:hideMark/>
          </w:tcPr>
          <w:p w14:paraId="5DD99FF5" w14:textId="77777777" w:rsidR="00BC0A52" w:rsidRPr="009737B5" w:rsidRDefault="00BC0A52" w:rsidP="00B55FF5">
            <w:pPr>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 xml:space="preserve">(p-Wert </w:t>
            </w:r>
            <w:r w:rsidR="00E32D5C" w:rsidRPr="009737B5">
              <w:rPr>
                <w:rFonts w:ascii="Times New Roman" w:hAnsi="Times New Roman" w:cs="Times New Roman"/>
                <w:lang w:val="de-DE"/>
              </w:rPr>
              <w:t>&lt;</w:t>
            </w:r>
            <w:r w:rsidR="003331EC" w:rsidRPr="009737B5">
              <w:rPr>
                <w:rFonts w:ascii="Times New Roman" w:hAnsi="Times New Roman" w:cs="Times New Roman"/>
                <w:lang w:val="de-DE"/>
              </w:rPr>
              <w:t xml:space="preserve"> </w:t>
            </w:r>
            <w:r w:rsidRPr="009737B5">
              <w:rPr>
                <w:rFonts w:ascii="Times New Roman" w:hAnsi="Times New Roman" w:cs="Times New Roman"/>
                <w:lang w:val="de-DE"/>
              </w:rPr>
              <w:t>0,0001)</w:t>
            </w:r>
          </w:p>
        </w:tc>
      </w:tr>
    </w:tbl>
    <w:p w14:paraId="5727C517" w14:textId="652C9003" w:rsidR="00AF337C" w:rsidRPr="009737B5" w:rsidRDefault="006C4170" w:rsidP="003A130E">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vertAlign w:val="superscript"/>
          <w:lang w:val="de-DE"/>
        </w:rPr>
        <w:t>a</w:t>
      </w:r>
      <w:r w:rsidRPr="009737B5">
        <w:rPr>
          <w:rFonts w:ascii="Times New Roman" w:hAnsi="Times New Roman" w:cs="Times New Roman"/>
          <w:sz w:val="20"/>
          <w:szCs w:val="20"/>
          <w:lang w:val="de-DE"/>
        </w:rPr>
        <w:tab/>
      </w:r>
      <w:r w:rsidR="00AF337C" w:rsidRPr="009737B5">
        <w:rPr>
          <w:rFonts w:ascii="Times New Roman" w:hAnsi="Times New Roman" w:cs="Times New Roman"/>
          <w:sz w:val="20"/>
          <w:szCs w:val="20"/>
          <w:lang w:val="de-DE"/>
        </w:rPr>
        <w:t>10</w:t>
      </w:r>
      <w:r w:rsidR="00AB26B9" w:rsidRPr="009737B5">
        <w:rPr>
          <w:rFonts w:ascii="Times New Roman" w:hAnsi="Times New Roman" w:cs="Times New Roman"/>
          <w:sz w:val="20"/>
          <w:szCs w:val="20"/>
          <w:lang w:val="de-DE"/>
        </w:rPr>
        <w:t> mg</w:t>
      </w:r>
      <w:r w:rsidR="00AF337C" w:rsidRPr="009737B5">
        <w:rPr>
          <w:rFonts w:ascii="Times New Roman" w:hAnsi="Times New Roman" w:cs="Times New Roman"/>
          <w:sz w:val="20"/>
          <w:szCs w:val="20"/>
          <w:lang w:val="de-DE"/>
        </w:rPr>
        <w:t>/kg alle 2</w:t>
      </w:r>
      <w:r w:rsidR="00A36C33">
        <w:rPr>
          <w:rFonts w:ascii="Times New Roman" w:hAnsi="Times New Roman" w:cs="Times New Roman"/>
          <w:sz w:val="20"/>
          <w:szCs w:val="20"/>
          <w:lang w:val="de-DE"/>
        </w:rPr>
        <w:t> </w:t>
      </w:r>
      <w:r w:rsidR="00AF337C" w:rsidRPr="009737B5">
        <w:rPr>
          <w:rFonts w:ascii="Times New Roman" w:hAnsi="Times New Roman" w:cs="Times New Roman"/>
          <w:sz w:val="20"/>
          <w:szCs w:val="20"/>
          <w:lang w:val="de-DE"/>
        </w:rPr>
        <w:t>Wochen</w:t>
      </w:r>
      <w:r w:rsidRPr="009737B5">
        <w:rPr>
          <w:rFonts w:ascii="Times New Roman" w:hAnsi="Times New Roman" w:cs="Times New Roman"/>
          <w:sz w:val="20"/>
          <w:szCs w:val="20"/>
          <w:lang w:val="de-DE"/>
        </w:rPr>
        <w:t>.</w:t>
      </w:r>
    </w:p>
    <w:p w14:paraId="2BC0ED28" w14:textId="77777777" w:rsidR="00AF337C" w:rsidRPr="009737B5" w:rsidRDefault="00AF337C" w:rsidP="003A130E">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b</w:t>
      </w:r>
      <w:r w:rsidRPr="009737B5">
        <w:rPr>
          <w:rFonts w:ascii="Times New Roman" w:hAnsi="Times New Roman" w:cs="Times New Roman"/>
          <w:sz w:val="20"/>
          <w:szCs w:val="20"/>
          <w:lang w:val="de-DE"/>
        </w:rPr>
        <w:tab/>
        <w:t>Relativ zum Kontrollarm</w:t>
      </w:r>
      <w:r w:rsidR="006C4170" w:rsidRPr="009737B5">
        <w:rPr>
          <w:rFonts w:ascii="Times New Roman" w:hAnsi="Times New Roman" w:cs="Times New Roman"/>
          <w:sz w:val="20"/>
          <w:szCs w:val="20"/>
          <w:lang w:val="de-DE"/>
        </w:rPr>
        <w:t>.</w:t>
      </w:r>
    </w:p>
    <w:p w14:paraId="2356E8C1" w14:textId="77777777" w:rsidR="00AF337C" w:rsidRPr="009737B5" w:rsidRDefault="00AF337C" w:rsidP="005F4D08">
      <w:pPr>
        <w:suppressAutoHyphens/>
        <w:spacing w:after="0" w:line="240" w:lineRule="auto"/>
        <w:rPr>
          <w:rFonts w:ascii="Times New Roman" w:hAnsi="Times New Roman" w:cs="Times New Roman"/>
          <w:lang w:val="de-DE"/>
        </w:rPr>
      </w:pPr>
    </w:p>
    <w:p w14:paraId="582C0A0E"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Zwischen den Patienten, die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als Monotherapie erhielten, und denjenigen, die mit FOLFOX-4 behandelt wurden, wurde kein signifikanter Unterschied bezüglich der Gesamtüberlebensdauer beobachtet. Das progressionsfreie Überleben und die objektive Ansprechrate waren im Studienarm mit </w:t>
      </w:r>
      <w:r w:rsidR="00A15C0A" w:rsidRPr="009737B5">
        <w:rPr>
          <w:rFonts w:ascii="Times New Roman" w:hAnsi="Times New Roman" w:cs="Times New Roman"/>
          <w:lang w:val="de-DE"/>
        </w:rPr>
        <w:t>Bevacizumab-</w:t>
      </w:r>
      <w:r w:rsidRPr="009737B5">
        <w:rPr>
          <w:rFonts w:ascii="Times New Roman" w:hAnsi="Times New Roman" w:cs="Times New Roman"/>
          <w:lang w:val="de-DE"/>
        </w:rPr>
        <w:t>Monotherapie niedriger als im FOLFOX-4-Arm.</w:t>
      </w:r>
    </w:p>
    <w:p w14:paraId="2C8AA20A" w14:textId="77777777" w:rsidR="00AF337C" w:rsidRPr="009737B5" w:rsidRDefault="00AF337C" w:rsidP="005F4D08">
      <w:pPr>
        <w:suppressAutoHyphens/>
        <w:spacing w:after="0" w:line="240" w:lineRule="auto"/>
        <w:rPr>
          <w:rFonts w:ascii="Times New Roman" w:hAnsi="Times New Roman" w:cs="Times New Roman"/>
          <w:lang w:val="de-DE"/>
        </w:rPr>
      </w:pPr>
    </w:p>
    <w:p w14:paraId="5D772323" w14:textId="77777777" w:rsidR="00AF337C" w:rsidRPr="009737B5" w:rsidRDefault="00AF337C" w:rsidP="003A130E">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ML18147</w:t>
      </w:r>
    </w:p>
    <w:p w14:paraId="3E8BD6D3" w14:textId="2FC3B3E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Hierbei handelte es sich um eine randomisierte, kontrollierte, offene Phase</w:t>
      </w:r>
      <w:r w:rsidR="00A36C33">
        <w:rPr>
          <w:rFonts w:ascii="Times New Roman" w:hAnsi="Times New Roman" w:cs="Times New Roman"/>
          <w:lang w:val="de-DE"/>
        </w:rPr>
        <w:t> </w:t>
      </w:r>
      <w:r w:rsidRPr="009737B5">
        <w:rPr>
          <w:rFonts w:ascii="Times New Roman" w:hAnsi="Times New Roman" w:cs="Times New Roman"/>
          <w:lang w:val="de-DE"/>
        </w:rPr>
        <w:t>III-Studie zur</w:t>
      </w:r>
      <w:r w:rsidR="006C4170" w:rsidRPr="009737B5">
        <w:rPr>
          <w:rFonts w:ascii="Times New Roman" w:hAnsi="Times New Roman" w:cs="Times New Roman"/>
          <w:lang w:val="de-DE"/>
        </w:rPr>
        <w:t xml:space="preserve"> </w:t>
      </w:r>
      <w:r w:rsidRPr="009737B5">
        <w:rPr>
          <w:rFonts w:ascii="Times New Roman" w:hAnsi="Times New Roman" w:cs="Times New Roman"/>
          <w:lang w:val="de-DE"/>
        </w:rPr>
        <w:t xml:space="preserve">Untersuchung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5,0</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alle 2</w:t>
      </w:r>
      <w:r w:rsidR="00A36C33">
        <w:rPr>
          <w:rFonts w:ascii="Times New Roman" w:hAnsi="Times New Roman" w:cs="Times New Roman"/>
          <w:lang w:val="de-DE"/>
        </w:rPr>
        <w:t> </w:t>
      </w:r>
      <w:r w:rsidRPr="009737B5">
        <w:rPr>
          <w:rFonts w:ascii="Times New Roman" w:hAnsi="Times New Roman" w:cs="Times New Roman"/>
          <w:lang w:val="de-DE"/>
        </w:rPr>
        <w:t>Wochen oder 7,5</w:t>
      </w:r>
      <w:r w:rsidR="00AB26B9" w:rsidRPr="009737B5">
        <w:rPr>
          <w:rFonts w:ascii="Times New Roman" w:hAnsi="Times New Roman" w:cs="Times New Roman"/>
          <w:lang w:val="de-DE"/>
        </w:rPr>
        <w:t> mg</w:t>
      </w:r>
      <w:r w:rsidRPr="009737B5">
        <w:rPr>
          <w:rFonts w:ascii="Times New Roman" w:hAnsi="Times New Roman" w:cs="Times New Roman"/>
          <w:lang w:val="de-DE"/>
        </w:rPr>
        <w:t>/kg Körpergewicht alle 3</w:t>
      </w:r>
      <w:r w:rsidR="00A36C33">
        <w:rPr>
          <w:rFonts w:ascii="Times New Roman" w:hAnsi="Times New Roman" w:cs="Times New Roman"/>
          <w:lang w:val="de-DE"/>
        </w:rPr>
        <w:t> </w:t>
      </w:r>
      <w:r w:rsidRPr="009737B5">
        <w:rPr>
          <w:rFonts w:ascii="Times New Roman" w:hAnsi="Times New Roman" w:cs="Times New Roman"/>
          <w:lang w:val="de-DE"/>
        </w:rPr>
        <w:t>Wochen in Kombination mit einer Fluoropyrimidin-haltigen Chemotherapie im Vergleich zu einer alleinigen Fluoropyrimidin-haltigen Chemotherapie bei Patienten mit metastasiertem Kolorektalkarzinom, deren Erkrankung während einer First-Line-Behandlung mit einem Bevacizumab-haltigen Therapieschema fortgeschritten war.</w:t>
      </w:r>
    </w:p>
    <w:p w14:paraId="15BD1FB7" w14:textId="77777777" w:rsidR="006C4170" w:rsidRPr="009737B5" w:rsidRDefault="006C4170" w:rsidP="005F4D08">
      <w:pPr>
        <w:suppressAutoHyphens/>
        <w:spacing w:after="0" w:line="240" w:lineRule="auto"/>
        <w:rPr>
          <w:rFonts w:ascii="Times New Roman" w:hAnsi="Times New Roman" w:cs="Times New Roman"/>
          <w:lang w:val="de-DE"/>
        </w:rPr>
      </w:pPr>
    </w:p>
    <w:p w14:paraId="137678C3" w14:textId="0D70E637" w:rsidR="00AF337C" w:rsidRPr="009737B5" w:rsidRDefault="00AF337C" w:rsidP="002A6C5D">
      <w:pPr>
        <w:suppressAutoHyphens/>
        <w:spacing w:after="0" w:line="240" w:lineRule="auto"/>
        <w:ind w:right="-1"/>
        <w:rPr>
          <w:rFonts w:ascii="Times New Roman" w:hAnsi="Times New Roman" w:cs="Times New Roman"/>
          <w:lang w:val="de-DE"/>
        </w:rPr>
      </w:pPr>
      <w:r w:rsidRPr="009737B5">
        <w:rPr>
          <w:rFonts w:ascii="Times New Roman" w:hAnsi="Times New Roman" w:cs="Times New Roman"/>
          <w:lang w:val="de-DE"/>
        </w:rPr>
        <w:t>Patienten mit histologisch bestätigtem metastasiertem Kolorektalkarzinom und fortschreitender</w:t>
      </w:r>
      <w:r w:rsidR="006C4170" w:rsidRPr="009737B5">
        <w:rPr>
          <w:rFonts w:ascii="Times New Roman" w:hAnsi="Times New Roman" w:cs="Times New Roman"/>
          <w:lang w:val="de-DE"/>
        </w:rPr>
        <w:t xml:space="preserve"> </w:t>
      </w:r>
      <w:r w:rsidRPr="009737B5">
        <w:rPr>
          <w:rFonts w:ascii="Times New Roman" w:hAnsi="Times New Roman" w:cs="Times New Roman"/>
          <w:lang w:val="de-DE"/>
        </w:rPr>
        <w:t>Erkrankung wurden innerhalb von 3</w:t>
      </w:r>
      <w:r w:rsidR="00A36C33">
        <w:rPr>
          <w:rFonts w:ascii="Times New Roman" w:hAnsi="Times New Roman" w:cs="Times New Roman"/>
          <w:lang w:val="de-DE"/>
        </w:rPr>
        <w:t> </w:t>
      </w:r>
      <w:r w:rsidRPr="009737B5">
        <w:rPr>
          <w:rFonts w:ascii="Times New Roman" w:hAnsi="Times New Roman" w:cs="Times New Roman"/>
          <w:lang w:val="de-DE"/>
        </w:rPr>
        <w:t>Monaten nach Absetzen der First-Line-Behandlung mit</w:t>
      </w:r>
      <w:r w:rsidR="006C4170" w:rsidRPr="009737B5">
        <w:rPr>
          <w:rFonts w:ascii="Times New Roman" w:hAnsi="Times New Roman" w:cs="Times New Roman"/>
          <w:lang w:val="de-DE"/>
        </w:rPr>
        <w:t xml:space="preserve"> </w:t>
      </w:r>
      <w:r w:rsidRPr="009737B5">
        <w:rPr>
          <w:rFonts w:ascii="Times New Roman" w:hAnsi="Times New Roman" w:cs="Times New Roman"/>
          <w:lang w:val="de-DE"/>
        </w:rPr>
        <w:t>Bevacizumab im Verhältnis</w:t>
      </w:r>
      <w:r w:rsidR="00A36C33">
        <w:rPr>
          <w:rFonts w:ascii="Times New Roman" w:hAnsi="Times New Roman" w:cs="Times New Roman"/>
          <w:lang w:val="de-DE"/>
        </w:rPr>
        <w:t> </w:t>
      </w:r>
      <w:r w:rsidRPr="009737B5">
        <w:rPr>
          <w:rFonts w:ascii="Times New Roman" w:hAnsi="Times New Roman" w:cs="Times New Roman"/>
          <w:lang w:val="de-DE"/>
        </w:rPr>
        <w:t>1:1 randomisiert einer Fluoropyrimidin/Oxaliplatin- oder</w:t>
      </w:r>
      <w:r w:rsidR="006C4170" w:rsidRPr="009737B5">
        <w:rPr>
          <w:rFonts w:ascii="Times New Roman" w:hAnsi="Times New Roman" w:cs="Times New Roman"/>
          <w:lang w:val="de-DE"/>
        </w:rPr>
        <w:t xml:space="preserve"> </w:t>
      </w:r>
      <w:r w:rsidRPr="009737B5">
        <w:rPr>
          <w:rFonts w:ascii="Times New Roman" w:hAnsi="Times New Roman" w:cs="Times New Roman"/>
          <w:lang w:val="de-DE"/>
        </w:rPr>
        <w:t>Fluoropyrimidin/Irinotecan-haltigen Chemotherapie mit oder ohne Bevacizumab zugewiesen. Die Chemotherapie wurde dabei gegenüber derjenigen, die in der First-Line-Behandlung angewendet worden war, umgestellt. Die Behandlung wurde bis zur Progression oder bis zum Auftreten nicht</w:t>
      </w:r>
      <w:r w:rsidR="008D2C0C" w:rsidRPr="009737B5">
        <w:rPr>
          <w:rFonts w:ascii="Times New Roman" w:hAnsi="Times New Roman" w:cs="Times New Roman"/>
          <w:lang w:val="de-DE"/>
        </w:rPr>
        <w:t>-</w:t>
      </w:r>
      <w:r w:rsidRPr="009737B5">
        <w:rPr>
          <w:rFonts w:ascii="Times New Roman" w:hAnsi="Times New Roman" w:cs="Times New Roman"/>
          <w:lang w:val="de-DE"/>
        </w:rPr>
        <w:t xml:space="preserve"> tolerierbarer Nebenwirkungen fortgesetzt. Primärer Endpunkt war das Gesamtüberleben, das als die Zeitspanne von der Randomisierung bis zum Tod jeglicher Ursache definiert wurde.</w:t>
      </w:r>
    </w:p>
    <w:p w14:paraId="43039D0B" w14:textId="77777777" w:rsidR="006C4170" w:rsidRPr="009737B5" w:rsidRDefault="006C4170" w:rsidP="005F4D08">
      <w:pPr>
        <w:suppressAutoHyphens/>
        <w:spacing w:after="0" w:line="240" w:lineRule="auto"/>
        <w:rPr>
          <w:rFonts w:ascii="Times New Roman" w:hAnsi="Times New Roman" w:cs="Times New Roman"/>
          <w:lang w:val="de-DE"/>
        </w:rPr>
      </w:pPr>
    </w:p>
    <w:p w14:paraId="7CAC7E6B" w14:textId="10AA6065"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wurden insgesamt 820</w:t>
      </w:r>
      <w:r w:rsidR="00A36C33">
        <w:rPr>
          <w:rFonts w:ascii="Times New Roman" w:hAnsi="Times New Roman" w:cs="Times New Roman"/>
          <w:lang w:val="de-DE"/>
        </w:rPr>
        <w:t> </w:t>
      </w:r>
      <w:r w:rsidRPr="009737B5">
        <w:rPr>
          <w:rFonts w:ascii="Times New Roman" w:hAnsi="Times New Roman" w:cs="Times New Roman"/>
          <w:lang w:val="de-DE"/>
        </w:rPr>
        <w:t>Patienten randomisiert. Die Zugabe von Bevacizumab zu der</w:t>
      </w:r>
      <w:r w:rsidR="006C4170" w:rsidRPr="009737B5">
        <w:rPr>
          <w:rFonts w:ascii="Times New Roman" w:hAnsi="Times New Roman" w:cs="Times New Roman"/>
          <w:lang w:val="de-DE"/>
        </w:rPr>
        <w:t xml:space="preserve"> </w:t>
      </w:r>
      <w:r w:rsidRPr="009737B5">
        <w:rPr>
          <w:rFonts w:ascii="Times New Roman" w:hAnsi="Times New Roman" w:cs="Times New Roman"/>
          <w:lang w:val="de-DE"/>
        </w:rPr>
        <w:t>Fluoropyrimidin-haltigen Chemotherapie führte zu einer statistisch signifikanten Verlängerung des</w:t>
      </w:r>
      <w:r w:rsidR="006C4170" w:rsidRPr="009737B5">
        <w:rPr>
          <w:rFonts w:ascii="Times New Roman" w:hAnsi="Times New Roman" w:cs="Times New Roman"/>
          <w:lang w:val="de-DE"/>
        </w:rPr>
        <w:t xml:space="preserve"> </w:t>
      </w:r>
      <w:r w:rsidRPr="009737B5">
        <w:rPr>
          <w:rFonts w:ascii="Times New Roman" w:hAnsi="Times New Roman" w:cs="Times New Roman"/>
          <w:lang w:val="de-DE"/>
        </w:rPr>
        <w:lastRenderedPageBreak/>
        <w:t>Gesamtüberlebens bei Patienten mit metastasiertem Kolorektalkarzinom, deren Erkrankung nach First-Line-Behandlung mit einem Bevacizumab</w:t>
      </w:r>
      <w:r w:rsidR="008D2C0C" w:rsidRPr="009737B5">
        <w:rPr>
          <w:rFonts w:ascii="Times New Roman" w:hAnsi="Times New Roman" w:cs="Times New Roman"/>
          <w:lang w:val="de-DE"/>
        </w:rPr>
        <w:t>-</w:t>
      </w:r>
      <w:r w:rsidRPr="009737B5">
        <w:rPr>
          <w:rFonts w:ascii="Times New Roman" w:hAnsi="Times New Roman" w:cs="Times New Roman"/>
          <w:lang w:val="de-DE"/>
        </w:rPr>
        <w:t>enthaltenden Therapieschema fortgeschritten war (ITT</w:t>
      </w:r>
      <w:r w:rsidR="003A130E" w:rsidRPr="009737B5">
        <w:rPr>
          <w:rFonts w:ascii="Times New Roman" w:hAnsi="Times New Roman" w:cs="Times New Roman"/>
          <w:lang w:val="de-DE"/>
        </w:rPr>
        <w:t> </w:t>
      </w:r>
      <w:r w:rsidRPr="009737B5">
        <w:rPr>
          <w:rFonts w:ascii="Times New Roman" w:hAnsi="Times New Roman" w:cs="Times New Roman"/>
          <w:lang w:val="de-DE"/>
        </w:rPr>
        <w:t>=</w:t>
      </w:r>
      <w:r w:rsidR="003A130E" w:rsidRPr="009737B5">
        <w:rPr>
          <w:rFonts w:ascii="Times New Roman" w:hAnsi="Times New Roman" w:cs="Times New Roman"/>
          <w:lang w:val="de-DE"/>
        </w:rPr>
        <w:t> </w:t>
      </w:r>
      <w:r w:rsidRPr="009737B5">
        <w:rPr>
          <w:rFonts w:ascii="Times New Roman" w:hAnsi="Times New Roman" w:cs="Times New Roman"/>
          <w:lang w:val="de-DE"/>
        </w:rPr>
        <w:t>819) (siehe Tabelle</w:t>
      </w:r>
      <w:r w:rsidR="00A36C33">
        <w:rPr>
          <w:rFonts w:ascii="Times New Roman" w:hAnsi="Times New Roman" w:cs="Times New Roman"/>
          <w:lang w:val="de-DE"/>
        </w:rPr>
        <w:t> </w:t>
      </w:r>
      <w:r w:rsidRPr="009737B5">
        <w:rPr>
          <w:rFonts w:ascii="Times New Roman" w:hAnsi="Times New Roman" w:cs="Times New Roman"/>
          <w:lang w:val="de-DE"/>
        </w:rPr>
        <w:t>9).</w:t>
      </w:r>
    </w:p>
    <w:p w14:paraId="007ABD65" w14:textId="77777777" w:rsidR="00AF337C" w:rsidRPr="009737B5" w:rsidRDefault="00AF337C" w:rsidP="005F4D08">
      <w:pPr>
        <w:suppressAutoHyphens/>
        <w:spacing w:after="0" w:line="240" w:lineRule="auto"/>
        <w:rPr>
          <w:rFonts w:ascii="Times New Roman" w:hAnsi="Times New Roman" w:cs="Times New Roman"/>
          <w:lang w:val="de-DE"/>
        </w:rPr>
      </w:pPr>
    </w:p>
    <w:p w14:paraId="7FC07C2B" w14:textId="166B0C58" w:rsidR="00AF337C" w:rsidRPr="009737B5" w:rsidRDefault="00AF337C" w:rsidP="009F2CA9">
      <w:pPr>
        <w:keepNext/>
        <w:keepLines/>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A36C33">
        <w:rPr>
          <w:rFonts w:ascii="Times New Roman" w:hAnsi="Times New Roman" w:cs="Times New Roman"/>
          <w:b/>
          <w:lang w:val="de-DE"/>
        </w:rPr>
        <w:t> </w:t>
      </w:r>
      <w:r w:rsidRPr="009737B5">
        <w:rPr>
          <w:rFonts w:ascii="Times New Roman" w:hAnsi="Times New Roman" w:cs="Times New Roman"/>
          <w:b/>
          <w:lang w:val="de-DE"/>
        </w:rPr>
        <w:t>9</w:t>
      </w:r>
      <w:r w:rsidR="003A130E" w:rsidRPr="009737B5">
        <w:rPr>
          <w:rFonts w:ascii="Times New Roman" w:hAnsi="Times New Roman" w:cs="Times New Roman"/>
          <w:b/>
          <w:lang w:val="de-DE"/>
        </w:rPr>
        <w:t>.</w:t>
      </w:r>
      <w:r w:rsidRPr="009737B5">
        <w:rPr>
          <w:rFonts w:ascii="Times New Roman" w:hAnsi="Times New Roman" w:cs="Times New Roman"/>
          <w:b/>
          <w:lang w:val="de-DE"/>
        </w:rPr>
        <w:t xml:space="preserve"> Wirksamkeitsergebnisse der Studie</w:t>
      </w:r>
      <w:r w:rsidR="00A36C33">
        <w:rPr>
          <w:rFonts w:ascii="Times New Roman" w:hAnsi="Times New Roman" w:cs="Times New Roman"/>
          <w:b/>
          <w:lang w:val="de-DE"/>
        </w:rPr>
        <w:t> </w:t>
      </w:r>
      <w:r w:rsidR="00322E40" w:rsidRPr="009737B5">
        <w:rPr>
          <w:rFonts w:ascii="Times New Roman" w:hAnsi="Times New Roman" w:cs="Times New Roman"/>
          <w:b/>
          <w:lang w:val="de-DE"/>
        </w:rPr>
        <w:t>ML</w:t>
      </w:r>
      <w:r w:rsidRPr="009737B5">
        <w:rPr>
          <w:rFonts w:ascii="Times New Roman" w:hAnsi="Times New Roman" w:cs="Times New Roman"/>
          <w:b/>
          <w:lang w:val="de-DE"/>
        </w:rPr>
        <w:t>18147 (ITT-Population)</w:t>
      </w:r>
    </w:p>
    <w:p w14:paraId="16686B78" w14:textId="77777777" w:rsidR="00C02DF1" w:rsidRPr="009737B5" w:rsidRDefault="00C02DF1" w:rsidP="009F2CA9">
      <w:pPr>
        <w:keepNext/>
        <w:keepLines/>
        <w:suppressAutoHyphens/>
        <w:spacing w:after="0" w:line="240" w:lineRule="auto"/>
        <w:rPr>
          <w:rFonts w:ascii="Times New Roman" w:hAnsi="Times New Roman" w:cs="Times New Roman"/>
          <w:lang w:val="de-DE"/>
        </w:rPr>
      </w:pPr>
    </w:p>
    <w:tbl>
      <w:tblPr>
        <w:tblW w:w="9072" w:type="dxa"/>
        <w:tblInd w:w="-5" w:type="dxa"/>
        <w:tblLayout w:type="fixed"/>
        <w:tblCellMar>
          <w:top w:w="51" w:type="dxa"/>
          <w:right w:w="115" w:type="dxa"/>
        </w:tblCellMar>
        <w:tblLook w:val="04A0" w:firstRow="1" w:lastRow="0" w:firstColumn="1" w:lastColumn="0" w:noHBand="0" w:noVBand="1"/>
      </w:tblPr>
      <w:tblGrid>
        <w:gridCol w:w="2694"/>
        <w:gridCol w:w="3118"/>
        <w:gridCol w:w="3260"/>
      </w:tblGrid>
      <w:tr w:rsidR="00B1771F" w:rsidRPr="00402720" w14:paraId="2FC07A35" w14:textId="77777777" w:rsidTr="002C56E3">
        <w:trPr>
          <w:trHeight w:val="20"/>
          <w:tblHeader/>
        </w:trPr>
        <w:tc>
          <w:tcPr>
            <w:tcW w:w="2694" w:type="dxa"/>
            <w:tcBorders>
              <w:top w:val="single" w:sz="4" w:space="0" w:color="000000"/>
              <w:left w:val="single" w:sz="4" w:space="0" w:color="000000"/>
              <w:bottom w:val="single" w:sz="4" w:space="0" w:color="000000"/>
              <w:right w:val="single" w:sz="4" w:space="0" w:color="000000"/>
            </w:tcBorders>
          </w:tcPr>
          <w:p w14:paraId="3EEFA48C" w14:textId="77777777" w:rsidR="00B1771F" w:rsidRPr="00402720" w:rsidRDefault="00B1771F" w:rsidP="009F2CA9">
            <w:pPr>
              <w:keepNext/>
              <w:keepLines/>
              <w:spacing w:after="0" w:line="240" w:lineRule="auto"/>
              <w:jc w:val="center"/>
              <w:rPr>
                <w:rFonts w:ascii="Times New Roman" w:hAnsi="Times New Roman" w:cs="Times New Roman"/>
                <w:b/>
                <w:lang w:val="de-DE"/>
              </w:rPr>
            </w:pPr>
          </w:p>
        </w:tc>
        <w:tc>
          <w:tcPr>
            <w:tcW w:w="6378" w:type="dxa"/>
            <w:gridSpan w:val="2"/>
            <w:tcBorders>
              <w:top w:val="single" w:sz="4" w:space="0" w:color="000000"/>
              <w:left w:val="single" w:sz="4" w:space="0" w:color="000000"/>
              <w:bottom w:val="single" w:sz="4" w:space="0" w:color="000000"/>
              <w:right w:val="single" w:sz="4" w:space="0" w:color="000000"/>
            </w:tcBorders>
          </w:tcPr>
          <w:p w14:paraId="0A88736B" w14:textId="77777777" w:rsidR="00B1771F" w:rsidRPr="00402720" w:rsidRDefault="00B1771F" w:rsidP="009F2CA9">
            <w:pPr>
              <w:keepNext/>
              <w:keepLines/>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ML18147</w:t>
            </w:r>
          </w:p>
        </w:tc>
      </w:tr>
      <w:tr w:rsidR="00B1771F" w:rsidRPr="00DA11F8" w14:paraId="399BF410" w14:textId="77777777" w:rsidTr="002C56E3">
        <w:trPr>
          <w:trHeight w:val="20"/>
          <w:tblHeader/>
        </w:trPr>
        <w:tc>
          <w:tcPr>
            <w:tcW w:w="2694" w:type="dxa"/>
            <w:tcBorders>
              <w:top w:val="single" w:sz="4" w:space="0" w:color="000000"/>
              <w:left w:val="single" w:sz="4" w:space="0" w:color="000000"/>
              <w:bottom w:val="single" w:sz="4" w:space="0" w:color="000000"/>
              <w:right w:val="single" w:sz="4" w:space="0" w:color="000000"/>
            </w:tcBorders>
            <w:vAlign w:val="center"/>
          </w:tcPr>
          <w:p w14:paraId="061D0EC9" w14:textId="77777777" w:rsidR="00B1771F" w:rsidRPr="00402720" w:rsidRDefault="00B1771F" w:rsidP="009F2CA9">
            <w:pPr>
              <w:keepNext/>
              <w:keepLines/>
              <w:spacing w:after="0" w:line="240" w:lineRule="auto"/>
              <w:jc w:val="center"/>
              <w:rPr>
                <w:rFonts w:ascii="Times New Roman" w:hAnsi="Times New Roman" w:cs="Times New Roman"/>
                <w:b/>
                <w:lang w:val="de-DE"/>
              </w:rPr>
            </w:pPr>
          </w:p>
        </w:tc>
        <w:tc>
          <w:tcPr>
            <w:tcW w:w="3118" w:type="dxa"/>
            <w:tcBorders>
              <w:top w:val="single" w:sz="4" w:space="0" w:color="000000"/>
              <w:left w:val="single" w:sz="4" w:space="0" w:color="000000"/>
              <w:bottom w:val="single" w:sz="4" w:space="0" w:color="000000"/>
              <w:right w:val="single" w:sz="4" w:space="0" w:color="000000"/>
            </w:tcBorders>
          </w:tcPr>
          <w:p w14:paraId="23CCEC18" w14:textId="77777777" w:rsidR="002A6C5D" w:rsidRPr="00E66954" w:rsidRDefault="00B1771F" w:rsidP="009F2CA9">
            <w:pPr>
              <w:keepNext/>
              <w:keepLines/>
              <w:spacing w:after="0" w:line="240" w:lineRule="auto"/>
              <w:jc w:val="center"/>
              <w:rPr>
                <w:rFonts w:ascii="Times New Roman" w:hAnsi="Times New Roman" w:cs="Times New Roman"/>
                <w:b/>
                <w:lang w:val="de-DE"/>
              </w:rPr>
            </w:pPr>
            <w:r w:rsidRPr="00E66954">
              <w:rPr>
                <w:rFonts w:ascii="Times New Roman" w:hAnsi="Times New Roman" w:cs="Times New Roman"/>
                <w:b/>
                <w:lang w:val="de-DE"/>
              </w:rPr>
              <w:t>Fluoropyrimidin/Irinotecan- oder</w:t>
            </w:r>
          </w:p>
          <w:p w14:paraId="078A1B9B" w14:textId="77777777" w:rsidR="00157F22" w:rsidRPr="00E66954" w:rsidRDefault="00B1771F" w:rsidP="009F2CA9">
            <w:pPr>
              <w:keepNext/>
              <w:keepLines/>
              <w:spacing w:after="0" w:line="240" w:lineRule="auto"/>
              <w:jc w:val="center"/>
              <w:rPr>
                <w:rFonts w:ascii="Times New Roman" w:hAnsi="Times New Roman" w:cs="Times New Roman"/>
                <w:b/>
                <w:lang w:val="de-DE"/>
              </w:rPr>
            </w:pPr>
            <w:r w:rsidRPr="00E66954">
              <w:rPr>
                <w:rFonts w:ascii="Times New Roman" w:hAnsi="Times New Roman" w:cs="Times New Roman"/>
                <w:b/>
                <w:lang w:val="de-DE"/>
              </w:rPr>
              <w:t>Fluoropyrimidin/O</w:t>
            </w:r>
            <w:r w:rsidR="003A130E" w:rsidRPr="00E66954">
              <w:rPr>
                <w:rFonts w:ascii="Times New Roman" w:hAnsi="Times New Roman" w:cs="Times New Roman"/>
                <w:b/>
                <w:lang w:val="de-DE"/>
              </w:rPr>
              <w:t>xaliplatin</w:t>
            </w:r>
            <w:r w:rsidR="00637163" w:rsidRPr="00E66954">
              <w:rPr>
                <w:rFonts w:ascii="Times New Roman" w:hAnsi="Times New Roman" w:cs="Times New Roman"/>
                <w:b/>
                <w:lang w:val="de-DE"/>
              </w:rPr>
              <w:t>-</w:t>
            </w:r>
          </w:p>
          <w:p w14:paraId="5851B657" w14:textId="77777777" w:rsidR="00B1771F" w:rsidRPr="00402720" w:rsidRDefault="003A130E" w:rsidP="009F2CA9">
            <w:pPr>
              <w:keepNext/>
              <w:keepLines/>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haltige Chemotherapie</w:t>
            </w:r>
          </w:p>
        </w:tc>
        <w:tc>
          <w:tcPr>
            <w:tcW w:w="3260" w:type="dxa"/>
            <w:tcBorders>
              <w:top w:val="single" w:sz="4" w:space="0" w:color="000000"/>
              <w:left w:val="single" w:sz="4" w:space="0" w:color="000000"/>
              <w:bottom w:val="single" w:sz="4" w:space="0" w:color="000000"/>
              <w:right w:val="single" w:sz="4" w:space="0" w:color="000000"/>
            </w:tcBorders>
          </w:tcPr>
          <w:p w14:paraId="51CD07D0" w14:textId="77777777" w:rsidR="002A6C5D" w:rsidRPr="00E66954" w:rsidRDefault="00C706FB" w:rsidP="009F2CA9">
            <w:pPr>
              <w:keepNext/>
              <w:keepLines/>
              <w:spacing w:after="0" w:line="240" w:lineRule="auto"/>
              <w:jc w:val="center"/>
              <w:rPr>
                <w:rFonts w:ascii="Times New Roman" w:hAnsi="Times New Roman" w:cs="Times New Roman"/>
                <w:b/>
                <w:lang w:val="de-DE"/>
              </w:rPr>
            </w:pPr>
            <w:r w:rsidRPr="00E66954">
              <w:rPr>
                <w:rFonts w:ascii="Times New Roman" w:hAnsi="Times New Roman" w:cs="Times New Roman"/>
                <w:b/>
                <w:lang w:val="de-DE"/>
              </w:rPr>
              <w:t>Fluoropyrimidin/Irinotecan-</w:t>
            </w:r>
            <w:r w:rsidR="00B1771F" w:rsidRPr="00E66954">
              <w:rPr>
                <w:rFonts w:ascii="Times New Roman" w:hAnsi="Times New Roman" w:cs="Times New Roman"/>
                <w:b/>
                <w:lang w:val="de-DE"/>
              </w:rPr>
              <w:t>oder</w:t>
            </w:r>
          </w:p>
          <w:p w14:paraId="41B19918" w14:textId="77777777" w:rsidR="00157F22" w:rsidRPr="00E66954" w:rsidRDefault="00B1771F" w:rsidP="009F2CA9">
            <w:pPr>
              <w:keepNext/>
              <w:keepLines/>
              <w:spacing w:after="0" w:line="240" w:lineRule="auto"/>
              <w:jc w:val="center"/>
              <w:rPr>
                <w:rFonts w:ascii="Times New Roman" w:hAnsi="Times New Roman" w:cs="Times New Roman"/>
                <w:b/>
                <w:lang w:val="de-DE"/>
              </w:rPr>
            </w:pPr>
            <w:r w:rsidRPr="00E66954">
              <w:rPr>
                <w:rFonts w:ascii="Times New Roman" w:hAnsi="Times New Roman" w:cs="Times New Roman"/>
                <w:b/>
                <w:lang w:val="de-DE"/>
              </w:rPr>
              <w:t>Fluoropyrimidin/Oxaliplatin</w:t>
            </w:r>
            <w:r w:rsidR="00637163" w:rsidRPr="00E66954">
              <w:rPr>
                <w:rFonts w:ascii="Times New Roman" w:hAnsi="Times New Roman" w:cs="Times New Roman"/>
                <w:b/>
                <w:lang w:val="de-DE"/>
              </w:rPr>
              <w:t>-</w:t>
            </w:r>
          </w:p>
          <w:p w14:paraId="554B0216" w14:textId="77777777" w:rsidR="00B1771F" w:rsidRPr="00402720" w:rsidRDefault="00B1771F" w:rsidP="009F2CA9">
            <w:pPr>
              <w:keepNext/>
              <w:keepLines/>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haltige Chemotherapie</w:t>
            </w:r>
            <w:r w:rsidR="009F2CA9" w:rsidRPr="00402720">
              <w:rPr>
                <w:rFonts w:ascii="Times New Roman" w:hAnsi="Times New Roman" w:cs="Times New Roman"/>
                <w:b/>
                <w:lang w:val="de-DE"/>
              </w:rPr>
              <w:t xml:space="preserve"> </w:t>
            </w:r>
            <w:r w:rsidRPr="00402720">
              <w:rPr>
                <w:rFonts w:ascii="Times New Roman" w:hAnsi="Times New Roman" w:cs="Times New Roman"/>
                <w:b/>
                <w:lang w:val="de-DE"/>
              </w:rPr>
              <w:t xml:space="preserve">+ </w:t>
            </w:r>
            <w:r w:rsidR="00A15C0A" w:rsidRPr="00402720">
              <w:rPr>
                <w:rFonts w:ascii="Times New Roman" w:hAnsi="Times New Roman" w:cs="Times New Roman"/>
                <w:b/>
                <w:lang w:val="de-DE"/>
              </w:rPr>
              <w:t>Bevacizumab</w:t>
            </w:r>
            <w:r w:rsidRPr="00402720">
              <w:rPr>
                <w:rFonts w:ascii="Times New Roman" w:hAnsi="Times New Roman" w:cs="Times New Roman"/>
                <w:b/>
                <w:vertAlign w:val="superscript"/>
                <w:lang w:val="de-DE"/>
              </w:rPr>
              <w:t>a</w:t>
            </w:r>
          </w:p>
        </w:tc>
      </w:tr>
      <w:tr w:rsidR="00B1771F" w:rsidRPr="00402720" w14:paraId="3A67E439" w14:textId="77777777" w:rsidTr="002C56E3">
        <w:trPr>
          <w:trHeight w:val="20"/>
        </w:trPr>
        <w:tc>
          <w:tcPr>
            <w:tcW w:w="2694" w:type="dxa"/>
            <w:tcBorders>
              <w:top w:val="single" w:sz="4" w:space="0" w:color="000000"/>
              <w:left w:val="single" w:sz="4" w:space="0" w:color="000000"/>
              <w:bottom w:val="single" w:sz="4" w:space="0" w:color="000000"/>
              <w:right w:val="single" w:sz="4" w:space="0" w:color="000000"/>
            </w:tcBorders>
          </w:tcPr>
          <w:p w14:paraId="2EEEDD22" w14:textId="77777777" w:rsidR="00B1771F" w:rsidRPr="00402720" w:rsidRDefault="00B1771F" w:rsidP="002A6C5D">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Anzahl Patienten </w:t>
            </w:r>
          </w:p>
        </w:tc>
        <w:tc>
          <w:tcPr>
            <w:tcW w:w="3118" w:type="dxa"/>
            <w:tcBorders>
              <w:top w:val="single" w:sz="4" w:space="0" w:color="000000"/>
              <w:left w:val="single" w:sz="4" w:space="0" w:color="000000"/>
              <w:bottom w:val="single" w:sz="4" w:space="0" w:color="000000"/>
              <w:right w:val="single" w:sz="4" w:space="0" w:color="000000"/>
            </w:tcBorders>
          </w:tcPr>
          <w:p w14:paraId="1CA63A98" w14:textId="77777777" w:rsidR="00B1771F" w:rsidRPr="00402720" w:rsidRDefault="00B1771F" w:rsidP="009F2CA9">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410</w:t>
            </w:r>
          </w:p>
        </w:tc>
        <w:tc>
          <w:tcPr>
            <w:tcW w:w="3260" w:type="dxa"/>
            <w:tcBorders>
              <w:top w:val="single" w:sz="4" w:space="0" w:color="000000"/>
              <w:left w:val="single" w:sz="4" w:space="0" w:color="000000"/>
              <w:bottom w:val="single" w:sz="4" w:space="0" w:color="000000"/>
              <w:right w:val="single" w:sz="4" w:space="0" w:color="000000"/>
            </w:tcBorders>
          </w:tcPr>
          <w:p w14:paraId="30229982" w14:textId="77777777" w:rsidR="00B1771F" w:rsidRPr="00402720" w:rsidRDefault="00B1771F" w:rsidP="009F2CA9">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409</w:t>
            </w:r>
          </w:p>
        </w:tc>
      </w:tr>
      <w:tr w:rsidR="00B1771F" w:rsidRPr="00402720" w14:paraId="5FD4A61D" w14:textId="77777777" w:rsidTr="002C56E3">
        <w:trPr>
          <w:trHeight w:val="20"/>
        </w:trPr>
        <w:tc>
          <w:tcPr>
            <w:tcW w:w="2694" w:type="dxa"/>
            <w:tcBorders>
              <w:top w:val="single" w:sz="4" w:space="0" w:color="000000"/>
              <w:left w:val="single" w:sz="4" w:space="0" w:color="000000"/>
              <w:bottom w:val="single" w:sz="4" w:space="0" w:color="000000"/>
              <w:right w:val="single" w:sz="4" w:space="0" w:color="000000"/>
            </w:tcBorders>
          </w:tcPr>
          <w:p w14:paraId="3EAB29EF" w14:textId="77777777" w:rsidR="00B1771F" w:rsidRPr="00402720" w:rsidRDefault="00B1771F" w:rsidP="002A6C5D">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Gesamtüberleben </w:t>
            </w:r>
          </w:p>
        </w:tc>
        <w:tc>
          <w:tcPr>
            <w:tcW w:w="6378" w:type="dxa"/>
            <w:gridSpan w:val="2"/>
            <w:tcBorders>
              <w:top w:val="single" w:sz="4" w:space="0" w:color="000000"/>
              <w:left w:val="single" w:sz="4" w:space="0" w:color="000000"/>
              <w:bottom w:val="single" w:sz="4" w:space="0" w:color="000000"/>
              <w:right w:val="single" w:sz="4" w:space="0" w:color="000000"/>
            </w:tcBorders>
          </w:tcPr>
          <w:p w14:paraId="47749DC0" w14:textId="77777777" w:rsidR="00B1771F" w:rsidRPr="00402720" w:rsidRDefault="00B1771F" w:rsidP="009F2CA9">
            <w:pPr>
              <w:keepNext/>
              <w:keepLines/>
              <w:spacing w:after="0" w:line="240" w:lineRule="auto"/>
              <w:jc w:val="center"/>
              <w:rPr>
                <w:rFonts w:ascii="Times New Roman" w:hAnsi="Times New Roman" w:cs="Times New Roman"/>
                <w:lang w:val="de-DE"/>
              </w:rPr>
            </w:pPr>
          </w:p>
        </w:tc>
      </w:tr>
      <w:tr w:rsidR="00B1771F" w:rsidRPr="00402720" w14:paraId="186AEFCD" w14:textId="77777777" w:rsidTr="002C56E3">
        <w:trPr>
          <w:trHeight w:val="20"/>
        </w:trPr>
        <w:tc>
          <w:tcPr>
            <w:tcW w:w="2694" w:type="dxa"/>
            <w:tcBorders>
              <w:top w:val="single" w:sz="4" w:space="0" w:color="000000"/>
              <w:left w:val="single" w:sz="4" w:space="0" w:color="000000"/>
              <w:bottom w:val="single" w:sz="4" w:space="0" w:color="000000"/>
              <w:right w:val="single" w:sz="4" w:space="0" w:color="000000"/>
            </w:tcBorders>
          </w:tcPr>
          <w:p w14:paraId="7BF59ECB" w14:textId="77777777" w:rsidR="00B1771F" w:rsidRPr="00402720" w:rsidRDefault="002A6C5D" w:rsidP="002A6C5D">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 (Monate)</w:t>
            </w:r>
          </w:p>
        </w:tc>
        <w:tc>
          <w:tcPr>
            <w:tcW w:w="3118" w:type="dxa"/>
            <w:tcBorders>
              <w:top w:val="single" w:sz="4" w:space="0" w:color="000000"/>
              <w:left w:val="single" w:sz="4" w:space="0" w:color="000000"/>
              <w:bottom w:val="single" w:sz="4" w:space="0" w:color="000000"/>
              <w:right w:val="single" w:sz="4" w:space="0" w:color="000000"/>
            </w:tcBorders>
          </w:tcPr>
          <w:p w14:paraId="18D9C00B" w14:textId="77777777" w:rsidR="00B1771F" w:rsidRPr="00402720" w:rsidRDefault="00B1771F" w:rsidP="009F2CA9">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9,8</w:t>
            </w:r>
          </w:p>
        </w:tc>
        <w:tc>
          <w:tcPr>
            <w:tcW w:w="3260" w:type="dxa"/>
            <w:tcBorders>
              <w:top w:val="single" w:sz="4" w:space="0" w:color="000000"/>
              <w:left w:val="single" w:sz="4" w:space="0" w:color="000000"/>
              <w:bottom w:val="single" w:sz="4" w:space="0" w:color="000000"/>
              <w:right w:val="single" w:sz="4" w:space="0" w:color="000000"/>
            </w:tcBorders>
          </w:tcPr>
          <w:p w14:paraId="74A927DB" w14:textId="77777777" w:rsidR="00B1771F" w:rsidRPr="00402720" w:rsidRDefault="00B1771F" w:rsidP="009F2CA9">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11,2</w:t>
            </w:r>
          </w:p>
        </w:tc>
      </w:tr>
      <w:tr w:rsidR="00B1771F" w:rsidRPr="00402720" w14:paraId="69263477" w14:textId="77777777" w:rsidTr="002C56E3">
        <w:trPr>
          <w:trHeight w:val="20"/>
        </w:trPr>
        <w:tc>
          <w:tcPr>
            <w:tcW w:w="2694" w:type="dxa"/>
            <w:tcBorders>
              <w:top w:val="single" w:sz="4" w:space="0" w:color="000000"/>
              <w:left w:val="single" w:sz="4" w:space="0" w:color="000000"/>
              <w:bottom w:val="single" w:sz="4" w:space="0" w:color="000000"/>
              <w:right w:val="single" w:sz="4" w:space="0" w:color="000000"/>
            </w:tcBorders>
          </w:tcPr>
          <w:p w14:paraId="597E4D09" w14:textId="77777777" w:rsidR="00B1771F" w:rsidRPr="00402720" w:rsidRDefault="00B1771F" w:rsidP="003A130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w:t>
            </w:r>
            <w:r w:rsidR="003A130E" w:rsidRPr="00402720">
              <w:rPr>
                <w:rFonts w:ascii="Times New Roman" w:hAnsi="Times New Roman" w:cs="Times New Roman"/>
                <w:lang w:val="de-DE"/>
              </w:rPr>
              <w:t xml:space="preserve"> </w:t>
            </w:r>
            <w:r w:rsidRPr="00402720">
              <w:rPr>
                <w:rFonts w:ascii="Times New Roman" w:hAnsi="Times New Roman" w:cs="Times New Roman"/>
                <w:lang w:val="de-DE"/>
              </w:rPr>
              <w:t>(95</w:t>
            </w:r>
            <w:r w:rsidR="004B1BD9"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r w:rsidRPr="00402720">
              <w:rPr>
                <w:rFonts w:ascii="Times New Roman" w:hAnsi="Times New Roman" w:cs="Times New Roman"/>
                <w:lang w:val="de-DE"/>
              </w:rPr>
              <w:t xml:space="preserve"> Konfidenzintervall)</w:t>
            </w:r>
            <w:r w:rsidRPr="00402720">
              <w:rPr>
                <w:rFonts w:ascii="Times New Roman" w:hAnsi="Times New Roman" w:cs="Times New Roman"/>
                <w:vertAlign w:val="superscript"/>
                <w:lang w:val="de-DE"/>
              </w:rPr>
              <w:t xml:space="preserve"> </w:t>
            </w:r>
          </w:p>
        </w:tc>
        <w:tc>
          <w:tcPr>
            <w:tcW w:w="6378" w:type="dxa"/>
            <w:gridSpan w:val="2"/>
            <w:tcBorders>
              <w:top w:val="single" w:sz="4" w:space="0" w:color="000000"/>
              <w:left w:val="single" w:sz="4" w:space="0" w:color="000000"/>
              <w:bottom w:val="single" w:sz="4" w:space="0" w:color="000000"/>
              <w:right w:val="single" w:sz="4" w:space="0" w:color="000000"/>
            </w:tcBorders>
          </w:tcPr>
          <w:p w14:paraId="5D5E29A2" w14:textId="77777777" w:rsidR="00B1771F" w:rsidRPr="00402720" w:rsidRDefault="00B1771F" w:rsidP="009F2CA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0,81 (0,69; 0,94)</w:t>
            </w:r>
          </w:p>
          <w:p w14:paraId="0070241E" w14:textId="77777777" w:rsidR="00B1771F" w:rsidRPr="00402720" w:rsidRDefault="00B1771F" w:rsidP="009F2CA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(p-Wert = 0,0062)</w:t>
            </w:r>
          </w:p>
        </w:tc>
      </w:tr>
      <w:tr w:rsidR="00B1771F" w:rsidRPr="00402720" w14:paraId="3980874E" w14:textId="77777777" w:rsidTr="002C56E3">
        <w:trPr>
          <w:trHeight w:val="20"/>
        </w:trPr>
        <w:tc>
          <w:tcPr>
            <w:tcW w:w="2694" w:type="dxa"/>
            <w:tcBorders>
              <w:top w:val="single" w:sz="4" w:space="0" w:color="000000"/>
              <w:left w:val="single" w:sz="4" w:space="0" w:color="000000"/>
              <w:bottom w:val="single" w:sz="4" w:space="0" w:color="000000"/>
              <w:right w:val="single" w:sz="4" w:space="0" w:color="000000"/>
            </w:tcBorders>
          </w:tcPr>
          <w:p w14:paraId="79B7A174" w14:textId="77777777" w:rsidR="00B1771F" w:rsidRPr="00402720" w:rsidRDefault="00B1771F" w:rsidP="007E094B">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Progressionsfreies Überleben </w:t>
            </w:r>
          </w:p>
        </w:tc>
        <w:tc>
          <w:tcPr>
            <w:tcW w:w="6378" w:type="dxa"/>
            <w:gridSpan w:val="2"/>
            <w:tcBorders>
              <w:top w:val="single" w:sz="4" w:space="0" w:color="000000"/>
              <w:left w:val="single" w:sz="4" w:space="0" w:color="000000"/>
              <w:bottom w:val="single" w:sz="4" w:space="0" w:color="000000"/>
              <w:right w:val="single" w:sz="4" w:space="0" w:color="000000"/>
            </w:tcBorders>
          </w:tcPr>
          <w:p w14:paraId="14B9DDD9" w14:textId="77777777" w:rsidR="00B1771F" w:rsidRPr="00402720" w:rsidRDefault="00B1771F" w:rsidP="009F2CA9">
            <w:pPr>
              <w:spacing w:after="0" w:line="240" w:lineRule="auto"/>
              <w:jc w:val="center"/>
              <w:rPr>
                <w:rFonts w:ascii="Times New Roman" w:hAnsi="Times New Roman" w:cs="Times New Roman"/>
                <w:lang w:val="de-DE"/>
              </w:rPr>
            </w:pPr>
          </w:p>
        </w:tc>
      </w:tr>
      <w:tr w:rsidR="00B1771F" w:rsidRPr="00402720" w14:paraId="11E7F6B7" w14:textId="77777777" w:rsidTr="002C56E3">
        <w:trPr>
          <w:trHeight w:val="20"/>
        </w:trPr>
        <w:tc>
          <w:tcPr>
            <w:tcW w:w="2694" w:type="dxa"/>
            <w:tcBorders>
              <w:top w:val="single" w:sz="4" w:space="0" w:color="000000"/>
              <w:left w:val="single" w:sz="4" w:space="0" w:color="000000"/>
              <w:bottom w:val="single" w:sz="4" w:space="0" w:color="000000"/>
              <w:right w:val="single" w:sz="4" w:space="0" w:color="000000"/>
            </w:tcBorders>
          </w:tcPr>
          <w:p w14:paraId="12D37B07" w14:textId="77777777" w:rsidR="00B1771F" w:rsidRPr="00402720" w:rsidRDefault="00B1771F" w:rsidP="003A130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Median (Monate) </w:t>
            </w:r>
          </w:p>
        </w:tc>
        <w:tc>
          <w:tcPr>
            <w:tcW w:w="3118" w:type="dxa"/>
            <w:tcBorders>
              <w:top w:val="single" w:sz="4" w:space="0" w:color="000000"/>
              <w:left w:val="single" w:sz="4" w:space="0" w:color="000000"/>
              <w:bottom w:val="single" w:sz="4" w:space="0" w:color="000000"/>
              <w:right w:val="single" w:sz="4" w:space="0" w:color="000000"/>
            </w:tcBorders>
          </w:tcPr>
          <w:p w14:paraId="56237E27" w14:textId="77777777" w:rsidR="00B1771F" w:rsidRPr="00402720" w:rsidRDefault="00B1771F" w:rsidP="009F2CA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4,1</w:t>
            </w:r>
          </w:p>
        </w:tc>
        <w:tc>
          <w:tcPr>
            <w:tcW w:w="3260" w:type="dxa"/>
            <w:tcBorders>
              <w:top w:val="single" w:sz="4" w:space="0" w:color="000000"/>
              <w:left w:val="single" w:sz="4" w:space="0" w:color="000000"/>
              <w:bottom w:val="single" w:sz="4" w:space="0" w:color="000000"/>
              <w:right w:val="single" w:sz="4" w:space="0" w:color="000000"/>
            </w:tcBorders>
          </w:tcPr>
          <w:p w14:paraId="2AAB8A5E" w14:textId="77777777" w:rsidR="00B1771F" w:rsidRPr="00402720" w:rsidRDefault="00B1771F" w:rsidP="009F2CA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5,7</w:t>
            </w:r>
          </w:p>
        </w:tc>
      </w:tr>
      <w:tr w:rsidR="00B1771F" w:rsidRPr="00402720" w14:paraId="27758EF0" w14:textId="77777777" w:rsidTr="002C56E3">
        <w:trPr>
          <w:trHeight w:val="20"/>
        </w:trPr>
        <w:tc>
          <w:tcPr>
            <w:tcW w:w="2694" w:type="dxa"/>
            <w:tcBorders>
              <w:top w:val="single" w:sz="4" w:space="0" w:color="000000"/>
              <w:left w:val="single" w:sz="4" w:space="0" w:color="000000"/>
              <w:bottom w:val="single" w:sz="4" w:space="0" w:color="000000"/>
              <w:right w:val="single" w:sz="4" w:space="0" w:color="000000"/>
            </w:tcBorders>
          </w:tcPr>
          <w:p w14:paraId="0AF097A9" w14:textId="77777777" w:rsidR="00B1771F" w:rsidRPr="00402720" w:rsidRDefault="00B1771F" w:rsidP="003A130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4B1BD9"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r w:rsidRPr="00402720">
              <w:rPr>
                <w:rFonts w:ascii="Times New Roman" w:hAnsi="Times New Roman" w:cs="Times New Roman"/>
                <w:lang w:val="de-DE"/>
              </w:rPr>
              <w:t xml:space="preserve"> Konfidenzintervall) </w:t>
            </w:r>
          </w:p>
        </w:tc>
        <w:tc>
          <w:tcPr>
            <w:tcW w:w="6378" w:type="dxa"/>
            <w:gridSpan w:val="2"/>
            <w:tcBorders>
              <w:top w:val="single" w:sz="4" w:space="0" w:color="000000"/>
              <w:left w:val="single" w:sz="4" w:space="0" w:color="000000"/>
              <w:bottom w:val="single" w:sz="4" w:space="0" w:color="000000"/>
              <w:right w:val="single" w:sz="4" w:space="0" w:color="000000"/>
            </w:tcBorders>
          </w:tcPr>
          <w:p w14:paraId="4AF6E551" w14:textId="77777777" w:rsidR="00B1771F" w:rsidRPr="00402720" w:rsidRDefault="00B1771F" w:rsidP="009F2CA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0,68 (0,59; 0,78)</w:t>
            </w:r>
          </w:p>
          <w:p w14:paraId="7CC833BB" w14:textId="77777777" w:rsidR="00B1771F" w:rsidRPr="00402720" w:rsidRDefault="00B1771F" w:rsidP="009F2CA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(p-Wert </w:t>
            </w:r>
            <w:r w:rsidR="00E32D5C" w:rsidRPr="00402720">
              <w:rPr>
                <w:rFonts w:ascii="Times New Roman" w:hAnsi="Times New Roman" w:cs="Times New Roman"/>
                <w:lang w:val="de-DE"/>
              </w:rPr>
              <w:t>&lt;</w:t>
            </w:r>
            <w:r w:rsidR="004B1BD9" w:rsidRPr="00402720">
              <w:rPr>
                <w:rFonts w:ascii="Times New Roman" w:hAnsi="Times New Roman" w:cs="Times New Roman"/>
                <w:lang w:val="de-DE"/>
              </w:rPr>
              <w:t xml:space="preserve"> </w:t>
            </w:r>
            <w:r w:rsidRPr="00402720">
              <w:rPr>
                <w:rFonts w:ascii="Times New Roman" w:hAnsi="Times New Roman" w:cs="Times New Roman"/>
                <w:lang w:val="de-DE"/>
              </w:rPr>
              <w:t>0,0001)</w:t>
            </w:r>
          </w:p>
        </w:tc>
      </w:tr>
      <w:tr w:rsidR="00B1771F" w:rsidRPr="00402720" w14:paraId="2703440B" w14:textId="77777777" w:rsidTr="002C56E3">
        <w:trPr>
          <w:trHeight w:val="20"/>
        </w:trPr>
        <w:tc>
          <w:tcPr>
            <w:tcW w:w="2694" w:type="dxa"/>
            <w:tcBorders>
              <w:top w:val="single" w:sz="4" w:space="0" w:color="000000"/>
              <w:left w:val="single" w:sz="4" w:space="0" w:color="000000"/>
              <w:bottom w:val="single" w:sz="4" w:space="0" w:color="000000"/>
              <w:right w:val="single" w:sz="4" w:space="0" w:color="000000"/>
            </w:tcBorders>
          </w:tcPr>
          <w:p w14:paraId="63F9465B" w14:textId="77777777" w:rsidR="00B1771F" w:rsidRPr="00402720" w:rsidRDefault="00B1771F" w:rsidP="00A35C45">
            <w:pPr>
              <w:keepNext/>
              <w:spacing w:after="0" w:line="240" w:lineRule="auto"/>
              <w:rPr>
                <w:rFonts w:ascii="Times New Roman" w:hAnsi="Times New Roman" w:cs="Times New Roman"/>
                <w:lang w:val="de-DE"/>
              </w:rPr>
            </w:pPr>
            <w:r w:rsidRPr="00402720">
              <w:rPr>
                <w:rFonts w:ascii="Times New Roman" w:hAnsi="Times New Roman" w:cs="Times New Roman"/>
                <w:lang w:val="de-DE"/>
              </w:rPr>
              <w:t xml:space="preserve">Objektive Ansprechrate (ORR) </w:t>
            </w:r>
          </w:p>
        </w:tc>
        <w:tc>
          <w:tcPr>
            <w:tcW w:w="6378" w:type="dxa"/>
            <w:gridSpan w:val="2"/>
            <w:tcBorders>
              <w:top w:val="single" w:sz="4" w:space="0" w:color="000000"/>
              <w:left w:val="single" w:sz="4" w:space="0" w:color="000000"/>
              <w:bottom w:val="single" w:sz="4" w:space="0" w:color="000000"/>
              <w:right w:val="single" w:sz="4" w:space="0" w:color="000000"/>
            </w:tcBorders>
          </w:tcPr>
          <w:p w14:paraId="6D0D0199" w14:textId="77777777" w:rsidR="00B1771F" w:rsidRPr="00402720" w:rsidRDefault="00B1771F" w:rsidP="009F2CA9">
            <w:pPr>
              <w:spacing w:after="0" w:line="240" w:lineRule="auto"/>
              <w:jc w:val="center"/>
              <w:rPr>
                <w:rFonts w:ascii="Times New Roman" w:hAnsi="Times New Roman" w:cs="Times New Roman"/>
                <w:lang w:val="de-DE"/>
              </w:rPr>
            </w:pPr>
          </w:p>
        </w:tc>
      </w:tr>
      <w:tr w:rsidR="00B1771F" w:rsidRPr="00402720" w14:paraId="117BD4CB" w14:textId="77777777" w:rsidTr="002C56E3">
        <w:trPr>
          <w:trHeight w:val="20"/>
        </w:trPr>
        <w:tc>
          <w:tcPr>
            <w:tcW w:w="2694" w:type="dxa"/>
            <w:tcBorders>
              <w:top w:val="single" w:sz="4" w:space="0" w:color="000000"/>
              <w:left w:val="single" w:sz="4" w:space="0" w:color="000000"/>
              <w:bottom w:val="single" w:sz="4" w:space="0" w:color="000000"/>
              <w:right w:val="single" w:sz="4" w:space="0" w:color="000000"/>
            </w:tcBorders>
          </w:tcPr>
          <w:p w14:paraId="43561E68" w14:textId="77777777" w:rsidR="00B1771F" w:rsidRPr="00402720" w:rsidRDefault="00B1771F" w:rsidP="00A35C45">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Anzahl der ausgewerteten Patienten </w:t>
            </w:r>
          </w:p>
        </w:tc>
        <w:tc>
          <w:tcPr>
            <w:tcW w:w="3118" w:type="dxa"/>
            <w:tcBorders>
              <w:top w:val="single" w:sz="4" w:space="0" w:color="000000"/>
              <w:left w:val="single" w:sz="4" w:space="0" w:color="000000"/>
              <w:bottom w:val="single" w:sz="4" w:space="0" w:color="000000"/>
              <w:right w:val="single" w:sz="4" w:space="0" w:color="000000"/>
            </w:tcBorders>
          </w:tcPr>
          <w:p w14:paraId="59D94F66" w14:textId="77777777" w:rsidR="00B1771F" w:rsidRPr="00402720" w:rsidRDefault="00B1771F" w:rsidP="009F2CA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406</w:t>
            </w:r>
          </w:p>
        </w:tc>
        <w:tc>
          <w:tcPr>
            <w:tcW w:w="3260" w:type="dxa"/>
            <w:tcBorders>
              <w:top w:val="single" w:sz="4" w:space="0" w:color="000000"/>
              <w:left w:val="single" w:sz="4" w:space="0" w:color="000000"/>
              <w:bottom w:val="single" w:sz="4" w:space="0" w:color="000000"/>
              <w:right w:val="single" w:sz="4" w:space="0" w:color="000000"/>
            </w:tcBorders>
          </w:tcPr>
          <w:p w14:paraId="00C7F12C" w14:textId="77777777" w:rsidR="00B1771F" w:rsidRPr="00402720" w:rsidRDefault="00B1771F" w:rsidP="009F2CA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404</w:t>
            </w:r>
          </w:p>
        </w:tc>
      </w:tr>
      <w:tr w:rsidR="00B1771F" w:rsidRPr="00402720" w14:paraId="6EB5563B" w14:textId="77777777" w:rsidTr="00616160">
        <w:trPr>
          <w:trHeight w:val="115"/>
        </w:trPr>
        <w:tc>
          <w:tcPr>
            <w:tcW w:w="2694" w:type="dxa"/>
            <w:tcBorders>
              <w:top w:val="single" w:sz="4" w:space="0" w:color="000000"/>
              <w:left w:val="single" w:sz="4" w:space="0" w:color="000000"/>
              <w:bottom w:val="single" w:sz="4" w:space="0" w:color="000000"/>
              <w:right w:val="single" w:sz="4" w:space="0" w:color="000000"/>
            </w:tcBorders>
          </w:tcPr>
          <w:p w14:paraId="569F1EE0" w14:textId="77777777" w:rsidR="00B1771F" w:rsidRPr="00402720" w:rsidRDefault="00B1771F" w:rsidP="00A35C45">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Rate </w:t>
            </w:r>
          </w:p>
        </w:tc>
        <w:tc>
          <w:tcPr>
            <w:tcW w:w="3118" w:type="dxa"/>
            <w:tcBorders>
              <w:top w:val="single" w:sz="4" w:space="0" w:color="000000"/>
              <w:left w:val="single" w:sz="4" w:space="0" w:color="000000"/>
              <w:bottom w:val="single" w:sz="4" w:space="0" w:color="000000"/>
              <w:right w:val="single" w:sz="4" w:space="0" w:color="000000"/>
            </w:tcBorders>
          </w:tcPr>
          <w:p w14:paraId="31706662" w14:textId="77777777" w:rsidR="00B1771F" w:rsidRPr="00402720" w:rsidRDefault="00B1771F" w:rsidP="009F2CA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3,9</w:t>
            </w:r>
            <w:r w:rsidR="004B1BD9"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tc>
        <w:tc>
          <w:tcPr>
            <w:tcW w:w="3260" w:type="dxa"/>
            <w:tcBorders>
              <w:top w:val="single" w:sz="4" w:space="0" w:color="000000"/>
              <w:left w:val="single" w:sz="4" w:space="0" w:color="000000"/>
              <w:bottom w:val="single" w:sz="4" w:space="0" w:color="000000"/>
              <w:right w:val="single" w:sz="4" w:space="0" w:color="000000"/>
            </w:tcBorders>
          </w:tcPr>
          <w:p w14:paraId="40148815" w14:textId="77777777" w:rsidR="00B1771F" w:rsidRPr="00402720" w:rsidRDefault="00B1771F" w:rsidP="009F2CA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5,4</w:t>
            </w:r>
            <w:r w:rsidR="004B1BD9"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tc>
      </w:tr>
      <w:tr w:rsidR="00B1771F" w:rsidRPr="00402720" w14:paraId="29E5F24F" w14:textId="77777777" w:rsidTr="002C56E3">
        <w:trPr>
          <w:trHeight w:val="20"/>
        </w:trPr>
        <w:tc>
          <w:tcPr>
            <w:tcW w:w="2694" w:type="dxa"/>
            <w:tcBorders>
              <w:top w:val="single" w:sz="4" w:space="0" w:color="000000"/>
              <w:left w:val="single" w:sz="4" w:space="0" w:color="000000"/>
              <w:bottom w:val="single" w:sz="4" w:space="0" w:color="000000"/>
              <w:right w:val="single" w:sz="4" w:space="0" w:color="000000"/>
            </w:tcBorders>
          </w:tcPr>
          <w:p w14:paraId="3DBA1603" w14:textId="77777777" w:rsidR="00B1771F" w:rsidRPr="00402720" w:rsidRDefault="00B1771F" w:rsidP="007E094B">
            <w:pPr>
              <w:spacing w:after="0" w:line="240" w:lineRule="auto"/>
              <w:rPr>
                <w:rFonts w:ascii="Times New Roman" w:hAnsi="Times New Roman" w:cs="Times New Roman"/>
                <w:lang w:val="de-DE"/>
              </w:rPr>
            </w:pPr>
          </w:p>
        </w:tc>
        <w:tc>
          <w:tcPr>
            <w:tcW w:w="6378" w:type="dxa"/>
            <w:gridSpan w:val="2"/>
            <w:tcBorders>
              <w:top w:val="single" w:sz="4" w:space="0" w:color="000000"/>
              <w:left w:val="single" w:sz="4" w:space="0" w:color="000000"/>
              <w:bottom w:val="single" w:sz="4" w:space="0" w:color="000000"/>
              <w:right w:val="single" w:sz="4" w:space="0" w:color="000000"/>
            </w:tcBorders>
          </w:tcPr>
          <w:p w14:paraId="26EB3F3E" w14:textId="77777777" w:rsidR="00B1771F" w:rsidRPr="00402720" w:rsidRDefault="00B1771F" w:rsidP="009F2CA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(p-Wert = 0,3113)</w:t>
            </w:r>
          </w:p>
        </w:tc>
      </w:tr>
    </w:tbl>
    <w:p w14:paraId="758D90CB" w14:textId="647E2349" w:rsidR="00AF337C" w:rsidRPr="009737B5" w:rsidRDefault="00AF337C" w:rsidP="009F2CA9">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a</w:t>
      </w:r>
      <w:r w:rsidR="007823B0" w:rsidRPr="009737B5">
        <w:rPr>
          <w:rFonts w:ascii="Times New Roman" w:hAnsi="Times New Roman" w:cs="Times New Roman"/>
          <w:sz w:val="20"/>
          <w:szCs w:val="20"/>
          <w:lang w:val="de-DE"/>
        </w:rPr>
        <w:tab/>
      </w:r>
      <w:r w:rsidRPr="009737B5">
        <w:rPr>
          <w:rFonts w:ascii="Times New Roman" w:hAnsi="Times New Roman" w:cs="Times New Roman"/>
          <w:sz w:val="20"/>
          <w:szCs w:val="20"/>
          <w:lang w:val="de-DE"/>
        </w:rPr>
        <w:t>5,0</w:t>
      </w:r>
      <w:r w:rsidR="00AB26B9" w:rsidRPr="009737B5">
        <w:rPr>
          <w:rFonts w:ascii="Times New Roman" w:hAnsi="Times New Roman" w:cs="Times New Roman"/>
          <w:sz w:val="20"/>
          <w:szCs w:val="20"/>
          <w:lang w:val="de-DE"/>
        </w:rPr>
        <w:t> mg</w:t>
      </w:r>
      <w:r w:rsidRPr="009737B5">
        <w:rPr>
          <w:rFonts w:ascii="Times New Roman" w:hAnsi="Times New Roman" w:cs="Times New Roman"/>
          <w:sz w:val="20"/>
          <w:szCs w:val="20"/>
          <w:lang w:val="de-DE"/>
        </w:rPr>
        <w:t>/kg alle 2</w:t>
      </w:r>
      <w:r w:rsidR="00A36C33">
        <w:rPr>
          <w:rFonts w:ascii="Times New Roman" w:hAnsi="Times New Roman" w:cs="Times New Roman"/>
          <w:sz w:val="20"/>
          <w:szCs w:val="20"/>
          <w:lang w:val="de-DE"/>
        </w:rPr>
        <w:t> </w:t>
      </w:r>
      <w:r w:rsidRPr="009737B5">
        <w:rPr>
          <w:rFonts w:ascii="Times New Roman" w:hAnsi="Times New Roman" w:cs="Times New Roman"/>
          <w:sz w:val="20"/>
          <w:szCs w:val="20"/>
          <w:lang w:val="de-DE"/>
        </w:rPr>
        <w:t>Wochen oder 7,5</w:t>
      </w:r>
      <w:r w:rsidR="00AB26B9" w:rsidRPr="009737B5">
        <w:rPr>
          <w:rFonts w:ascii="Times New Roman" w:hAnsi="Times New Roman" w:cs="Times New Roman"/>
          <w:sz w:val="20"/>
          <w:szCs w:val="20"/>
          <w:lang w:val="de-DE"/>
        </w:rPr>
        <w:t> mg</w:t>
      </w:r>
      <w:r w:rsidRPr="009737B5">
        <w:rPr>
          <w:rFonts w:ascii="Times New Roman" w:hAnsi="Times New Roman" w:cs="Times New Roman"/>
          <w:sz w:val="20"/>
          <w:szCs w:val="20"/>
          <w:lang w:val="de-DE"/>
        </w:rPr>
        <w:t>/kg alle 3</w:t>
      </w:r>
      <w:r w:rsidR="00A36C33">
        <w:rPr>
          <w:rFonts w:ascii="Times New Roman" w:hAnsi="Times New Roman" w:cs="Times New Roman"/>
          <w:sz w:val="20"/>
          <w:szCs w:val="20"/>
          <w:lang w:val="de-DE"/>
        </w:rPr>
        <w:t> </w:t>
      </w:r>
      <w:r w:rsidRPr="009737B5">
        <w:rPr>
          <w:rFonts w:ascii="Times New Roman" w:hAnsi="Times New Roman" w:cs="Times New Roman"/>
          <w:sz w:val="20"/>
          <w:szCs w:val="20"/>
          <w:lang w:val="de-DE"/>
        </w:rPr>
        <w:t>Wochen</w:t>
      </w:r>
      <w:r w:rsidR="00DB4225" w:rsidRPr="009737B5">
        <w:rPr>
          <w:rFonts w:ascii="Times New Roman" w:hAnsi="Times New Roman" w:cs="Times New Roman"/>
          <w:sz w:val="20"/>
          <w:szCs w:val="20"/>
          <w:lang w:val="de-DE"/>
        </w:rPr>
        <w:t>.</w:t>
      </w:r>
    </w:p>
    <w:p w14:paraId="52F8C29E" w14:textId="77777777" w:rsidR="00AF337C" w:rsidRPr="009737B5" w:rsidRDefault="00AF337C" w:rsidP="005F4D08">
      <w:pPr>
        <w:suppressAutoHyphens/>
        <w:spacing w:after="0" w:line="240" w:lineRule="auto"/>
        <w:rPr>
          <w:rFonts w:ascii="Times New Roman" w:hAnsi="Times New Roman" w:cs="Times New Roman"/>
          <w:lang w:val="de-DE"/>
        </w:rPr>
      </w:pPr>
    </w:p>
    <w:p w14:paraId="2C4EFF71" w14:textId="7777777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Eine statistisch signifikante Verlängerung des progressionsfreien Überlebens wurde ebenfalls beobachtet. Die objektive Ansprechrate war in beiden Behandlungsarmen niedrig</w:t>
      </w:r>
      <w:r w:rsidR="008D2C0C" w:rsidRPr="009737B5">
        <w:rPr>
          <w:rFonts w:ascii="Times New Roman" w:hAnsi="Times New Roman" w:cs="Times New Roman"/>
          <w:lang w:val="de-DE"/>
        </w:rPr>
        <w:t>,</w:t>
      </w:r>
      <w:r w:rsidRPr="009737B5">
        <w:rPr>
          <w:rFonts w:ascii="Times New Roman" w:hAnsi="Times New Roman" w:cs="Times New Roman"/>
          <w:lang w:val="de-DE"/>
        </w:rPr>
        <w:t xml:space="preserve"> und der Unterschied war statistisch nicht signifikant.</w:t>
      </w:r>
    </w:p>
    <w:p w14:paraId="6DAA55EF" w14:textId="77777777" w:rsidR="00AF337C" w:rsidRPr="009737B5" w:rsidRDefault="00AF337C" w:rsidP="005F4D08">
      <w:pPr>
        <w:suppressAutoHyphens/>
        <w:spacing w:after="0" w:line="240" w:lineRule="auto"/>
        <w:rPr>
          <w:rFonts w:ascii="Times New Roman" w:hAnsi="Times New Roman" w:cs="Times New Roman"/>
          <w:lang w:val="de-DE"/>
        </w:rPr>
      </w:pPr>
    </w:p>
    <w:p w14:paraId="3AAFA165" w14:textId="4C69CA1B"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Während in der Studie</w:t>
      </w:r>
      <w:r w:rsidR="00A36C33">
        <w:rPr>
          <w:rFonts w:ascii="Times New Roman" w:hAnsi="Times New Roman" w:cs="Times New Roman"/>
          <w:lang w:val="de-DE"/>
        </w:rPr>
        <w:t> </w:t>
      </w:r>
      <w:r w:rsidRPr="009737B5">
        <w:rPr>
          <w:rFonts w:ascii="Times New Roman" w:hAnsi="Times New Roman" w:cs="Times New Roman"/>
          <w:lang w:val="de-DE"/>
        </w:rPr>
        <w:t>E3200 eine Bevacizumab-Dosis von 5</w:t>
      </w:r>
      <w:r w:rsidR="00AB26B9" w:rsidRPr="009737B5">
        <w:rPr>
          <w:rFonts w:ascii="Times New Roman" w:hAnsi="Times New Roman" w:cs="Times New Roman"/>
          <w:lang w:val="de-DE"/>
        </w:rPr>
        <w:t> mg</w:t>
      </w:r>
      <w:r w:rsidRPr="009737B5">
        <w:rPr>
          <w:rFonts w:ascii="Times New Roman" w:hAnsi="Times New Roman" w:cs="Times New Roman"/>
          <w:lang w:val="de-DE"/>
        </w:rPr>
        <w:t>/kg/Woche bei nicht mit</w:t>
      </w:r>
      <w:r w:rsidR="00B1771F" w:rsidRPr="009737B5">
        <w:rPr>
          <w:rFonts w:ascii="Times New Roman" w:hAnsi="Times New Roman" w:cs="Times New Roman"/>
          <w:lang w:val="de-DE"/>
        </w:rPr>
        <w:t xml:space="preserve"> </w:t>
      </w:r>
      <w:r w:rsidRPr="009737B5">
        <w:rPr>
          <w:rFonts w:ascii="Times New Roman" w:hAnsi="Times New Roman" w:cs="Times New Roman"/>
          <w:lang w:val="de-DE"/>
        </w:rPr>
        <w:t>Bevacizumab vorbehandelten Patienten appliziert wurde, betrug die Dosis in der Studie</w:t>
      </w:r>
      <w:r w:rsidR="00A36C33">
        <w:rPr>
          <w:rFonts w:ascii="Times New Roman" w:hAnsi="Times New Roman" w:cs="Times New Roman"/>
          <w:lang w:val="de-DE"/>
        </w:rPr>
        <w:t> </w:t>
      </w:r>
      <w:r w:rsidR="00322E40" w:rsidRPr="009737B5">
        <w:rPr>
          <w:rFonts w:ascii="Times New Roman" w:hAnsi="Times New Roman" w:cs="Times New Roman"/>
          <w:lang w:val="de-DE"/>
        </w:rPr>
        <w:t>ML</w:t>
      </w:r>
      <w:r w:rsidRPr="009737B5">
        <w:rPr>
          <w:rFonts w:ascii="Times New Roman" w:hAnsi="Times New Roman" w:cs="Times New Roman"/>
          <w:lang w:val="de-DE"/>
        </w:rPr>
        <w:t>18147 bei</w:t>
      </w:r>
      <w:r w:rsidR="00B1771F" w:rsidRPr="009737B5">
        <w:rPr>
          <w:rFonts w:ascii="Times New Roman" w:hAnsi="Times New Roman" w:cs="Times New Roman"/>
          <w:lang w:val="de-DE"/>
        </w:rPr>
        <w:t xml:space="preserve"> </w:t>
      </w:r>
      <w:r w:rsidRPr="009737B5">
        <w:rPr>
          <w:rFonts w:ascii="Times New Roman" w:hAnsi="Times New Roman" w:cs="Times New Roman"/>
          <w:lang w:val="de-DE"/>
        </w:rPr>
        <w:t>Bevacizumab-vorbehandelten Patienten 2,5</w:t>
      </w:r>
      <w:r w:rsidR="00AB26B9" w:rsidRPr="009737B5">
        <w:rPr>
          <w:rFonts w:ascii="Times New Roman" w:hAnsi="Times New Roman" w:cs="Times New Roman"/>
          <w:lang w:val="de-DE"/>
        </w:rPr>
        <w:t> mg</w:t>
      </w:r>
      <w:r w:rsidRPr="009737B5">
        <w:rPr>
          <w:rFonts w:ascii="Times New Roman" w:hAnsi="Times New Roman" w:cs="Times New Roman"/>
          <w:lang w:val="de-DE"/>
        </w:rPr>
        <w:t>/kg/Woche. Ein studienübergreifender Vergleich der Wirksamkeits- und Sicherheitsdaten wird durch Unterschiede zwischen diesen beiden Studien begrenzt, insbesondere hinsichtlich der Patientenpopulationen, der vorhergehenden Bevacizumab</w:t>
      </w:r>
      <w:r w:rsidR="00D87A14" w:rsidRPr="009737B5">
        <w:rPr>
          <w:rFonts w:ascii="Times New Roman" w:hAnsi="Times New Roman" w:cs="Times New Roman"/>
          <w:lang w:val="de-DE"/>
        </w:rPr>
        <w:t>-</w:t>
      </w:r>
      <w:r w:rsidRPr="009737B5">
        <w:rPr>
          <w:rFonts w:ascii="Times New Roman" w:hAnsi="Times New Roman" w:cs="Times New Roman"/>
          <w:lang w:val="de-DE"/>
        </w:rPr>
        <w:t>Exposition und der Chemotherapieschemata. Beide Bevacizumab-Dosierungen von 5</w:t>
      </w:r>
      <w:r w:rsidR="00AB26B9" w:rsidRPr="009737B5">
        <w:rPr>
          <w:rFonts w:ascii="Times New Roman" w:hAnsi="Times New Roman" w:cs="Times New Roman"/>
          <w:lang w:val="de-DE"/>
        </w:rPr>
        <w:t> mg</w:t>
      </w:r>
      <w:r w:rsidRPr="009737B5">
        <w:rPr>
          <w:rFonts w:ascii="Times New Roman" w:hAnsi="Times New Roman" w:cs="Times New Roman"/>
          <w:lang w:val="de-DE"/>
        </w:rPr>
        <w:t>/kg/Woche</w:t>
      </w:r>
      <w:r w:rsidR="00CA5AC6" w:rsidRPr="009737B5">
        <w:rPr>
          <w:rFonts w:ascii="Times New Roman" w:hAnsi="Times New Roman" w:cs="Times New Roman"/>
          <w:lang w:val="de-DE"/>
        </w:rPr>
        <w:t xml:space="preserve"> </w:t>
      </w:r>
      <w:r w:rsidRPr="009737B5">
        <w:rPr>
          <w:rFonts w:ascii="Times New Roman" w:hAnsi="Times New Roman" w:cs="Times New Roman"/>
          <w:lang w:val="de-DE"/>
        </w:rPr>
        <w:t>und 2,5</w:t>
      </w:r>
      <w:r w:rsidR="00AB26B9" w:rsidRPr="009737B5">
        <w:rPr>
          <w:rFonts w:ascii="Times New Roman" w:hAnsi="Times New Roman" w:cs="Times New Roman"/>
          <w:lang w:val="de-DE"/>
        </w:rPr>
        <w:t> mg</w:t>
      </w:r>
      <w:r w:rsidRPr="009737B5">
        <w:rPr>
          <w:rFonts w:ascii="Times New Roman" w:hAnsi="Times New Roman" w:cs="Times New Roman"/>
          <w:lang w:val="de-DE"/>
        </w:rPr>
        <w:t>/kg/Woche ergaben einen statistisch signifikanten Vorteil hinsichtlich des Gesamtüberlebens (HR</w:t>
      </w:r>
      <w:r w:rsidR="00A36C33">
        <w:rPr>
          <w:rFonts w:ascii="Times New Roman" w:hAnsi="Times New Roman" w:cs="Times New Roman"/>
          <w:lang w:val="de-DE"/>
        </w:rPr>
        <w:t> </w:t>
      </w:r>
      <w:r w:rsidRPr="009737B5">
        <w:rPr>
          <w:rFonts w:ascii="Times New Roman" w:hAnsi="Times New Roman" w:cs="Times New Roman"/>
          <w:lang w:val="de-DE"/>
        </w:rPr>
        <w:t>0,751 in Studie</w:t>
      </w:r>
      <w:r w:rsidR="00A36C33">
        <w:rPr>
          <w:rFonts w:ascii="Times New Roman" w:hAnsi="Times New Roman" w:cs="Times New Roman"/>
          <w:lang w:val="de-DE"/>
        </w:rPr>
        <w:t> </w:t>
      </w:r>
      <w:r w:rsidRPr="009737B5">
        <w:rPr>
          <w:rFonts w:ascii="Times New Roman" w:hAnsi="Times New Roman" w:cs="Times New Roman"/>
          <w:lang w:val="de-DE"/>
        </w:rPr>
        <w:t>E3200; HR</w:t>
      </w:r>
      <w:r w:rsidR="00A36C33">
        <w:rPr>
          <w:rFonts w:ascii="Times New Roman" w:hAnsi="Times New Roman" w:cs="Times New Roman"/>
          <w:lang w:val="de-DE"/>
        </w:rPr>
        <w:t> </w:t>
      </w:r>
      <w:r w:rsidRPr="009737B5">
        <w:rPr>
          <w:rFonts w:ascii="Times New Roman" w:hAnsi="Times New Roman" w:cs="Times New Roman"/>
          <w:lang w:val="de-DE"/>
        </w:rPr>
        <w:t>0,81 in Studie</w:t>
      </w:r>
      <w:r w:rsidR="00A36C33">
        <w:rPr>
          <w:rFonts w:ascii="Times New Roman" w:hAnsi="Times New Roman" w:cs="Times New Roman"/>
          <w:lang w:val="de-DE"/>
        </w:rPr>
        <w:t> </w:t>
      </w:r>
      <w:r w:rsidR="00322E40" w:rsidRPr="009737B5">
        <w:rPr>
          <w:rFonts w:ascii="Times New Roman" w:hAnsi="Times New Roman" w:cs="Times New Roman"/>
          <w:lang w:val="de-DE"/>
        </w:rPr>
        <w:t>ML</w:t>
      </w:r>
      <w:r w:rsidRPr="009737B5">
        <w:rPr>
          <w:rFonts w:ascii="Times New Roman" w:hAnsi="Times New Roman" w:cs="Times New Roman"/>
          <w:lang w:val="de-DE"/>
        </w:rPr>
        <w:t>18147) und des progressionsfreien Überlebens (HR</w:t>
      </w:r>
      <w:r w:rsidR="00A36C33">
        <w:rPr>
          <w:rFonts w:ascii="Times New Roman" w:hAnsi="Times New Roman" w:cs="Times New Roman"/>
          <w:lang w:val="de-DE"/>
        </w:rPr>
        <w:t> </w:t>
      </w:r>
      <w:r w:rsidRPr="009737B5">
        <w:rPr>
          <w:rFonts w:ascii="Times New Roman" w:hAnsi="Times New Roman" w:cs="Times New Roman"/>
          <w:lang w:val="de-DE"/>
        </w:rPr>
        <w:t>0,518 in Studie</w:t>
      </w:r>
      <w:r w:rsidR="00A36C33">
        <w:rPr>
          <w:rFonts w:ascii="Times New Roman" w:hAnsi="Times New Roman" w:cs="Times New Roman"/>
          <w:lang w:val="de-DE"/>
        </w:rPr>
        <w:t> </w:t>
      </w:r>
      <w:r w:rsidRPr="009737B5">
        <w:rPr>
          <w:rFonts w:ascii="Times New Roman" w:hAnsi="Times New Roman" w:cs="Times New Roman"/>
          <w:lang w:val="de-DE"/>
        </w:rPr>
        <w:t>E3200; HR</w:t>
      </w:r>
      <w:r w:rsidR="00A36C33">
        <w:rPr>
          <w:rFonts w:ascii="Times New Roman" w:hAnsi="Times New Roman" w:cs="Times New Roman"/>
          <w:lang w:val="de-DE"/>
        </w:rPr>
        <w:t> </w:t>
      </w:r>
      <w:r w:rsidRPr="009737B5">
        <w:rPr>
          <w:rFonts w:ascii="Times New Roman" w:hAnsi="Times New Roman" w:cs="Times New Roman"/>
          <w:lang w:val="de-DE"/>
        </w:rPr>
        <w:t>0,68 in Studie</w:t>
      </w:r>
      <w:r w:rsidR="00A36C33">
        <w:rPr>
          <w:rFonts w:ascii="Times New Roman" w:hAnsi="Times New Roman" w:cs="Times New Roman"/>
          <w:lang w:val="de-DE"/>
        </w:rPr>
        <w:t> </w:t>
      </w:r>
      <w:r w:rsidR="00322E40" w:rsidRPr="009737B5">
        <w:rPr>
          <w:rFonts w:ascii="Times New Roman" w:hAnsi="Times New Roman" w:cs="Times New Roman"/>
          <w:lang w:val="de-DE"/>
        </w:rPr>
        <w:t>ML</w:t>
      </w:r>
      <w:r w:rsidRPr="009737B5">
        <w:rPr>
          <w:rFonts w:ascii="Times New Roman" w:hAnsi="Times New Roman" w:cs="Times New Roman"/>
          <w:lang w:val="de-DE"/>
        </w:rPr>
        <w:t>18147). Bezüglich der Sicherheit ergab sich in der Studie</w:t>
      </w:r>
      <w:r w:rsidR="00A36C33">
        <w:rPr>
          <w:rFonts w:ascii="Times New Roman" w:hAnsi="Times New Roman" w:cs="Times New Roman"/>
          <w:lang w:val="de-DE"/>
        </w:rPr>
        <w:t> </w:t>
      </w:r>
      <w:r w:rsidRPr="009737B5">
        <w:rPr>
          <w:rFonts w:ascii="Times New Roman" w:hAnsi="Times New Roman" w:cs="Times New Roman"/>
          <w:lang w:val="de-DE"/>
        </w:rPr>
        <w:t>E3200 eine höhere Gesamtinzidenz von unerwünschten Ereignissen der Grade</w:t>
      </w:r>
      <w:r w:rsidR="00A36C33">
        <w:rPr>
          <w:rFonts w:ascii="Times New Roman" w:hAnsi="Times New Roman" w:cs="Times New Roman"/>
          <w:lang w:val="de-DE"/>
        </w:rPr>
        <w:t> </w:t>
      </w:r>
      <w:r w:rsidRPr="009737B5">
        <w:rPr>
          <w:rFonts w:ascii="Times New Roman" w:hAnsi="Times New Roman" w:cs="Times New Roman"/>
          <w:lang w:val="de-DE"/>
        </w:rPr>
        <w:t>3</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5 im Vergleich zur Studie</w:t>
      </w:r>
      <w:r w:rsidR="00A36C33">
        <w:rPr>
          <w:rFonts w:ascii="Times New Roman" w:hAnsi="Times New Roman" w:cs="Times New Roman"/>
          <w:lang w:val="de-DE"/>
        </w:rPr>
        <w:t> </w:t>
      </w:r>
      <w:r w:rsidR="00322E40" w:rsidRPr="009737B5">
        <w:rPr>
          <w:rFonts w:ascii="Times New Roman" w:hAnsi="Times New Roman" w:cs="Times New Roman"/>
          <w:lang w:val="de-DE"/>
        </w:rPr>
        <w:t>ML</w:t>
      </w:r>
      <w:r w:rsidRPr="009737B5">
        <w:rPr>
          <w:rFonts w:ascii="Times New Roman" w:hAnsi="Times New Roman" w:cs="Times New Roman"/>
          <w:lang w:val="de-DE"/>
        </w:rPr>
        <w:t>18147.</w:t>
      </w:r>
    </w:p>
    <w:p w14:paraId="7ECF64FF" w14:textId="77777777" w:rsidR="00AF337C" w:rsidRPr="009737B5" w:rsidRDefault="00AF337C" w:rsidP="005F4D08">
      <w:pPr>
        <w:suppressAutoHyphens/>
        <w:spacing w:after="0" w:line="240" w:lineRule="auto"/>
        <w:rPr>
          <w:rFonts w:ascii="Times New Roman" w:hAnsi="Times New Roman" w:cs="Times New Roman"/>
          <w:lang w:val="de-DE"/>
        </w:rPr>
      </w:pPr>
    </w:p>
    <w:p w14:paraId="75628B83" w14:textId="77777777" w:rsidR="00AF337C" w:rsidRPr="009737B5" w:rsidRDefault="00AF337C" w:rsidP="009F2CA9">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Metastasiertes Mammakarzinom</w:t>
      </w:r>
    </w:p>
    <w:p w14:paraId="608F0A9D" w14:textId="77777777" w:rsidR="00AF337C" w:rsidRPr="009737B5" w:rsidRDefault="00AF337C" w:rsidP="009F2CA9">
      <w:pPr>
        <w:keepNext/>
        <w:suppressAutoHyphens/>
        <w:spacing w:after="0" w:line="240" w:lineRule="auto"/>
        <w:rPr>
          <w:rFonts w:ascii="Times New Roman" w:hAnsi="Times New Roman" w:cs="Times New Roman"/>
          <w:lang w:val="de-DE"/>
        </w:rPr>
      </w:pPr>
    </w:p>
    <w:p w14:paraId="6A9703C5" w14:textId="117B4E05"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Zur Untersuchung der Wirksamkeit einer Behandlung mit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w:t>
      </w:r>
      <w:r w:rsidR="00C64BFE">
        <w:rPr>
          <w:rFonts w:ascii="Times New Roman" w:hAnsi="Times New Roman" w:cs="Times New Roman"/>
          <w:lang w:val="de-DE"/>
        </w:rPr>
        <w:t>zwei individuellen Chemotherapeutika</w:t>
      </w:r>
      <w:r w:rsidR="00C64BFE" w:rsidRPr="009737B5">
        <w:rPr>
          <w:rFonts w:ascii="Times New Roman" w:hAnsi="Times New Roman" w:cs="Times New Roman"/>
          <w:lang w:val="de-DE"/>
        </w:rPr>
        <w:t xml:space="preserve"> </w:t>
      </w:r>
      <w:r w:rsidRPr="009737B5">
        <w:rPr>
          <w:rFonts w:ascii="Times New Roman" w:hAnsi="Times New Roman" w:cs="Times New Roman"/>
          <w:lang w:val="de-DE"/>
        </w:rPr>
        <w:t>wurde</w:t>
      </w:r>
      <w:r w:rsidR="00C64BFE">
        <w:rPr>
          <w:rFonts w:ascii="Times New Roman" w:hAnsi="Times New Roman" w:cs="Times New Roman"/>
          <w:lang w:val="de-DE"/>
        </w:rPr>
        <w:t>n</w:t>
      </w:r>
      <w:r w:rsidRPr="009737B5">
        <w:rPr>
          <w:rFonts w:ascii="Times New Roman" w:hAnsi="Times New Roman" w:cs="Times New Roman"/>
          <w:lang w:val="de-DE"/>
        </w:rPr>
        <w:t xml:space="preserve"> </w:t>
      </w:r>
      <w:r w:rsidR="00C64BFE">
        <w:rPr>
          <w:rFonts w:ascii="Times New Roman" w:hAnsi="Times New Roman" w:cs="Times New Roman"/>
          <w:lang w:val="de-DE"/>
        </w:rPr>
        <w:t>zwei</w:t>
      </w:r>
      <w:r w:rsidRPr="009737B5">
        <w:rPr>
          <w:rFonts w:ascii="Times New Roman" w:hAnsi="Times New Roman" w:cs="Times New Roman"/>
          <w:lang w:val="de-DE"/>
        </w:rPr>
        <w:t xml:space="preserve"> große Phase</w:t>
      </w:r>
      <w:r w:rsidR="00A36C33">
        <w:rPr>
          <w:rFonts w:ascii="Times New Roman" w:hAnsi="Times New Roman" w:cs="Times New Roman"/>
          <w:lang w:val="de-DE"/>
        </w:rPr>
        <w:t> </w:t>
      </w:r>
      <w:r w:rsidRPr="009737B5">
        <w:rPr>
          <w:rFonts w:ascii="Times New Roman" w:hAnsi="Times New Roman" w:cs="Times New Roman"/>
          <w:lang w:val="de-DE"/>
        </w:rPr>
        <w:t>III-Studie</w:t>
      </w:r>
      <w:r w:rsidR="00C64BFE">
        <w:rPr>
          <w:rFonts w:ascii="Times New Roman" w:hAnsi="Times New Roman" w:cs="Times New Roman"/>
          <w:lang w:val="de-DE"/>
        </w:rPr>
        <w:t>n</w:t>
      </w:r>
      <w:r w:rsidRPr="009737B5">
        <w:rPr>
          <w:rFonts w:ascii="Times New Roman" w:hAnsi="Times New Roman" w:cs="Times New Roman"/>
          <w:lang w:val="de-DE"/>
        </w:rPr>
        <w:t xml:space="preserve"> konzipiert. Der primäre Endpunkt dieser Studien war das progressionsfreie Überleben (PFS). Eine klinisch bedeutsame und statistisch signifikante Verbesserung des PFS wurde</w:t>
      </w:r>
      <w:r w:rsidR="00C64BFE">
        <w:rPr>
          <w:rFonts w:ascii="Times New Roman" w:hAnsi="Times New Roman" w:cs="Times New Roman"/>
          <w:lang w:val="de-DE"/>
        </w:rPr>
        <w:t xml:space="preserve"> in beiden Studien</w:t>
      </w:r>
      <w:r w:rsidRPr="009737B5">
        <w:rPr>
          <w:rFonts w:ascii="Times New Roman" w:hAnsi="Times New Roman" w:cs="Times New Roman"/>
          <w:lang w:val="de-DE"/>
        </w:rPr>
        <w:t xml:space="preserve"> beobachtet.</w:t>
      </w:r>
    </w:p>
    <w:p w14:paraId="3E789B7F" w14:textId="77777777" w:rsidR="00AF337C" w:rsidRPr="009737B5" w:rsidRDefault="00AF337C" w:rsidP="005F4D08">
      <w:pPr>
        <w:suppressAutoHyphens/>
        <w:spacing w:after="0" w:line="240" w:lineRule="auto"/>
        <w:rPr>
          <w:rFonts w:ascii="Times New Roman" w:hAnsi="Times New Roman" w:cs="Times New Roman"/>
          <w:lang w:val="de-DE"/>
        </w:rPr>
      </w:pPr>
    </w:p>
    <w:p w14:paraId="33F22570" w14:textId="29436C55" w:rsidR="00AF337C" w:rsidRPr="009737B5" w:rsidRDefault="00AF337C" w:rsidP="00B07BE9">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lastRenderedPageBreak/>
        <w:t>Im Folgenden sind die PFS-Ergebnisse</w:t>
      </w:r>
      <w:r w:rsidR="00C64BFE" w:rsidRPr="001661A9">
        <w:rPr>
          <w:rFonts w:ascii="Times New Roman" w:hAnsi="Times New Roman" w:cs="Times New Roman"/>
          <w:lang w:val="de-DE"/>
        </w:rPr>
        <w:t xml:space="preserve">, die mit den einzelnen Chemotherapie-Kombinationen erzielt wurden, </w:t>
      </w:r>
      <w:r w:rsidRPr="009737B5">
        <w:rPr>
          <w:rFonts w:ascii="Times New Roman" w:hAnsi="Times New Roman" w:cs="Times New Roman"/>
          <w:lang w:val="de-DE"/>
        </w:rPr>
        <w:t>zusammengefasst:</w:t>
      </w:r>
    </w:p>
    <w:p w14:paraId="6B930C68" w14:textId="77777777" w:rsidR="00AF337C" w:rsidRPr="009737B5" w:rsidRDefault="00AF337C" w:rsidP="00B07BE9">
      <w:pPr>
        <w:keepNext/>
        <w:suppressAutoHyphens/>
        <w:spacing w:after="0" w:line="240" w:lineRule="auto"/>
        <w:rPr>
          <w:rFonts w:ascii="Times New Roman" w:hAnsi="Times New Roman" w:cs="Times New Roman"/>
          <w:lang w:val="de-DE"/>
        </w:rPr>
      </w:pPr>
    </w:p>
    <w:p w14:paraId="034FE001" w14:textId="77777777" w:rsidR="00AF337C" w:rsidRPr="009737B5" w:rsidRDefault="00AF337C" w:rsidP="00B07BE9">
      <w:pPr>
        <w:keepNext/>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Studie E2100 (Paclitaxel)</w:t>
      </w:r>
    </w:p>
    <w:p w14:paraId="2A514155" w14:textId="6BB7F313" w:rsidR="00AF337C" w:rsidRDefault="00AF337C" w:rsidP="00C84577">
      <w:pPr>
        <w:pStyle w:val="Default"/>
        <w:ind w:left="1134" w:hanging="567"/>
        <w:rPr>
          <w:lang w:val="de-DE"/>
        </w:rPr>
      </w:pPr>
      <w:bookmarkStart w:id="1" w:name="_Hlk104992106"/>
      <w:r w:rsidRPr="009737B5">
        <w:rPr>
          <w:lang w:val="de-DE"/>
        </w:rPr>
        <w:t>•</w:t>
      </w:r>
      <w:r w:rsidRPr="009737B5">
        <w:rPr>
          <w:lang w:val="de-DE"/>
        </w:rPr>
        <w:tab/>
      </w:r>
      <w:r w:rsidRPr="00C84577">
        <w:rPr>
          <w:sz w:val="22"/>
          <w:szCs w:val="22"/>
          <w:lang w:val="de-DE"/>
        </w:rPr>
        <w:t>Mediane PFS-Verlängerung um 5,6</w:t>
      </w:r>
      <w:r w:rsidR="00A36C33" w:rsidRPr="00C84577">
        <w:rPr>
          <w:sz w:val="22"/>
          <w:szCs w:val="22"/>
          <w:lang w:val="de-DE"/>
        </w:rPr>
        <w:t> </w:t>
      </w:r>
      <w:r w:rsidRPr="00C84577">
        <w:rPr>
          <w:sz w:val="22"/>
          <w:szCs w:val="22"/>
          <w:lang w:val="de-DE"/>
        </w:rPr>
        <w:t>Monate, HR</w:t>
      </w:r>
      <w:r w:rsidR="00A36C33" w:rsidRPr="00C84577">
        <w:rPr>
          <w:sz w:val="22"/>
          <w:szCs w:val="22"/>
          <w:lang w:val="de-DE"/>
        </w:rPr>
        <w:t> </w:t>
      </w:r>
      <w:r w:rsidRPr="00C84577">
        <w:rPr>
          <w:sz w:val="22"/>
          <w:szCs w:val="22"/>
          <w:lang w:val="de-DE"/>
        </w:rPr>
        <w:t xml:space="preserve">0,421 (p </w:t>
      </w:r>
      <w:r w:rsidR="00E32D5C" w:rsidRPr="00C84577">
        <w:rPr>
          <w:sz w:val="22"/>
          <w:szCs w:val="22"/>
          <w:lang w:val="de-DE"/>
        </w:rPr>
        <w:t>&lt; </w:t>
      </w:r>
      <w:r w:rsidRPr="00C84577">
        <w:rPr>
          <w:sz w:val="22"/>
          <w:szCs w:val="22"/>
          <w:lang w:val="de-DE"/>
        </w:rPr>
        <w:t>0,0001, 95</w:t>
      </w:r>
      <w:r w:rsidR="00322E40" w:rsidRPr="00C84577">
        <w:rPr>
          <w:sz w:val="22"/>
          <w:szCs w:val="22"/>
          <w:lang w:val="de-DE"/>
        </w:rPr>
        <w:t> %</w:t>
      </w:r>
      <w:r w:rsidRPr="00C84577">
        <w:rPr>
          <w:sz w:val="22"/>
          <w:szCs w:val="22"/>
          <w:lang w:val="de-DE"/>
        </w:rPr>
        <w:t xml:space="preserve"> KI</w:t>
      </w:r>
      <w:r w:rsidR="00A36C33" w:rsidRPr="00C84577">
        <w:rPr>
          <w:sz w:val="22"/>
          <w:szCs w:val="22"/>
          <w:lang w:val="de-DE"/>
        </w:rPr>
        <w:t> </w:t>
      </w:r>
      <w:r w:rsidRPr="00C84577">
        <w:rPr>
          <w:sz w:val="22"/>
          <w:szCs w:val="22"/>
          <w:lang w:val="de-DE"/>
        </w:rPr>
        <w:t>0,343; 0,516)</w:t>
      </w:r>
    </w:p>
    <w:bookmarkEnd w:id="1"/>
    <w:p w14:paraId="688E7717" w14:textId="4E65FD85" w:rsidR="00C64BFE" w:rsidRDefault="00C64BFE" w:rsidP="00C64BFE">
      <w:pPr>
        <w:keepNext/>
        <w:numPr>
          <w:ilvl w:val="0"/>
          <w:numId w:val="13"/>
        </w:numPr>
        <w:suppressAutoHyphens/>
        <w:spacing w:after="0" w:line="240" w:lineRule="auto"/>
        <w:rPr>
          <w:rFonts w:ascii="Times New Roman" w:hAnsi="Times New Roman" w:cs="Times New Roman"/>
          <w:lang w:val="en-GB"/>
        </w:rPr>
      </w:pPr>
      <w:r w:rsidRPr="00C64BFE">
        <w:rPr>
          <w:rFonts w:ascii="Times New Roman" w:hAnsi="Times New Roman" w:cs="Times New Roman"/>
          <w:lang w:val="en-GB"/>
        </w:rPr>
        <w:t>Stud</w:t>
      </w:r>
      <w:r>
        <w:rPr>
          <w:rFonts w:ascii="Times New Roman" w:hAnsi="Times New Roman" w:cs="Times New Roman"/>
          <w:lang w:val="en-GB"/>
        </w:rPr>
        <w:t>ie</w:t>
      </w:r>
      <w:r w:rsidRPr="00C64BFE">
        <w:rPr>
          <w:rFonts w:ascii="Times New Roman" w:hAnsi="Times New Roman" w:cs="Times New Roman"/>
          <w:lang w:val="en-GB"/>
        </w:rPr>
        <w:t xml:space="preserve"> AVF3694g (</w:t>
      </w:r>
      <w:r>
        <w:rPr>
          <w:rFonts w:ascii="Times New Roman" w:hAnsi="Times New Roman" w:cs="Times New Roman"/>
          <w:lang w:val="en-GB"/>
        </w:rPr>
        <w:t>C</w:t>
      </w:r>
      <w:r w:rsidRPr="00C64BFE">
        <w:rPr>
          <w:rFonts w:ascii="Times New Roman" w:hAnsi="Times New Roman" w:cs="Times New Roman"/>
          <w:lang w:val="en-GB"/>
        </w:rPr>
        <w:t>apecitabin)</w:t>
      </w:r>
    </w:p>
    <w:p w14:paraId="688B9760" w14:textId="2F54EE43" w:rsidR="0008161A" w:rsidRDefault="0008161A" w:rsidP="0008161A">
      <w:pPr>
        <w:pStyle w:val="Default"/>
        <w:ind w:left="1134" w:hanging="567"/>
        <w:rPr>
          <w:lang w:val="de-DE"/>
        </w:rPr>
      </w:pPr>
      <w:r w:rsidRPr="009737B5">
        <w:rPr>
          <w:lang w:val="de-DE"/>
        </w:rPr>
        <w:t>•</w:t>
      </w:r>
      <w:r w:rsidRPr="009737B5">
        <w:rPr>
          <w:lang w:val="de-DE"/>
        </w:rPr>
        <w:tab/>
      </w:r>
      <w:r w:rsidRPr="00C84577">
        <w:rPr>
          <w:sz w:val="22"/>
          <w:szCs w:val="22"/>
          <w:lang w:val="de-DE"/>
        </w:rPr>
        <w:t>Mediane PFS-Verlängerung um 2,9 Monate, HR 0,69 (p = 0,0002, 95</w:t>
      </w:r>
      <w:r w:rsidR="00CA2B95">
        <w:rPr>
          <w:sz w:val="22"/>
          <w:szCs w:val="22"/>
          <w:lang w:val="de-DE"/>
        </w:rPr>
        <w:t> </w:t>
      </w:r>
      <w:r w:rsidRPr="00C84577">
        <w:rPr>
          <w:sz w:val="22"/>
          <w:szCs w:val="22"/>
          <w:lang w:val="de-DE"/>
        </w:rPr>
        <w:t>% KI 0,56; 0,84)</w:t>
      </w:r>
    </w:p>
    <w:p w14:paraId="0A4431DA" w14:textId="77777777" w:rsidR="00AF337C" w:rsidRPr="009737B5" w:rsidRDefault="00AF337C" w:rsidP="00B07BE9">
      <w:pPr>
        <w:keepNext/>
        <w:suppressAutoHyphens/>
        <w:spacing w:after="0" w:line="240" w:lineRule="auto"/>
        <w:rPr>
          <w:rFonts w:ascii="Times New Roman" w:hAnsi="Times New Roman" w:cs="Times New Roman"/>
          <w:lang w:val="de-DE"/>
        </w:rPr>
      </w:pPr>
    </w:p>
    <w:p w14:paraId="753925C0" w14:textId="590E4517"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Detaillierte Angaben </w:t>
      </w:r>
      <w:r w:rsidR="00C64BFE">
        <w:rPr>
          <w:rFonts w:ascii="Times New Roman" w:hAnsi="Times New Roman" w:cs="Times New Roman"/>
          <w:lang w:val="de-DE"/>
        </w:rPr>
        <w:t>zu jeder Studie</w:t>
      </w:r>
      <w:r w:rsidRPr="009737B5">
        <w:rPr>
          <w:rFonts w:ascii="Times New Roman" w:hAnsi="Times New Roman" w:cs="Times New Roman"/>
          <w:lang w:val="de-DE"/>
        </w:rPr>
        <w:t xml:space="preserve"> und die Ergebnisse sind weiter unten aufgeführt.</w:t>
      </w:r>
    </w:p>
    <w:p w14:paraId="2C6A2160" w14:textId="77777777" w:rsidR="00AF337C" w:rsidRPr="009737B5" w:rsidRDefault="00AF337C" w:rsidP="005F4D08">
      <w:pPr>
        <w:suppressAutoHyphens/>
        <w:spacing w:after="0" w:line="240" w:lineRule="auto"/>
        <w:rPr>
          <w:rFonts w:ascii="Times New Roman" w:hAnsi="Times New Roman" w:cs="Times New Roman"/>
          <w:lang w:val="de-DE"/>
        </w:rPr>
      </w:pPr>
    </w:p>
    <w:p w14:paraId="7E8F25A1" w14:textId="77777777" w:rsidR="00AF337C" w:rsidRPr="009737B5" w:rsidRDefault="00AF337C" w:rsidP="007B68D7">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ECOG E2100</w:t>
      </w:r>
    </w:p>
    <w:p w14:paraId="54A395D0" w14:textId="0A9AF062"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Bei der Studie E2100 handelte es sich um eine offene, randomisierte, </w:t>
      </w:r>
      <w:r w:rsidR="008D2C0C" w:rsidRPr="009737B5">
        <w:rPr>
          <w:rFonts w:ascii="Times New Roman" w:hAnsi="Times New Roman" w:cs="Times New Roman"/>
          <w:lang w:val="de-DE"/>
        </w:rPr>
        <w:t>wirkstoff</w:t>
      </w:r>
      <w:r w:rsidRPr="009737B5">
        <w:rPr>
          <w:rFonts w:ascii="Times New Roman" w:hAnsi="Times New Roman" w:cs="Times New Roman"/>
          <w:lang w:val="de-DE"/>
        </w:rPr>
        <w:t xml:space="preserve">kontrollierte, multizentrische Studie zur Beurteilung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Paclitaxel beim lokal rezidivierenden oder metastasierten Mammakarzinom bei Patienten, die zuvor noch keine</w:t>
      </w:r>
      <w:r w:rsidR="00CA5AC6" w:rsidRPr="009737B5">
        <w:rPr>
          <w:rFonts w:ascii="Times New Roman" w:hAnsi="Times New Roman" w:cs="Times New Roman"/>
          <w:lang w:val="de-DE"/>
        </w:rPr>
        <w:t xml:space="preserve"> </w:t>
      </w:r>
      <w:r w:rsidRPr="009737B5">
        <w:rPr>
          <w:rFonts w:ascii="Times New Roman" w:hAnsi="Times New Roman" w:cs="Times New Roman"/>
          <w:lang w:val="de-DE"/>
        </w:rPr>
        <w:t>Chemotherapie zur Behandlung ihrer lokal rezidivierenden oder metastasierten Erkrankung erhalten hatten. Die Patienten wurden einer Behandlung mit Paclitaxel allein (90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über 1</w:t>
      </w:r>
      <w:r w:rsidR="00A36C33">
        <w:rPr>
          <w:rFonts w:ascii="Times New Roman" w:hAnsi="Times New Roman" w:cs="Times New Roman"/>
          <w:lang w:val="de-DE"/>
        </w:rPr>
        <w:t> </w:t>
      </w:r>
      <w:r w:rsidRPr="009737B5">
        <w:rPr>
          <w:rFonts w:ascii="Times New Roman" w:hAnsi="Times New Roman" w:cs="Times New Roman"/>
          <w:lang w:val="de-DE"/>
        </w:rPr>
        <w:t>Stunde einmal wöchentlich über 3</w:t>
      </w:r>
      <w:r w:rsidR="00A36C33">
        <w:rPr>
          <w:rFonts w:ascii="Times New Roman" w:hAnsi="Times New Roman" w:cs="Times New Roman"/>
          <w:lang w:val="de-DE"/>
        </w:rPr>
        <w:t> </w:t>
      </w:r>
      <w:r w:rsidRPr="009737B5">
        <w:rPr>
          <w:rFonts w:ascii="Times New Roman" w:hAnsi="Times New Roman" w:cs="Times New Roman"/>
          <w:lang w:val="de-DE"/>
        </w:rPr>
        <w:t xml:space="preserve">Wochen eines vierwöchigen Behandlungszyklus) oder in Kombination mit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(10</w:t>
      </w:r>
      <w:r w:rsidR="00AB26B9" w:rsidRPr="009737B5">
        <w:rPr>
          <w:rFonts w:ascii="Times New Roman" w:hAnsi="Times New Roman" w:cs="Times New Roman"/>
          <w:lang w:val="de-DE"/>
        </w:rPr>
        <w:t> mg</w:t>
      </w:r>
      <w:r w:rsidRPr="009737B5">
        <w:rPr>
          <w:rFonts w:ascii="Times New Roman" w:hAnsi="Times New Roman" w:cs="Times New Roman"/>
          <w:lang w:val="de-DE"/>
        </w:rPr>
        <w:t>/kg als i.v. Infusion alle zwei Wochen) zugeteilt. Eine vorhergehende Hormontherapie zur Behandlung der metastasierten Erkrankung war erlaubt. Eine adjuvante Behandlung mit einem Taxan war nur erlaubt, wenn diese mindestens 12</w:t>
      </w:r>
      <w:r w:rsidR="00A36C33">
        <w:rPr>
          <w:rFonts w:ascii="Times New Roman" w:hAnsi="Times New Roman" w:cs="Times New Roman"/>
          <w:lang w:val="de-DE"/>
        </w:rPr>
        <w:t> </w:t>
      </w:r>
      <w:r w:rsidRPr="009737B5">
        <w:rPr>
          <w:rFonts w:ascii="Times New Roman" w:hAnsi="Times New Roman" w:cs="Times New Roman"/>
          <w:lang w:val="de-DE"/>
        </w:rPr>
        <w:t>Monate vor Aufnahme in die Studie beendet worden war. Von den 722</w:t>
      </w:r>
      <w:r w:rsidR="00A36C33">
        <w:rPr>
          <w:rFonts w:ascii="Times New Roman" w:hAnsi="Times New Roman" w:cs="Times New Roman"/>
          <w:lang w:val="de-DE"/>
        </w:rPr>
        <w:t> </w:t>
      </w:r>
      <w:r w:rsidRPr="009737B5">
        <w:rPr>
          <w:rFonts w:ascii="Times New Roman" w:hAnsi="Times New Roman" w:cs="Times New Roman"/>
          <w:lang w:val="de-DE"/>
        </w:rPr>
        <w:t>Studienteilnehmern hatte die Mehrzahl (90</w:t>
      </w:r>
      <w:r w:rsidR="00322E40" w:rsidRPr="009737B5">
        <w:rPr>
          <w:rFonts w:ascii="Times New Roman" w:hAnsi="Times New Roman" w:cs="Times New Roman"/>
          <w:lang w:val="de-DE"/>
        </w:rPr>
        <w:t> %</w:t>
      </w:r>
      <w:r w:rsidRPr="009737B5">
        <w:rPr>
          <w:rFonts w:ascii="Times New Roman" w:hAnsi="Times New Roman" w:cs="Times New Roman"/>
          <w:lang w:val="de-DE"/>
        </w:rPr>
        <w:t>) einen negativen H</w:t>
      </w:r>
      <w:r w:rsidR="003331EC" w:rsidRPr="009737B5">
        <w:rPr>
          <w:rFonts w:ascii="Times New Roman" w:hAnsi="Times New Roman" w:cs="Times New Roman"/>
          <w:lang w:val="de-DE"/>
        </w:rPr>
        <w:t>ER2</w:t>
      </w:r>
      <w:r w:rsidR="00493F3F" w:rsidRPr="009737B5">
        <w:rPr>
          <w:rFonts w:ascii="Times New Roman" w:hAnsi="Times New Roman" w:cs="Times New Roman"/>
          <w:lang w:val="de-DE"/>
        </w:rPr>
        <w:t>-</w:t>
      </w:r>
      <w:r w:rsidRPr="009737B5">
        <w:rPr>
          <w:rFonts w:ascii="Times New Roman" w:hAnsi="Times New Roman" w:cs="Times New Roman"/>
          <w:lang w:val="de-DE"/>
        </w:rPr>
        <w:t>Rezeptorstatus. Bei 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war der HER2-Rezeptorstatus unbekannt</w:t>
      </w:r>
      <w:r w:rsidR="00714040">
        <w:rPr>
          <w:rFonts w:ascii="Times New Roman" w:hAnsi="Times New Roman" w:cs="Times New Roman"/>
          <w:lang w:val="de-DE"/>
        </w:rPr>
        <w:t>,</w:t>
      </w:r>
      <w:r w:rsidRPr="009737B5">
        <w:rPr>
          <w:rFonts w:ascii="Times New Roman" w:hAnsi="Times New Roman" w:cs="Times New Roman"/>
          <w:lang w:val="de-DE"/>
        </w:rPr>
        <w:t xml:space="preserve"> und 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waren HER2</w:t>
      </w:r>
      <w:r w:rsidR="001973F4">
        <w:rPr>
          <w:rFonts w:ascii="Times New Roman" w:hAnsi="Times New Roman" w:cs="Times New Roman"/>
          <w:lang w:val="de-DE"/>
        </w:rPr>
        <w:t>-</w:t>
      </w:r>
      <w:r w:rsidRPr="009737B5">
        <w:rPr>
          <w:rFonts w:ascii="Times New Roman" w:hAnsi="Times New Roman" w:cs="Times New Roman"/>
          <w:lang w:val="de-DE"/>
        </w:rPr>
        <w:t>positiv. Diese Patienten waren zuvor mit Trastuzumab behandelt worden oder wurden als ungeeignet für die Trastuzumab-Therapie eingeordnet. Darüber hinaus hatten 65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zuvor eine adjuvante Chemotherapie erhalten, die bei 19</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aus Taxanen und bei 49</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aus Anthracyclinen bestand. Patienten mit ZNS-Metastasen, einschließlich vorbehandelter oder resezierter Hirnläsionen, waren von der Studie ausgeschlossen.</w:t>
      </w:r>
    </w:p>
    <w:p w14:paraId="22B71E03" w14:textId="77777777" w:rsidR="00AF337C" w:rsidRPr="009737B5" w:rsidRDefault="00AF337C" w:rsidP="005F4D08">
      <w:pPr>
        <w:suppressAutoHyphens/>
        <w:spacing w:after="0" w:line="240" w:lineRule="auto"/>
        <w:rPr>
          <w:rFonts w:ascii="Times New Roman" w:hAnsi="Times New Roman" w:cs="Times New Roman"/>
          <w:lang w:val="de-DE"/>
        </w:rPr>
      </w:pPr>
    </w:p>
    <w:p w14:paraId="66071D93" w14:textId="4C6B6DDA" w:rsidR="00AF337C" w:rsidRPr="009737B5"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Studienteilnehmer in Studie</w:t>
      </w:r>
      <w:r w:rsidR="00A36C33">
        <w:rPr>
          <w:rFonts w:ascii="Times New Roman" w:hAnsi="Times New Roman" w:cs="Times New Roman"/>
          <w:lang w:val="de-DE"/>
        </w:rPr>
        <w:t> </w:t>
      </w:r>
      <w:r w:rsidRPr="009737B5">
        <w:rPr>
          <w:rFonts w:ascii="Times New Roman" w:hAnsi="Times New Roman" w:cs="Times New Roman"/>
          <w:lang w:val="de-DE"/>
        </w:rPr>
        <w:t>E2100 wurden bis zum Fortschreiten der Erkrankung behandelt.</w:t>
      </w:r>
      <w:r w:rsidR="00CA5AC6" w:rsidRPr="009737B5">
        <w:rPr>
          <w:rFonts w:ascii="Times New Roman" w:hAnsi="Times New Roman" w:cs="Times New Roman"/>
          <w:lang w:val="de-DE"/>
        </w:rPr>
        <w:t xml:space="preserve"> </w:t>
      </w:r>
      <w:r w:rsidRPr="009737B5">
        <w:rPr>
          <w:rFonts w:ascii="Times New Roman" w:hAnsi="Times New Roman" w:cs="Times New Roman"/>
          <w:lang w:val="de-DE"/>
        </w:rPr>
        <w:t>Wenn ein frühzeitiges Abbrechen der Chemotherapie erforderlich war, wurde die Behandlung mit</w:t>
      </w:r>
      <w:r w:rsidR="00CA5AC6" w:rsidRPr="009737B5">
        <w:rPr>
          <w:rFonts w:ascii="Times New Roman" w:hAnsi="Times New Roman" w:cs="Times New Roman"/>
          <w:lang w:val="de-DE"/>
        </w:rPr>
        <w:t xml:space="preserve">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als Monotherapie bis zum Fortschreiten der Erkrankung fortgesetzt. Die</w:t>
      </w:r>
      <w:r w:rsidR="00CA5AC6" w:rsidRPr="009737B5">
        <w:rPr>
          <w:rFonts w:ascii="Times New Roman" w:hAnsi="Times New Roman" w:cs="Times New Roman"/>
          <w:lang w:val="de-DE"/>
        </w:rPr>
        <w:t xml:space="preserve"> </w:t>
      </w:r>
      <w:r w:rsidRPr="009737B5">
        <w:rPr>
          <w:rFonts w:ascii="Times New Roman" w:hAnsi="Times New Roman" w:cs="Times New Roman"/>
          <w:lang w:val="de-DE"/>
        </w:rPr>
        <w:t>Patientencharakteristika waren in beiden Studienarmen ähnlich. Der primäre Endpunkt der Studie war das progressionsfreie Überleben (PFS), basierend auf der Bewertung des Fortschreitens der Erkrankung durch den Prüfarzt. Zusätzlich wurde eine unabhängige Nachprüfung des primären Endpunktes durchgeführt. Die Ergebnisse der Studie sind in Tabelle</w:t>
      </w:r>
      <w:r w:rsidR="00A36C33">
        <w:rPr>
          <w:rFonts w:ascii="Times New Roman" w:hAnsi="Times New Roman" w:cs="Times New Roman"/>
          <w:lang w:val="de-DE"/>
        </w:rPr>
        <w:t> </w:t>
      </w:r>
      <w:r w:rsidRPr="009737B5">
        <w:rPr>
          <w:rFonts w:ascii="Times New Roman" w:hAnsi="Times New Roman" w:cs="Times New Roman"/>
          <w:lang w:val="de-DE"/>
        </w:rPr>
        <w:t>10 dargestellt.</w:t>
      </w:r>
    </w:p>
    <w:p w14:paraId="3A066AFE" w14:textId="77777777" w:rsidR="00AF337C" w:rsidRPr="009737B5" w:rsidRDefault="00AF337C" w:rsidP="005F4D08">
      <w:pPr>
        <w:suppressAutoHyphens/>
        <w:spacing w:after="0" w:line="240" w:lineRule="auto"/>
        <w:rPr>
          <w:rFonts w:ascii="Times New Roman" w:hAnsi="Times New Roman" w:cs="Times New Roman"/>
          <w:lang w:val="de-DE"/>
        </w:rPr>
      </w:pPr>
    </w:p>
    <w:p w14:paraId="23435CE7" w14:textId="5CE82ACE" w:rsidR="00AF337C" w:rsidRPr="009737B5" w:rsidRDefault="007B68D7" w:rsidP="004D0273">
      <w:pPr>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A36C33">
        <w:rPr>
          <w:rFonts w:ascii="Times New Roman" w:hAnsi="Times New Roman" w:cs="Times New Roman"/>
          <w:b/>
          <w:lang w:val="de-DE"/>
        </w:rPr>
        <w:t> </w:t>
      </w:r>
      <w:r w:rsidRPr="009737B5">
        <w:rPr>
          <w:rFonts w:ascii="Times New Roman" w:hAnsi="Times New Roman" w:cs="Times New Roman"/>
          <w:b/>
          <w:lang w:val="de-DE"/>
        </w:rPr>
        <w:t>10.</w:t>
      </w:r>
      <w:r w:rsidR="00AF337C" w:rsidRPr="009737B5">
        <w:rPr>
          <w:rFonts w:ascii="Times New Roman" w:hAnsi="Times New Roman" w:cs="Times New Roman"/>
          <w:b/>
          <w:lang w:val="de-DE"/>
        </w:rPr>
        <w:t xml:space="preserve"> Wirksamkeitsergebnisse in Studie</w:t>
      </w:r>
      <w:r w:rsidR="00A36C33">
        <w:rPr>
          <w:rFonts w:ascii="Times New Roman" w:hAnsi="Times New Roman" w:cs="Times New Roman"/>
          <w:b/>
          <w:lang w:val="de-DE"/>
        </w:rPr>
        <w:t> </w:t>
      </w:r>
      <w:r w:rsidR="00AF337C" w:rsidRPr="009737B5">
        <w:rPr>
          <w:rFonts w:ascii="Times New Roman" w:hAnsi="Times New Roman" w:cs="Times New Roman"/>
          <w:b/>
          <w:lang w:val="de-DE"/>
        </w:rPr>
        <w:t>E2100</w:t>
      </w:r>
    </w:p>
    <w:p w14:paraId="6A4FE075" w14:textId="77777777" w:rsidR="002A323A" w:rsidRPr="009737B5" w:rsidRDefault="002A323A" w:rsidP="004D0273">
      <w:pPr>
        <w:suppressAutoHyphens/>
        <w:spacing w:after="0" w:line="240" w:lineRule="auto"/>
        <w:rPr>
          <w:rFonts w:ascii="Times New Roman" w:hAnsi="Times New Roman" w:cs="Times New Roman"/>
          <w:lang w:val="de-DE"/>
        </w:rPr>
      </w:pPr>
    </w:p>
    <w:tbl>
      <w:tblPr>
        <w:tblW w:w="8842" w:type="dxa"/>
        <w:tblInd w:w="-5" w:type="dxa"/>
        <w:tblCellMar>
          <w:top w:w="27" w:type="dxa"/>
          <w:right w:w="115" w:type="dxa"/>
        </w:tblCellMar>
        <w:tblLook w:val="04A0" w:firstRow="1" w:lastRow="0" w:firstColumn="1" w:lastColumn="0" w:noHBand="0" w:noVBand="1"/>
      </w:tblPr>
      <w:tblGrid>
        <w:gridCol w:w="2362"/>
        <w:gridCol w:w="1607"/>
        <w:gridCol w:w="1633"/>
        <w:gridCol w:w="1628"/>
        <w:gridCol w:w="1612"/>
      </w:tblGrid>
      <w:tr w:rsidR="00E251E5" w:rsidRPr="00402720" w14:paraId="0D586702" w14:textId="77777777" w:rsidTr="00067A56">
        <w:trPr>
          <w:trHeight w:val="20"/>
        </w:trPr>
        <w:tc>
          <w:tcPr>
            <w:tcW w:w="8842" w:type="dxa"/>
            <w:gridSpan w:val="5"/>
            <w:tcBorders>
              <w:top w:val="single" w:sz="4" w:space="0" w:color="000000"/>
              <w:left w:val="single" w:sz="4" w:space="0" w:color="000000"/>
              <w:bottom w:val="single" w:sz="4" w:space="0" w:color="000000"/>
              <w:right w:val="single" w:sz="4" w:space="0" w:color="000000"/>
            </w:tcBorders>
          </w:tcPr>
          <w:p w14:paraId="1562E0D7" w14:textId="77777777" w:rsidR="00E251E5" w:rsidRPr="00402720" w:rsidRDefault="00E251E5" w:rsidP="004D0273">
            <w:pPr>
              <w:spacing w:after="0" w:line="240" w:lineRule="auto"/>
              <w:rPr>
                <w:rFonts w:ascii="Times New Roman" w:hAnsi="Times New Roman" w:cs="Times New Roman"/>
                <w:lang w:val="de-DE"/>
              </w:rPr>
            </w:pPr>
            <w:r w:rsidRPr="00402720">
              <w:rPr>
                <w:rFonts w:ascii="Times New Roman" w:hAnsi="Times New Roman" w:cs="Times New Roman"/>
                <w:lang w:val="de-DE"/>
              </w:rPr>
              <w:t>Progressionsfreies Überleben (PFS)</w:t>
            </w:r>
          </w:p>
        </w:tc>
      </w:tr>
      <w:tr w:rsidR="002A323A" w:rsidRPr="00B83674" w14:paraId="3AE6DF8C" w14:textId="77777777" w:rsidTr="00067A56">
        <w:trPr>
          <w:trHeight w:val="20"/>
        </w:trPr>
        <w:tc>
          <w:tcPr>
            <w:tcW w:w="2362" w:type="dxa"/>
            <w:tcBorders>
              <w:top w:val="single" w:sz="4" w:space="0" w:color="000000"/>
              <w:left w:val="single" w:sz="4" w:space="0" w:color="000000"/>
              <w:bottom w:val="single" w:sz="4" w:space="0" w:color="000000"/>
              <w:right w:val="single" w:sz="4" w:space="0" w:color="000000"/>
            </w:tcBorders>
          </w:tcPr>
          <w:p w14:paraId="13747578" w14:textId="77777777" w:rsidR="002A323A" w:rsidRPr="00402720" w:rsidRDefault="002A323A" w:rsidP="004D0273">
            <w:pPr>
              <w:spacing w:after="0" w:line="240" w:lineRule="auto"/>
              <w:rPr>
                <w:rFonts w:ascii="Times New Roman" w:hAnsi="Times New Roman" w:cs="Times New Roman"/>
                <w:lang w:val="de-DE"/>
              </w:rPr>
            </w:pPr>
          </w:p>
        </w:tc>
        <w:tc>
          <w:tcPr>
            <w:tcW w:w="3240" w:type="dxa"/>
            <w:gridSpan w:val="2"/>
            <w:tcBorders>
              <w:top w:val="single" w:sz="4" w:space="0" w:color="000000"/>
              <w:left w:val="single" w:sz="4" w:space="0" w:color="000000"/>
              <w:bottom w:val="single" w:sz="4" w:space="0" w:color="000000"/>
              <w:right w:val="single" w:sz="4" w:space="0" w:color="000000"/>
            </w:tcBorders>
          </w:tcPr>
          <w:p w14:paraId="75CB49D8" w14:textId="77777777" w:rsidR="002A323A" w:rsidRPr="00402720" w:rsidRDefault="00D71201"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Bewertung durch den Prüfarzt*</w:t>
            </w:r>
          </w:p>
        </w:tc>
        <w:tc>
          <w:tcPr>
            <w:tcW w:w="3240" w:type="dxa"/>
            <w:gridSpan w:val="2"/>
            <w:tcBorders>
              <w:top w:val="single" w:sz="4" w:space="0" w:color="000000"/>
              <w:left w:val="single" w:sz="4" w:space="0" w:color="000000"/>
              <w:bottom w:val="single" w:sz="4" w:space="0" w:color="000000"/>
              <w:right w:val="single" w:sz="4" w:space="0" w:color="000000"/>
            </w:tcBorders>
          </w:tcPr>
          <w:p w14:paraId="12DCC7BA" w14:textId="77777777" w:rsidR="002A323A" w:rsidRPr="00402720" w:rsidRDefault="002A323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Bewertung durch das u</w:t>
            </w:r>
            <w:r w:rsidR="00D71201" w:rsidRPr="00402720">
              <w:rPr>
                <w:rFonts w:ascii="Times New Roman" w:hAnsi="Times New Roman" w:cs="Times New Roman"/>
                <w:lang w:val="de-DE"/>
              </w:rPr>
              <w:t>nabhängige Review-Komitee (IRC)</w:t>
            </w:r>
          </w:p>
        </w:tc>
      </w:tr>
      <w:tr w:rsidR="002A323A" w:rsidRPr="00402720" w14:paraId="0E1C0657" w14:textId="77777777" w:rsidTr="00067A56">
        <w:trPr>
          <w:trHeight w:val="20"/>
        </w:trPr>
        <w:tc>
          <w:tcPr>
            <w:tcW w:w="2362" w:type="dxa"/>
            <w:tcBorders>
              <w:top w:val="single" w:sz="4" w:space="0" w:color="000000"/>
              <w:left w:val="single" w:sz="4" w:space="0" w:color="000000"/>
              <w:bottom w:val="single" w:sz="4" w:space="0" w:color="000000"/>
              <w:right w:val="single" w:sz="4" w:space="0" w:color="000000"/>
            </w:tcBorders>
          </w:tcPr>
          <w:p w14:paraId="461AC172" w14:textId="77777777" w:rsidR="002A323A" w:rsidRPr="00402720" w:rsidRDefault="002A323A" w:rsidP="004D0273">
            <w:pPr>
              <w:spacing w:after="0" w:line="240" w:lineRule="auto"/>
              <w:rPr>
                <w:rFonts w:ascii="Times New Roman" w:hAnsi="Times New Roman" w:cs="Times New Roman"/>
                <w:lang w:val="de-DE"/>
              </w:rPr>
            </w:pPr>
          </w:p>
        </w:tc>
        <w:tc>
          <w:tcPr>
            <w:tcW w:w="1607" w:type="dxa"/>
            <w:tcBorders>
              <w:top w:val="single" w:sz="4" w:space="0" w:color="000000"/>
              <w:left w:val="single" w:sz="4" w:space="0" w:color="000000"/>
              <w:bottom w:val="single" w:sz="4" w:space="0" w:color="000000"/>
              <w:right w:val="single" w:sz="4" w:space="0" w:color="000000"/>
            </w:tcBorders>
          </w:tcPr>
          <w:p w14:paraId="0B7C061D" w14:textId="77777777" w:rsidR="002A323A" w:rsidRPr="00402720" w:rsidRDefault="002A323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Paclitaxel</w:t>
            </w:r>
          </w:p>
          <w:p w14:paraId="300335E4" w14:textId="77777777" w:rsidR="002A323A" w:rsidRPr="00402720" w:rsidRDefault="002A323A" w:rsidP="004D0273">
            <w:pPr>
              <w:spacing w:after="0" w:line="240" w:lineRule="auto"/>
              <w:jc w:val="center"/>
              <w:rPr>
                <w:rFonts w:ascii="Times New Roman" w:hAnsi="Times New Roman" w:cs="Times New Roman"/>
                <w:lang w:val="de-DE"/>
              </w:rPr>
            </w:pPr>
          </w:p>
          <w:p w14:paraId="06373DE1" w14:textId="77777777" w:rsidR="002A323A" w:rsidRPr="00402720" w:rsidRDefault="00D71201"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354)</w:t>
            </w:r>
          </w:p>
        </w:tc>
        <w:tc>
          <w:tcPr>
            <w:tcW w:w="1633" w:type="dxa"/>
            <w:tcBorders>
              <w:top w:val="single" w:sz="4" w:space="0" w:color="000000"/>
              <w:left w:val="single" w:sz="4" w:space="0" w:color="000000"/>
              <w:bottom w:val="single" w:sz="4" w:space="0" w:color="000000"/>
              <w:right w:val="single" w:sz="4" w:space="0" w:color="000000"/>
            </w:tcBorders>
          </w:tcPr>
          <w:p w14:paraId="104D903F" w14:textId="77777777" w:rsidR="002A323A" w:rsidRPr="00402720" w:rsidRDefault="002A323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Paclitaxel/</w:t>
            </w:r>
          </w:p>
          <w:p w14:paraId="0AA37A83" w14:textId="77777777" w:rsidR="002A323A" w:rsidRPr="00402720" w:rsidRDefault="00A15C0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Bevacizumab</w:t>
            </w:r>
          </w:p>
          <w:p w14:paraId="3C9F9ADA" w14:textId="77777777" w:rsidR="002A323A" w:rsidRPr="00402720" w:rsidRDefault="00D71201"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368)</w:t>
            </w:r>
          </w:p>
        </w:tc>
        <w:tc>
          <w:tcPr>
            <w:tcW w:w="1628" w:type="dxa"/>
            <w:tcBorders>
              <w:top w:val="single" w:sz="4" w:space="0" w:color="000000"/>
              <w:left w:val="single" w:sz="4" w:space="0" w:color="000000"/>
              <w:bottom w:val="single" w:sz="4" w:space="0" w:color="000000"/>
              <w:right w:val="single" w:sz="4" w:space="0" w:color="000000"/>
            </w:tcBorders>
          </w:tcPr>
          <w:p w14:paraId="52047DED" w14:textId="77777777" w:rsidR="002A323A" w:rsidRPr="00402720" w:rsidRDefault="002A323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Paclitaxel</w:t>
            </w:r>
          </w:p>
          <w:p w14:paraId="115FDA0C" w14:textId="77777777" w:rsidR="002A323A" w:rsidRPr="00402720" w:rsidRDefault="002A323A" w:rsidP="004D0273">
            <w:pPr>
              <w:spacing w:after="0" w:line="240" w:lineRule="auto"/>
              <w:jc w:val="center"/>
              <w:rPr>
                <w:rFonts w:ascii="Times New Roman" w:hAnsi="Times New Roman" w:cs="Times New Roman"/>
                <w:lang w:val="de-DE"/>
              </w:rPr>
            </w:pPr>
          </w:p>
          <w:p w14:paraId="253CB5E2" w14:textId="77777777" w:rsidR="002A323A" w:rsidRPr="00402720" w:rsidRDefault="00D71201"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354)</w:t>
            </w:r>
          </w:p>
        </w:tc>
        <w:tc>
          <w:tcPr>
            <w:tcW w:w="1612" w:type="dxa"/>
            <w:tcBorders>
              <w:top w:val="single" w:sz="4" w:space="0" w:color="000000"/>
              <w:left w:val="single" w:sz="4" w:space="0" w:color="000000"/>
              <w:bottom w:val="single" w:sz="4" w:space="0" w:color="000000"/>
              <w:right w:val="single" w:sz="4" w:space="0" w:color="000000"/>
            </w:tcBorders>
          </w:tcPr>
          <w:p w14:paraId="251A696F" w14:textId="77777777" w:rsidR="002A323A" w:rsidRPr="00402720" w:rsidRDefault="002A323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Paclitaxel/</w:t>
            </w:r>
          </w:p>
          <w:p w14:paraId="014B81FF" w14:textId="77777777" w:rsidR="002A323A" w:rsidRPr="00402720" w:rsidRDefault="00A15C0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Bevacizumab</w:t>
            </w:r>
          </w:p>
          <w:p w14:paraId="48C6CFBB" w14:textId="77777777" w:rsidR="002A323A" w:rsidRPr="00402720" w:rsidRDefault="002A323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368)</w:t>
            </w:r>
          </w:p>
        </w:tc>
      </w:tr>
      <w:tr w:rsidR="002A323A" w:rsidRPr="00402720" w14:paraId="5A5920A0" w14:textId="77777777" w:rsidTr="00067A56">
        <w:trPr>
          <w:trHeight w:val="20"/>
        </w:trPr>
        <w:tc>
          <w:tcPr>
            <w:tcW w:w="2362" w:type="dxa"/>
            <w:tcBorders>
              <w:top w:val="single" w:sz="4" w:space="0" w:color="000000"/>
              <w:left w:val="single" w:sz="4" w:space="0" w:color="000000"/>
              <w:bottom w:val="single" w:sz="4" w:space="0" w:color="000000"/>
              <w:right w:val="single" w:sz="4" w:space="0" w:color="000000"/>
            </w:tcBorders>
          </w:tcPr>
          <w:p w14:paraId="642BE888" w14:textId="77777777" w:rsidR="002A323A" w:rsidRPr="00402720" w:rsidRDefault="002A323A" w:rsidP="004D0273">
            <w:pPr>
              <w:spacing w:after="0" w:line="240" w:lineRule="auto"/>
              <w:ind w:left="4" w:hanging="4"/>
              <w:rPr>
                <w:rFonts w:ascii="Times New Roman" w:hAnsi="Times New Roman" w:cs="Times New Roman"/>
                <w:lang w:val="de-DE"/>
              </w:rPr>
            </w:pPr>
            <w:r w:rsidRPr="00402720">
              <w:rPr>
                <w:rFonts w:ascii="Times New Roman" w:hAnsi="Times New Roman" w:cs="Times New Roman"/>
                <w:lang w:val="de-DE"/>
              </w:rPr>
              <w:t xml:space="preserve">Medianes PFS (Monate) </w:t>
            </w:r>
          </w:p>
        </w:tc>
        <w:tc>
          <w:tcPr>
            <w:tcW w:w="1607" w:type="dxa"/>
            <w:tcBorders>
              <w:top w:val="single" w:sz="4" w:space="0" w:color="000000"/>
              <w:left w:val="single" w:sz="4" w:space="0" w:color="000000"/>
              <w:bottom w:val="single" w:sz="4" w:space="0" w:color="000000"/>
              <w:right w:val="single" w:sz="4" w:space="0" w:color="000000"/>
            </w:tcBorders>
          </w:tcPr>
          <w:p w14:paraId="03849AB4" w14:textId="77777777" w:rsidR="002A323A" w:rsidRPr="00402720" w:rsidRDefault="002A323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5,8</w:t>
            </w:r>
          </w:p>
        </w:tc>
        <w:tc>
          <w:tcPr>
            <w:tcW w:w="1633" w:type="dxa"/>
            <w:tcBorders>
              <w:top w:val="single" w:sz="4" w:space="0" w:color="000000"/>
              <w:left w:val="single" w:sz="4" w:space="0" w:color="000000"/>
              <w:bottom w:val="single" w:sz="4" w:space="0" w:color="000000"/>
              <w:right w:val="single" w:sz="4" w:space="0" w:color="000000"/>
            </w:tcBorders>
          </w:tcPr>
          <w:p w14:paraId="112F9115" w14:textId="77777777" w:rsidR="002A323A" w:rsidRPr="00402720" w:rsidRDefault="002A323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11,4</w:t>
            </w:r>
          </w:p>
        </w:tc>
        <w:tc>
          <w:tcPr>
            <w:tcW w:w="1628" w:type="dxa"/>
            <w:tcBorders>
              <w:top w:val="single" w:sz="4" w:space="0" w:color="000000"/>
              <w:left w:val="single" w:sz="4" w:space="0" w:color="000000"/>
              <w:bottom w:val="single" w:sz="4" w:space="0" w:color="000000"/>
              <w:right w:val="single" w:sz="4" w:space="0" w:color="000000"/>
            </w:tcBorders>
          </w:tcPr>
          <w:p w14:paraId="68DD941D" w14:textId="77777777" w:rsidR="002A323A" w:rsidRPr="00402720" w:rsidRDefault="002A323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5,8</w:t>
            </w:r>
          </w:p>
        </w:tc>
        <w:tc>
          <w:tcPr>
            <w:tcW w:w="1612" w:type="dxa"/>
            <w:tcBorders>
              <w:top w:val="single" w:sz="4" w:space="0" w:color="000000"/>
              <w:left w:val="single" w:sz="4" w:space="0" w:color="000000"/>
              <w:bottom w:val="single" w:sz="4" w:space="0" w:color="000000"/>
              <w:right w:val="single" w:sz="4" w:space="0" w:color="000000"/>
            </w:tcBorders>
          </w:tcPr>
          <w:p w14:paraId="1788134D" w14:textId="77777777" w:rsidR="002A323A" w:rsidRPr="00402720" w:rsidRDefault="002A323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11,3</w:t>
            </w:r>
          </w:p>
        </w:tc>
      </w:tr>
      <w:tr w:rsidR="002A323A" w:rsidRPr="00402720" w14:paraId="75E314A1" w14:textId="77777777" w:rsidTr="00067A56">
        <w:trPr>
          <w:trHeight w:val="20"/>
        </w:trPr>
        <w:tc>
          <w:tcPr>
            <w:tcW w:w="2362" w:type="dxa"/>
            <w:tcBorders>
              <w:top w:val="single" w:sz="4" w:space="0" w:color="000000"/>
              <w:left w:val="single" w:sz="4" w:space="0" w:color="000000"/>
              <w:bottom w:val="single" w:sz="4" w:space="0" w:color="000000"/>
              <w:right w:val="single" w:sz="4" w:space="0" w:color="000000"/>
            </w:tcBorders>
          </w:tcPr>
          <w:p w14:paraId="2845880C" w14:textId="77777777" w:rsidR="00067A56" w:rsidRPr="00402720" w:rsidRDefault="002A323A" w:rsidP="004D0273">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HR</w:t>
            </w:r>
          </w:p>
          <w:p w14:paraId="0E80F9BF" w14:textId="295B3139" w:rsidR="002A323A" w:rsidRPr="00402720" w:rsidRDefault="002A323A" w:rsidP="004D0273">
            <w:pPr>
              <w:spacing w:after="0" w:line="240" w:lineRule="auto"/>
              <w:ind w:left="567"/>
              <w:rPr>
                <w:rFonts w:ascii="Times New Roman" w:hAnsi="Times New Roman" w:cs="Times New Roman"/>
                <w:lang w:val="de-DE"/>
              </w:rPr>
            </w:pPr>
            <w:r w:rsidRPr="00402720">
              <w:rPr>
                <w:rFonts w:ascii="Times New Roman" w:hAnsi="Times New Roman" w:cs="Times New Roman"/>
                <w:lang w:val="de-DE"/>
              </w:rPr>
              <w:t>(95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 xml:space="preserve">KI) </w:t>
            </w:r>
          </w:p>
        </w:tc>
        <w:tc>
          <w:tcPr>
            <w:tcW w:w="3240" w:type="dxa"/>
            <w:gridSpan w:val="2"/>
            <w:tcBorders>
              <w:top w:val="single" w:sz="4" w:space="0" w:color="000000"/>
              <w:left w:val="single" w:sz="4" w:space="0" w:color="000000"/>
              <w:bottom w:val="single" w:sz="4" w:space="0" w:color="000000"/>
              <w:right w:val="single" w:sz="4" w:space="0" w:color="000000"/>
            </w:tcBorders>
          </w:tcPr>
          <w:p w14:paraId="04F9CF82" w14:textId="77777777" w:rsidR="002A323A" w:rsidRPr="00402720" w:rsidRDefault="00D71201"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0,421</w:t>
            </w:r>
          </w:p>
          <w:p w14:paraId="7E9A6DC3" w14:textId="77777777" w:rsidR="002A323A" w:rsidRPr="00402720" w:rsidRDefault="002A323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(0,343; 0,516)</w:t>
            </w:r>
          </w:p>
        </w:tc>
        <w:tc>
          <w:tcPr>
            <w:tcW w:w="3240" w:type="dxa"/>
            <w:gridSpan w:val="2"/>
            <w:tcBorders>
              <w:top w:val="single" w:sz="4" w:space="0" w:color="000000"/>
              <w:left w:val="single" w:sz="4" w:space="0" w:color="000000"/>
              <w:bottom w:val="single" w:sz="4" w:space="0" w:color="000000"/>
              <w:right w:val="single" w:sz="4" w:space="0" w:color="000000"/>
            </w:tcBorders>
          </w:tcPr>
          <w:p w14:paraId="0571D33F" w14:textId="77777777" w:rsidR="002A323A" w:rsidRPr="00402720" w:rsidRDefault="00D71201"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0,483</w:t>
            </w:r>
          </w:p>
          <w:p w14:paraId="7AC1BFAC" w14:textId="77777777" w:rsidR="002A323A" w:rsidRPr="00402720" w:rsidRDefault="002A323A"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(0,385; 0,607)</w:t>
            </w:r>
          </w:p>
        </w:tc>
      </w:tr>
      <w:tr w:rsidR="002A323A" w:rsidRPr="00402720" w14:paraId="00E1CAFF" w14:textId="77777777" w:rsidTr="00067A56">
        <w:trPr>
          <w:trHeight w:val="20"/>
        </w:trPr>
        <w:tc>
          <w:tcPr>
            <w:tcW w:w="2362" w:type="dxa"/>
            <w:tcBorders>
              <w:top w:val="single" w:sz="4" w:space="0" w:color="000000"/>
              <w:left w:val="single" w:sz="4" w:space="0" w:color="000000"/>
              <w:bottom w:val="single" w:sz="4" w:space="0" w:color="000000"/>
              <w:right w:val="single" w:sz="4" w:space="0" w:color="000000"/>
            </w:tcBorders>
          </w:tcPr>
          <w:p w14:paraId="239B5B1A" w14:textId="77777777" w:rsidR="002A323A" w:rsidRPr="00402720" w:rsidRDefault="002A323A" w:rsidP="004D0273">
            <w:pPr>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p-Wert </w:t>
            </w:r>
          </w:p>
        </w:tc>
        <w:tc>
          <w:tcPr>
            <w:tcW w:w="3240" w:type="dxa"/>
            <w:gridSpan w:val="2"/>
            <w:tcBorders>
              <w:top w:val="single" w:sz="4" w:space="0" w:color="000000"/>
              <w:left w:val="single" w:sz="4" w:space="0" w:color="000000"/>
              <w:bottom w:val="single" w:sz="4" w:space="0" w:color="000000"/>
              <w:right w:val="single" w:sz="4" w:space="0" w:color="000000"/>
            </w:tcBorders>
          </w:tcPr>
          <w:p w14:paraId="1A02BC9B" w14:textId="77777777" w:rsidR="002A323A" w:rsidRPr="00402720" w:rsidRDefault="00E32D5C"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&lt; </w:t>
            </w:r>
            <w:r w:rsidR="002A323A" w:rsidRPr="00402720">
              <w:rPr>
                <w:rFonts w:ascii="Times New Roman" w:hAnsi="Times New Roman" w:cs="Times New Roman"/>
                <w:lang w:val="de-DE"/>
              </w:rPr>
              <w:t>0,0001</w:t>
            </w:r>
          </w:p>
        </w:tc>
        <w:tc>
          <w:tcPr>
            <w:tcW w:w="3240" w:type="dxa"/>
            <w:gridSpan w:val="2"/>
            <w:tcBorders>
              <w:top w:val="single" w:sz="4" w:space="0" w:color="000000"/>
              <w:left w:val="single" w:sz="4" w:space="0" w:color="000000"/>
              <w:bottom w:val="single" w:sz="4" w:space="0" w:color="000000"/>
              <w:right w:val="single" w:sz="4" w:space="0" w:color="000000"/>
            </w:tcBorders>
          </w:tcPr>
          <w:p w14:paraId="760A36B6" w14:textId="77777777" w:rsidR="002A323A" w:rsidRPr="00402720" w:rsidRDefault="00E32D5C" w:rsidP="004D027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&lt; </w:t>
            </w:r>
            <w:r w:rsidR="002A323A" w:rsidRPr="00402720">
              <w:rPr>
                <w:rFonts w:ascii="Times New Roman" w:hAnsi="Times New Roman" w:cs="Times New Roman"/>
                <w:lang w:val="de-DE"/>
              </w:rPr>
              <w:t>0,0001</w:t>
            </w:r>
          </w:p>
        </w:tc>
      </w:tr>
      <w:tr w:rsidR="006F57CA" w:rsidRPr="00AA0497" w14:paraId="26FA6C16" w14:textId="77777777" w:rsidTr="00067A56">
        <w:trPr>
          <w:trHeight w:val="20"/>
        </w:trPr>
        <w:tc>
          <w:tcPr>
            <w:tcW w:w="8842" w:type="dxa"/>
            <w:gridSpan w:val="5"/>
            <w:tcBorders>
              <w:top w:val="single" w:sz="4" w:space="0" w:color="000000"/>
              <w:left w:val="single" w:sz="4" w:space="0" w:color="000000"/>
              <w:bottom w:val="single" w:sz="4" w:space="0" w:color="000000"/>
              <w:right w:val="single" w:sz="4" w:space="0" w:color="000000"/>
            </w:tcBorders>
          </w:tcPr>
          <w:p w14:paraId="71355B3F" w14:textId="77777777" w:rsidR="006F57CA" w:rsidRPr="00402720" w:rsidRDefault="006F57CA">
            <w:pPr>
              <w:keepNext/>
              <w:keepLines/>
              <w:spacing w:after="0" w:line="240" w:lineRule="auto"/>
              <w:rPr>
                <w:rFonts w:ascii="Times New Roman" w:hAnsi="Times New Roman" w:cs="Times New Roman"/>
                <w:lang w:val="de-DE"/>
              </w:rPr>
            </w:pPr>
            <w:r w:rsidRPr="00402720">
              <w:rPr>
                <w:rFonts w:ascii="Times New Roman" w:hAnsi="Times New Roman" w:cs="Times New Roman"/>
                <w:lang w:val="de-DE"/>
              </w:rPr>
              <w:lastRenderedPageBreak/>
              <w:t>Ansprechraten (von Patienten mit messbarer Erkrankung)</w:t>
            </w:r>
          </w:p>
        </w:tc>
      </w:tr>
      <w:tr w:rsidR="002A323A" w:rsidRPr="00B83674" w14:paraId="04E7C22F" w14:textId="77777777" w:rsidTr="00067A56">
        <w:trPr>
          <w:trHeight w:val="20"/>
        </w:trPr>
        <w:tc>
          <w:tcPr>
            <w:tcW w:w="2362" w:type="dxa"/>
            <w:tcBorders>
              <w:top w:val="single" w:sz="4" w:space="0" w:color="000000"/>
              <w:left w:val="single" w:sz="4" w:space="0" w:color="000000"/>
              <w:bottom w:val="single" w:sz="4" w:space="0" w:color="000000"/>
              <w:right w:val="single" w:sz="4" w:space="0" w:color="000000"/>
            </w:tcBorders>
          </w:tcPr>
          <w:p w14:paraId="70115218" w14:textId="77777777" w:rsidR="002A323A" w:rsidRPr="00402720" w:rsidRDefault="002A323A">
            <w:pPr>
              <w:keepNext/>
              <w:keepLines/>
              <w:spacing w:after="0" w:line="240" w:lineRule="auto"/>
              <w:rPr>
                <w:rFonts w:ascii="Times New Roman" w:hAnsi="Times New Roman" w:cs="Times New Roman"/>
                <w:lang w:val="de-DE"/>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3875535" w14:textId="77777777" w:rsidR="002A323A" w:rsidRPr="00402720" w:rsidRDefault="002A323A">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Bewertung durch den Prüfarzt</w:t>
            </w:r>
          </w:p>
        </w:tc>
        <w:tc>
          <w:tcPr>
            <w:tcW w:w="3240" w:type="dxa"/>
            <w:gridSpan w:val="2"/>
            <w:tcBorders>
              <w:top w:val="single" w:sz="4" w:space="0" w:color="000000"/>
              <w:left w:val="single" w:sz="4" w:space="0" w:color="000000"/>
              <w:bottom w:val="single" w:sz="4" w:space="0" w:color="000000"/>
              <w:right w:val="single" w:sz="4" w:space="0" w:color="000000"/>
            </w:tcBorders>
          </w:tcPr>
          <w:p w14:paraId="59DCC112" w14:textId="77777777" w:rsidR="002A323A" w:rsidRPr="00402720" w:rsidRDefault="002A323A">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Bewertung durch das unabhängige Review-Komitee (IRC)</w:t>
            </w:r>
          </w:p>
        </w:tc>
      </w:tr>
      <w:tr w:rsidR="002A323A" w:rsidRPr="00402720" w14:paraId="0458845A" w14:textId="77777777" w:rsidTr="00067A56">
        <w:trPr>
          <w:trHeight w:val="20"/>
        </w:trPr>
        <w:tc>
          <w:tcPr>
            <w:tcW w:w="2362" w:type="dxa"/>
            <w:tcBorders>
              <w:top w:val="single" w:sz="4" w:space="0" w:color="000000"/>
              <w:left w:val="single" w:sz="4" w:space="0" w:color="000000"/>
              <w:bottom w:val="single" w:sz="4" w:space="0" w:color="000000"/>
              <w:right w:val="single" w:sz="4" w:space="0" w:color="000000"/>
            </w:tcBorders>
          </w:tcPr>
          <w:p w14:paraId="4A11351A" w14:textId="77777777" w:rsidR="002A323A" w:rsidRPr="00402720" w:rsidRDefault="002A323A" w:rsidP="000B6CC4">
            <w:pPr>
              <w:keepNext/>
              <w:spacing w:after="0" w:line="240" w:lineRule="auto"/>
              <w:rPr>
                <w:rFonts w:ascii="Times New Roman" w:hAnsi="Times New Roman" w:cs="Times New Roman"/>
                <w:lang w:val="de-DE"/>
              </w:rPr>
            </w:pPr>
          </w:p>
        </w:tc>
        <w:tc>
          <w:tcPr>
            <w:tcW w:w="1607" w:type="dxa"/>
            <w:tcBorders>
              <w:top w:val="single" w:sz="4" w:space="0" w:color="000000"/>
              <w:left w:val="single" w:sz="4" w:space="0" w:color="000000"/>
              <w:bottom w:val="single" w:sz="4" w:space="0" w:color="000000"/>
              <w:right w:val="single" w:sz="4" w:space="0" w:color="000000"/>
            </w:tcBorders>
          </w:tcPr>
          <w:p w14:paraId="112F10D9" w14:textId="77777777" w:rsidR="002A323A" w:rsidRPr="00402720" w:rsidRDefault="002A323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Paclitaxel</w:t>
            </w:r>
          </w:p>
          <w:p w14:paraId="55A6059C" w14:textId="77777777" w:rsidR="002A323A" w:rsidRPr="00402720" w:rsidRDefault="002A323A" w:rsidP="000B6CC4">
            <w:pPr>
              <w:keepNext/>
              <w:spacing w:after="0" w:line="240" w:lineRule="auto"/>
              <w:jc w:val="center"/>
              <w:rPr>
                <w:rFonts w:ascii="Times New Roman" w:hAnsi="Times New Roman" w:cs="Times New Roman"/>
                <w:lang w:val="de-DE"/>
              </w:rPr>
            </w:pPr>
          </w:p>
          <w:p w14:paraId="5D321506" w14:textId="77777777" w:rsidR="002A323A" w:rsidRPr="00402720" w:rsidRDefault="002A323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273)</w:t>
            </w:r>
          </w:p>
        </w:tc>
        <w:tc>
          <w:tcPr>
            <w:tcW w:w="1633" w:type="dxa"/>
            <w:tcBorders>
              <w:top w:val="single" w:sz="4" w:space="0" w:color="000000"/>
              <w:left w:val="single" w:sz="4" w:space="0" w:color="000000"/>
              <w:bottom w:val="single" w:sz="4" w:space="0" w:color="000000"/>
              <w:right w:val="single" w:sz="4" w:space="0" w:color="000000"/>
            </w:tcBorders>
          </w:tcPr>
          <w:p w14:paraId="655D81D6" w14:textId="77777777" w:rsidR="002A323A" w:rsidRPr="00402720" w:rsidRDefault="002A323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Paclitaxel/</w:t>
            </w:r>
          </w:p>
          <w:p w14:paraId="4F4AD5D8" w14:textId="77777777" w:rsidR="002A323A" w:rsidRPr="00402720" w:rsidRDefault="00A15C0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Bevacizumab</w:t>
            </w:r>
          </w:p>
          <w:p w14:paraId="04FA96EA" w14:textId="77777777" w:rsidR="002A323A" w:rsidRPr="00402720" w:rsidRDefault="002A323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252)</w:t>
            </w:r>
          </w:p>
        </w:tc>
        <w:tc>
          <w:tcPr>
            <w:tcW w:w="1628" w:type="dxa"/>
            <w:tcBorders>
              <w:top w:val="single" w:sz="4" w:space="0" w:color="000000"/>
              <w:left w:val="single" w:sz="4" w:space="0" w:color="000000"/>
              <w:bottom w:val="single" w:sz="4" w:space="0" w:color="000000"/>
              <w:right w:val="single" w:sz="4" w:space="0" w:color="000000"/>
            </w:tcBorders>
          </w:tcPr>
          <w:p w14:paraId="1C7C4183" w14:textId="77777777" w:rsidR="002A323A" w:rsidRPr="00402720" w:rsidRDefault="002A323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Paclitaxel</w:t>
            </w:r>
          </w:p>
          <w:p w14:paraId="65EA0266" w14:textId="77777777" w:rsidR="002A323A" w:rsidRPr="00402720" w:rsidRDefault="002A323A" w:rsidP="000B6CC4">
            <w:pPr>
              <w:keepNext/>
              <w:spacing w:after="0" w:line="240" w:lineRule="auto"/>
              <w:jc w:val="center"/>
              <w:rPr>
                <w:rFonts w:ascii="Times New Roman" w:hAnsi="Times New Roman" w:cs="Times New Roman"/>
                <w:lang w:val="de-DE"/>
              </w:rPr>
            </w:pPr>
          </w:p>
          <w:p w14:paraId="5D6AEBA7" w14:textId="77777777" w:rsidR="002A323A" w:rsidRPr="00402720" w:rsidRDefault="002A323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243)</w:t>
            </w:r>
          </w:p>
        </w:tc>
        <w:tc>
          <w:tcPr>
            <w:tcW w:w="1612" w:type="dxa"/>
            <w:tcBorders>
              <w:top w:val="single" w:sz="4" w:space="0" w:color="000000"/>
              <w:left w:val="single" w:sz="4" w:space="0" w:color="000000"/>
              <w:bottom w:val="single" w:sz="4" w:space="0" w:color="000000"/>
              <w:right w:val="single" w:sz="4" w:space="0" w:color="000000"/>
            </w:tcBorders>
          </w:tcPr>
          <w:p w14:paraId="69DF5562" w14:textId="77777777" w:rsidR="002A323A" w:rsidRPr="00402720" w:rsidRDefault="002A323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Paclitaxel/</w:t>
            </w:r>
          </w:p>
          <w:p w14:paraId="37DB8A23" w14:textId="77777777" w:rsidR="002A323A" w:rsidRPr="00402720" w:rsidRDefault="00A15C0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Bevacizumab</w:t>
            </w:r>
          </w:p>
          <w:p w14:paraId="7C4F2C04" w14:textId="77777777" w:rsidR="002A323A" w:rsidRPr="00402720" w:rsidRDefault="002A323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229)</w:t>
            </w:r>
          </w:p>
        </w:tc>
      </w:tr>
      <w:tr w:rsidR="002A323A" w:rsidRPr="00402720" w14:paraId="22A0C1F9" w14:textId="77777777" w:rsidTr="00067A56">
        <w:trPr>
          <w:trHeight w:val="20"/>
        </w:trPr>
        <w:tc>
          <w:tcPr>
            <w:tcW w:w="2362" w:type="dxa"/>
            <w:tcBorders>
              <w:top w:val="single" w:sz="4" w:space="0" w:color="000000"/>
              <w:left w:val="single" w:sz="4" w:space="0" w:color="000000"/>
              <w:bottom w:val="single" w:sz="4" w:space="0" w:color="000000"/>
              <w:right w:val="single" w:sz="4" w:space="0" w:color="000000"/>
            </w:tcBorders>
          </w:tcPr>
          <w:p w14:paraId="52DA1D94" w14:textId="77777777" w:rsidR="002A323A" w:rsidRPr="00402720" w:rsidRDefault="00322E40" w:rsidP="000B6CC4">
            <w:pPr>
              <w:keepNext/>
              <w:spacing w:after="0" w:line="240" w:lineRule="auto"/>
              <w:ind w:left="34"/>
              <w:rPr>
                <w:rFonts w:ascii="Times New Roman" w:hAnsi="Times New Roman" w:cs="Times New Roman"/>
                <w:lang w:val="de-DE"/>
              </w:rPr>
            </w:pPr>
            <w:r w:rsidRPr="00402720">
              <w:rPr>
                <w:rFonts w:ascii="Times New Roman" w:hAnsi="Times New Roman" w:cs="Times New Roman"/>
                <w:lang w:val="de-DE"/>
              </w:rPr>
              <w:t>%</w:t>
            </w:r>
            <w:r w:rsidR="002A323A" w:rsidRPr="00402720">
              <w:rPr>
                <w:rFonts w:ascii="Times New Roman" w:hAnsi="Times New Roman" w:cs="Times New Roman"/>
                <w:lang w:val="de-DE"/>
              </w:rPr>
              <w:t xml:space="preserve"> Patienten mit objektivem</w:t>
            </w:r>
            <w:r w:rsidR="00E8166F" w:rsidRPr="00402720">
              <w:rPr>
                <w:rFonts w:ascii="Times New Roman" w:hAnsi="Times New Roman" w:cs="Times New Roman"/>
                <w:lang w:val="de-DE"/>
              </w:rPr>
              <w:t xml:space="preserve"> </w:t>
            </w:r>
            <w:r w:rsidR="00E51FAC" w:rsidRPr="00402720">
              <w:rPr>
                <w:rFonts w:ascii="Times New Roman" w:hAnsi="Times New Roman" w:cs="Times New Roman"/>
                <w:lang w:val="de-DE"/>
              </w:rPr>
              <w:t>Ansprechen</w:t>
            </w:r>
          </w:p>
        </w:tc>
        <w:tc>
          <w:tcPr>
            <w:tcW w:w="1607" w:type="dxa"/>
            <w:tcBorders>
              <w:top w:val="single" w:sz="4" w:space="0" w:color="000000"/>
              <w:left w:val="single" w:sz="4" w:space="0" w:color="000000"/>
              <w:bottom w:val="single" w:sz="4" w:space="0" w:color="000000"/>
              <w:right w:val="single" w:sz="4" w:space="0" w:color="000000"/>
            </w:tcBorders>
          </w:tcPr>
          <w:p w14:paraId="14AD890A" w14:textId="77777777" w:rsidR="002A323A" w:rsidRPr="00402720" w:rsidRDefault="002A323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23,4</w:t>
            </w:r>
          </w:p>
        </w:tc>
        <w:tc>
          <w:tcPr>
            <w:tcW w:w="1633" w:type="dxa"/>
            <w:tcBorders>
              <w:top w:val="single" w:sz="4" w:space="0" w:color="000000"/>
              <w:left w:val="single" w:sz="4" w:space="0" w:color="000000"/>
              <w:bottom w:val="single" w:sz="4" w:space="0" w:color="000000"/>
              <w:right w:val="single" w:sz="4" w:space="0" w:color="000000"/>
            </w:tcBorders>
          </w:tcPr>
          <w:p w14:paraId="606F090A" w14:textId="77777777" w:rsidR="002A323A" w:rsidRPr="00402720" w:rsidRDefault="002A323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48,0</w:t>
            </w:r>
          </w:p>
        </w:tc>
        <w:tc>
          <w:tcPr>
            <w:tcW w:w="1628" w:type="dxa"/>
            <w:tcBorders>
              <w:top w:val="single" w:sz="4" w:space="0" w:color="000000"/>
              <w:left w:val="single" w:sz="4" w:space="0" w:color="000000"/>
              <w:bottom w:val="single" w:sz="4" w:space="0" w:color="000000"/>
              <w:right w:val="single" w:sz="4" w:space="0" w:color="000000"/>
            </w:tcBorders>
          </w:tcPr>
          <w:p w14:paraId="1EBABE9E" w14:textId="77777777" w:rsidR="002A323A" w:rsidRPr="00402720" w:rsidRDefault="002A323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22,2</w:t>
            </w:r>
          </w:p>
        </w:tc>
        <w:tc>
          <w:tcPr>
            <w:tcW w:w="1612" w:type="dxa"/>
            <w:tcBorders>
              <w:top w:val="single" w:sz="4" w:space="0" w:color="000000"/>
              <w:left w:val="single" w:sz="4" w:space="0" w:color="000000"/>
              <w:bottom w:val="single" w:sz="4" w:space="0" w:color="000000"/>
              <w:right w:val="single" w:sz="4" w:space="0" w:color="000000"/>
            </w:tcBorders>
          </w:tcPr>
          <w:p w14:paraId="7D2F8225" w14:textId="77777777" w:rsidR="002A323A" w:rsidRPr="00402720" w:rsidRDefault="002A323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49,8</w:t>
            </w:r>
          </w:p>
        </w:tc>
      </w:tr>
      <w:tr w:rsidR="002A323A" w:rsidRPr="00402720" w14:paraId="560A74BB" w14:textId="77777777" w:rsidTr="00067A56">
        <w:trPr>
          <w:trHeight w:val="20"/>
        </w:trPr>
        <w:tc>
          <w:tcPr>
            <w:tcW w:w="2362" w:type="dxa"/>
            <w:tcBorders>
              <w:top w:val="single" w:sz="4" w:space="0" w:color="000000"/>
              <w:left w:val="single" w:sz="4" w:space="0" w:color="000000"/>
              <w:bottom w:val="single" w:sz="4" w:space="0" w:color="000000"/>
              <w:right w:val="single" w:sz="4" w:space="0" w:color="000000"/>
            </w:tcBorders>
          </w:tcPr>
          <w:p w14:paraId="0C3E431B" w14:textId="77777777" w:rsidR="002A323A" w:rsidRPr="00402720" w:rsidRDefault="00E51FAC"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p-Wert</w:t>
            </w:r>
          </w:p>
        </w:tc>
        <w:tc>
          <w:tcPr>
            <w:tcW w:w="3240" w:type="dxa"/>
            <w:gridSpan w:val="2"/>
            <w:tcBorders>
              <w:top w:val="single" w:sz="4" w:space="0" w:color="000000"/>
              <w:left w:val="single" w:sz="4" w:space="0" w:color="000000"/>
              <w:bottom w:val="single" w:sz="4" w:space="0" w:color="000000"/>
              <w:right w:val="single" w:sz="4" w:space="0" w:color="000000"/>
            </w:tcBorders>
          </w:tcPr>
          <w:p w14:paraId="4BA10786" w14:textId="77777777" w:rsidR="002A323A" w:rsidRPr="00402720" w:rsidRDefault="00E32D5C"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&lt; </w:t>
            </w:r>
            <w:r w:rsidR="006F57CA" w:rsidRPr="00402720">
              <w:rPr>
                <w:rFonts w:ascii="Times New Roman" w:hAnsi="Times New Roman" w:cs="Times New Roman"/>
                <w:lang w:val="de-DE"/>
              </w:rPr>
              <w:t>0,0001</w:t>
            </w:r>
          </w:p>
        </w:tc>
        <w:tc>
          <w:tcPr>
            <w:tcW w:w="3240" w:type="dxa"/>
            <w:gridSpan w:val="2"/>
            <w:tcBorders>
              <w:top w:val="single" w:sz="4" w:space="0" w:color="000000"/>
              <w:left w:val="single" w:sz="4" w:space="0" w:color="000000"/>
              <w:bottom w:val="single" w:sz="4" w:space="0" w:color="000000"/>
              <w:right w:val="single" w:sz="4" w:space="0" w:color="000000"/>
            </w:tcBorders>
          </w:tcPr>
          <w:p w14:paraId="7BAA79AA" w14:textId="77777777" w:rsidR="002A323A" w:rsidRPr="00402720" w:rsidRDefault="00E32D5C"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&lt; </w:t>
            </w:r>
            <w:r w:rsidR="002A323A" w:rsidRPr="00402720">
              <w:rPr>
                <w:rFonts w:ascii="Times New Roman" w:hAnsi="Times New Roman" w:cs="Times New Roman"/>
                <w:lang w:val="de-DE"/>
              </w:rPr>
              <w:t>0,0001</w:t>
            </w:r>
          </w:p>
        </w:tc>
      </w:tr>
    </w:tbl>
    <w:p w14:paraId="6A2CFB14" w14:textId="77777777" w:rsidR="00AF337C" w:rsidRPr="009737B5" w:rsidRDefault="00D71201" w:rsidP="000B6CC4">
      <w:pPr>
        <w:keepNext/>
        <w:suppressAutoHyphens/>
        <w:spacing w:after="0" w:line="240" w:lineRule="auto"/>
        <w:ind w:left="567" w:hanging="567"/>
        <w:rPr>
          <w:rFonts w:ascii="Times New Roman" w:hAnsi="Times New Roman" w:cs="Times New Roman"/>
          <w:sz w:val="20"/>
          <w:lang w:val="de-DE"/>
        </w:rPr>
      </w:pPr>
      <w:r w:rsidRPr="009737B5">
        <w:rPr>
          <w:rFonts w:ascii="Times New Roman" w:hAnsi="Times New Roman" w:cs="Times New Roman"/>
          <w:sz w:val="20"/>
          <w:lang w:val="de-DE"/>
        </w:rPr>
        <w:t>*</w:t>
      </w:r>
      <w:r w:rsidRPr="009737B5">
        <w:rPr>
          <w:rFonts w:ascii="Times New Roman" w:hAnsi="Times New Roman" w:cs="Times New Roman"/>
          <w:sz w:val="20"/>
          <w:lang w:val="de-DE"/>
        </w:rPr>
        <w:tab/>
        <w:t>primäre Auswertung</w:t>
      </w:r>
      <w:r w:rsidR="00DB4225" w:rsidRPr="009737B5">
        <w:rPr>
          <w:rFonts w:ascii="Times New Roman" w:hAnsi="Times New Roman" w:cs="Times New Roman"/>
          <w:sz w:val="20"/>
          <w:lang w:val="de-DE"/>
        </w:rPr>
        <w:t>.</w:t>
      </w:r>
    </w:p>
    <w:p w14:paraId="5AA9239A" w14:textId="77777777" w:rsidR="00E8166F" w:rsidRPr="009737B5" w:rsidRDefault="00E8166F" w:rsidP="00E8166F">
      <w:pPr>
        <w:suppressAutoHyphens/>
        <w:spacing w:after="0" w:line="240" w:lineRule="auto"/>
        <w:ind w:left="567" w:hanging="567"/>
        <w:rPr>
          <w:rFonts w:ascii="Times New Roman" w:hAnsi="Times New Roman" w:cs="Times New Roman"/>
          <w:sz w:val="20"/>
          <w:lang w:val="de-DE"/>
        </w:rPr>
      </w:pPr>
    </w:p>
    <w:tbl>
      <w:tblPr>
        <w:tblW w:w="8842" w:type="dxa"/>
        <w:tblInd w:w="-107" w:type="dxa"/>
        <w:tblCellMar>
          <w:top w:w="27" w:type="dxa"/>
          <w:left w:w="0" w:type="dxa"/>
          <w:right w:w="1" w:type="dxa"/>
        </w:tblCellMar>
        <w:tblLook w:val="04A0" w:firstRow="1" w:lastRow="0" w:firstColumn="1" w:lastColumn="0" w:noHBand="0" w:noVBand="1"/>
      </w:tblPr>
      <w:tblGrid>
        <w:gridCol w:w="2362"/>
        <w:gridCol w:w="3240"/>
        <w:gridCol w:w="3240"/>
      </w:tblGrid>
      <w:tr w:rsidR="00E251E5" w:rsidRPr="00402720" w14:paraId="799EA6F1" w14:textId="77777777" w:rsidTr="00D87918">
        <w:trPr>
          <w:trHeight w:val="228"/>
        </w:trPr>
        <w:tc>
          <w:tcPr>
            <w:tcW w:w="8842" w:type="dxa"/>
            <w:gridSpan w:val="3"/>
            <w:tcBorders>
              <w:top w:val="single" w:sz="4" w:space="0" w:color="000000"/>
              <w:left w:val="single" w:sz="4" w:space="0" w:color="000000"/>
              <w:bottom w:val="single" w:sz="4" w:space="0" w:color="000000"/>
              <w:right w:val="single" w:sz="4" w:space="0" w:color="000000"/>
            </w:tcBorders>
          </w:tcPr>
          <w:p w14:paraId="25C7B605" w14:textId="77777777" w:rsidR="00E251E5" w:rsidRPr="00402720" w:rsidRDefault="00E251E5" w:rsidP="000B6CC4">
            <w:pPr>
              <w:keepNext/>
              <w:spacing w:after="0" w:line="240" w:lineRule="auto"/>
              <w:rPr>
                <w:rFonts w:ascii="Times New Roman" w:hAnsi="Times New Roman" w:cs="Times New Roman"/>
                <w:lang w:val="de-DE"/>
              </w:rPr>
            </w:pPr>
            <w:r w:rsidRPr="00402720">
              <w:rPr>
                <w:rFonts w:ascii="Times New Roman" w:hAnsi="Times New Roman" w:cs="Times New Roman"/>
                <w:lang w:val="de-DE"/>
              </w:rPr>
              <w:t>Gesamtüberleben (OS)</w:t>
            </w:r>
          </w:p>
        </w:tc>
      </w:tr>
      <w:tr w:rsidR="006F57CA" w:rsidRPr="00402720" w14:paraId="1B60EC94" w14:textId="77777777" w:rsidTr="00D87918">
        <w:trPr>
          <w:trHeight w:val="451"/>
        </w:trPr>
        <w:tc>
          <w:tcPr>
            <w:tcW w:w="2362" w:type="dxa"/>
            <w:tcBorders>
              <w:top w:val="single" w:sz="4" w:space="0" w:color="000000"/>
              <w:left w:val="single" w:sz="4" w:space="0" w:color="000000"/>
              <w:bottom w:val="single" w:sz="4" w:space="0" w:color="000000"/>
              <w:right w:val="single" w:sz="4" w:space="0" w:color="000000"/>
            </w:tcBorders>
          </w:tcPr>
          <w:p w14:paraId="5677768B" w14:textId="77777777" w:rsidR="006F57CA" w:rsidRPr="00402720" w:rsidRDefault="006F57CA" w:rsidP="000B6CC4">
            <w:pPr>
              <w:keepNext/>
              <w:spacing w:after="0" w:line="240" w:lineRule="auto"/>
              <w:rPr>
                <w:rFonts w:ascii="Times New Roman" w:hAnsi="Times New Roman" w:cs="Times New Roman"/>
                <w:lang w:val="de-DE"/>
              </w:rPr>
            </w:pPr>
          </w:p>
        </w:tc>
        <w:tc>
          <w:tcPr>
            <w:tcW w:w="3240" w:type="dxa"/>
            <w:tcBorders>
              <w:top w:val="single" w:sz="4" w:space="0" w:color="000000"/>
              <w:left w:val="single" w:sz="4" w:space="0" w:color="000000"/>
              <w:bottom w:val="single" w:sz="4" w:space="0" w:color="000000"/>
              <w:right w:val="single" w:sz="4" w:space="0" w:color="000000"/>
            </w:tcBorders>
          </w:tcPr>
          <w:p w14:paraId="400B8A3D" w14:textId="77777777" w:rsidR="009859FB" w:rsidRPr="00402720" w:rsidRDefault="006F57C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Paclitaxel</w:t>
            </w:r>
          </w:p>
          <w:p w14:paraId="15C3148A" w14:textId="77777777" w:rsidR="006F57CA" w:rsidRPr="00402720" w:rsidRDefault="006F57C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354)</w:t>
            </w:r>
          </w:p>
        </w:tc>
        <w:tc>
          <w:tcPr>
            <w:tcW w:w="3240" w:type="dxa"/>
            <w:tcBorders>
              <w:top w:val="single" w:sz="4" w:space="0" w:color="000000"/>
              <w:left w:val="single" w:sz="4" w:space="0" w:color="000000"/>
              <w:bottom w:val="single" w:sz="4" w:space="0" w:color="000000"/>
              <w:right w:val="single" w:sz="4" w:space="0" w:color="000000"/>
            </w:tcBorders>
          </w:tcPr>
          <w:p w14:paraId="77F7A575" w14:textId="77777777" w:rsidR="009859FB" w:rsidRPr="00402720" w:rsidRDefault="006F57C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Paclitaxel/</w:t>
            </w:r>
            <w:r w:rsidR="00A15C0A" w:rsidRPr="00402720">
              <w:rPr>
                <w:rFonts w:ascii="Times New Roman" w:hAnsi="Times New Roman" w:cs="Times New Roman"/>
                <w:lang w:val="de-DE"/>
              </w:rPr>
              <w:t>Bevacizumab</w:t>
            </w:r>
          </w:p>
          <w:p w14:paraId="72936399" w14:textId="77777777" w:rsidR="006F57CA" w:rsidRPr="00402720" w:rsidRDefault="006F57C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368)</w:t>
            </w:r>
          </w:p>
        </w:tc>
      </w:tr>
      <w:tr w:rsidR="006F57CA" w:rsidRPr="00402720" w14:paraId="00C5841F" w14:textId="77777777" w:rsidTr="00D87918">
        <w:trPr>
          <w:trHeight w:val="135"/>
        </w:trPr>
        <w:tc>
          <w:tcPr>
            <w:tcW w:w="2362" w:type="dxa"/>
            <w:tcBorders>
              <w:top w:val="single" w:sz="4" w:space="0" w:color="000000"/>
              <w:left w:val="single" w:sz="4" w:space="0" w:color="000000"/>
              <w:bottom w:val="single" w:sz="4" w:space="0" w:color="000000"/>
              <w:right w:val="single" w:sz="4" w:space="0" w:color="000000"/>
            </w:tcBorders>
          </w:tcPr>
          <w:p w14:paraId="7060B750" w14:textId="77777777" w:rsidR="006F57CA" w:rsidRPr="00402720" w:rsidRDefault="006F57CA" w:rsidP="000B6CC4">
            <w:pPr>
              <w:keepNext/>
              <w:spacing w:after="0" w:line="240" w:lineRule="auto"/>
              <w:rPr>
                <w:rFonts w:ascii="Times New Roman" w:hAnsi="Times New Roman" w:cs="Times New Roman"/>
                <w:lang w:val="de-DE"/>
              </w:rPr>
            </w:pPr>
            <w:r w:rsidRPr="00402720">
              <w:rPr>
                <w:rFonts w:ascii="Times New Roman" w:hAnsi="Times New Roman" w:cs="Times New Roman"/>
                <w:lang w:val="de-DE"/>
              </w:rPr>
              <w:t>Medianes OS (Monate)</w:t>
            </w:r>
          </w:p>
        </w:tc>
        <w:tc>
          <w:tcPr>
            <w:tcW w:w="3240" w:type="dxa"/>
            <w:tcBorders>
              <w:top w:val="single" w:sz="4" w:space="0" w:color="000000"/>
              <w:left w:val="single" w:sz="4" w:space="0" w:color="000000"/>
              <w:bottom w:val="single" w:sz="4" w:space="0" w:color="000000"/>
              <w:right w:val="single" w:sz="4" w:space="0" w:color="000000"/>
            </w:tcBorders>
          </w:tcPr>
          <w:p w14:paraId="49657831" w14:textId="77777777" w:rsidR="006F57CA" w:rsidRPr="00402720" w:rsidRDefault="006F57C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24,8</w:t>
            </w:r>
          </w:p>
        </w:tc>
        <w:tc>
          <w:tcPr>
            <w:tcW w:w="3240" w:type="dxa"/>
            <w:tcBorders>
              <w:top w:val="single" w:sz="4" w:space="0" w:color="000000"/>
              <w:left w:val="single" w:sz="4" w:space="0" w:color="000000"/>
              <w:bottom w:val="single" w:sz="4" w:space="0" w:color="000000"/>
              <w:right w:val="single" w:sz="4" w:space="0" w:color="000000"/>
            </w:tcBorders>
          </w:tcPr>
          <w:p w14:paraId="54C0BAA7" w14:textId="77777777" w:rsidR="006F57CA" w:rsidRPr="00402720" w:rsidRDefault="006F57C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26,5</w:t>
            </w:r>
          </w:p>
        </w:tc>
      </w:tr>
      <w:tr w:rsidR="006F57CA" w:rsidRPr="00402720" w14:paraId="7FB3C885" w14:textId="77777777" w:rsidTr="00D87918">
        <w:trPr>
          <w:trHeight w:val="451"/>
        </w:trPr>
        <w:tc>
          <w:tcPr>
            <w:tcW w:w="2362" w:type="dxa"/>
            <w:tcBorders>
              <w:top w:val="single" w:sz="4" w:space="0" w:color="000000"/>
              <w:left w:val="single" w:sz="4" w:space="0" w:color="000000"/>
              <w:bottom w:val="single" w:sz="4" w:space="0" w:color="000000"/>
              <w:right w:val="single" w:sz="4" w:space="0" w:color="000000"/>
            </w:tcBorders>
          </w:tcPr>
          <w:p w14:paraId="346A3882" w14:textId="77777777" w:rsidR="009859FB" w:rsidRPr="00402720" w:rsidRDefault="006F57CA"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HR</w:t>
            </w:r>
          </w:p>
          <w:p w14:paraId="6A06A340" w14:textId="797A1A0C" w:rsidR="006F57CA" w:rsidRPr="00402720" w:rsidRDefault="006F57CA"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KI)</w:t>
            </w:r>
          </w:p>
        </w:tc>
        <w:tc>
          <w:tcPr>
            <w:tcW w:w="6480" w:type="dxa"/>
            <w:gridSpan w:val="2"/>
            <w:tcBorders>
              <w:top w:val="single" w:sz="4" w:space="0" w:color="000000"/>
              <w:left w:val="single" w:sz="4" w:space="0" w:color="000000"/>
              <w:bottom w:val="single" w:sz="4" w:space="0" w:color="000000"/>
              <w:right w:val="single" w:sz="4" w:space="0" w:color="000000"/>
            </w:tcBorders>
          </w:tcPr>
          <w:p w14:paraId="1BB1B34B" w14:textId="77777777" w:rsidR="006F57CA" w:rsidRPr="00402720" w:rsidRDefault="006F57C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0,869</w:t>
            </w:r>
          </w:p>
          <w:p w14:paraId="0B3808BC" w14:textId="77777777" w:rsidR="006F57CA" w:rsidRPr="00402720" w:rsidRDefault="006F57CA"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w:t>
            </w:r>
            <w:r w:rsidR="009859FB" w:rsidRPr="00402720">
              <w:rPr>
                <w:rFonts w:ascii="Times New Roman" w:hAnsi="Times New Roman" w:cs="Times New Roman"/>
                <w:lang w:val="de-DE"/>
              </w:rPr>
              <w:t>0,722; 1,046)</w:t>
            </w:r>
          </w:p>
        </w:tc>
      </w:tr>
      <w:tr w:rsidR="006F57CA" w:rsidRPr="00402720" w14:paraId="59EFF47E" w14:textId="77777777" w:rsidTr="00D87918">
        <w:trPr>
          <w:trHeight w:val="230"/>
        </w:trPr>
        <w:tc>
          <w:tcPr>
            <w:tcW w:w="2362" w:type="dxa"/>
            <w:tcBorders>
              <w:top w:val="single" w:sz="4" w:space="0" w:color="000000"/>
              <w:left w:val="single" w:sz="4" w:space="0" w:color="000000"/>
              <w:bottom w:val="single" w:sz="4" w:space="0" w:color="000000"/>
              <w:right w:val="single" w:sz="4" w:space="0" w:color="000000"/>
            </w:tcBorders>
          </w:tcPr>
          <w:p w14:paraId="2F20874F" w14:textId="77777777" w:rsidR="006F57CA" w:rsidRPr="00402720" w:rsidRDefault="006F57CA"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p-Wert</w:t>
            </w:r>
          </w:p>
        </w:tc>
        <w:tc>
          <w:tcPr>
            <w:tcW w:w="6480" w:type="dxa"/>
            <w:gridSpan w:val="2"/>
            <w:tcBorders>
              <w:top w:val="single" w:sz="4" w:space="0" w:color="000000"/>
              <w:left w:val="single" w:sz="4" w:space="0" w:color="000000"/>
              <w:bottom w:val="single" w:sz="4" w:space="0" w:color="000000"/>
              <w:right w:val="single" w:sz="4" w:space="0" w:color="000000"/>
            </w:tcBorders>
          </w:tcPr>
          <w:p w14:paraId="0DF3B83F" w14:textId="77777777" w:rsidR="006F57CA" w:rsidRPr="00402720" w:rsidRDefault="009859FB"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0,1374</w:t>
            </w:r>
          </w:p>
        </w:tc>
      </w:tr>
    </w:tbl>
    <w:p w14:paraId="65837B09" w14:textId="77777777" w:rsidR="00D71201" w:rsidRPr="009737B5" w:rsidRDefault="00D71201" w:rsidP="005F4D08">
      <w:pPr>
        <w:suppressAutoHyphens/>
        <w:spacing w:after="0" w:line="240" w:lineRule="auto"/>
        <w:rPr>
          <w:rFonts w:ascii="Times New Roman" w:hAnsi="Times New Roman" w:cs="Times New Roman"/>
          <w:lang w:val="de-DE"/>
        </w:rPr>
      </w:pPr>
    </w:p>
    <w:p w14:paraId="0013EC61" w14:textId="5C8DCE39" w:rsidR="00AF337C" w:rsidRDefault="00AF337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Der klinische Nutzen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gemessen als PFS, wurde in allen vorher bestimmten und untersuchten Subgruppen nachgewiesen (einschließlich </w:t>
      </w:r>
      <w:r w:rsidR="008D2C0C" w:rsidRPr="009737B5">
        <w:rPr>
          <w:rFonts w:ascii="Times New Roman" w:hAnsi="Times New Roman" w:cs="Times New Roman"/>
          <w:lang w:val="de-DE"/>
        </w:rPr>
        <w:t xml:space="preserve">krankheitsfreien </w:t>
      </w:r>
      <w:r w:rsidRPr="009737B5">
        <w:rPr>
          <w:rFonts w:ascii="Times New Roman" w:hAnsi="Times New Roman" w:cs="Times New Roman"/>
          <w:lang w:val="de-DE"/>
        </w:rPr>
        <w:t>Intervall</w:t>
      </w:r>
      <w:r w:rsidR="008D2C0C" w:rsidRPr="009737B5">
        <w:rPr>
          <w:rFonts w:ascii="Times New Roman" w:hAnsi="Times New Roman" w:cs="Times New Roman"/>
          <w:lang w:val="de-DE"/>
        </w:rPr>
        <w:t>s</w:t>
      </w:r>
      <w:r w:rsidRPr="009737B5">
        <w:rPr>
          <w:rFonts w:ascii="Times New Roman" w:hAnsi="Times New Roman" w:cs="Times New Roman"/>
          <w:lang w:val="de-DE"/>
        </w:rPr>
        <w:t>, Zahl der metastasierten Stellen, vorhergehende</w:t>
      </w:r>
      <w:r w:rsidR="008D2C0C" w:rsidRPr="009737B5">
        <w:rPr>
          <w:rFonts w:ascii="Times New Roman" w:hAnsi="Times New Roman" w:cs="Times New Roman"/>
          <w:lang w:val="de-DE"/>
        </w:rPr>
        <w:t>r</w:t>
      </w:r>
      <w:r w:rsidRPr="009737B5">
        <w:rPr>
          <w:rFonts w:ascii="Times New Roman" w:hAnsi="Times New Roman" w:cs="Times New Roman"/>
          <w:lang w:val="de-DE"/>
        </w:rPr>
        <w:t xml:space="preserve"> adjuvante</w:t>
      </w:r>
      <w:r w:rsidR="008D2C0C" w:rsidRPr="009737B5">
        <w:rPr>
          <w:rFonts w:ascii="Times New Roman" w:hAnsi="Times New Roman" w:cs="Times New Roman"/>
          <w:lang w:val="de-DE"/>
        </w:rPr>
        <w:t>r</w:t>
      </w:r>
      <w:r w:rsidRPr="009737B5">
        <w:rPr>
          <w:rFonts w:ascii="Times New Roman" w:hAnsi="Times New Roman" w:cs="Times New Roman"/>
          <w:lang w:val="de-DE"/>
        </w:rPr>
        <w:t xml:space="preserve"> Chemotherapie und Östrogenrezeptor [ER]-Status).</w:t>
      </w:r>
    </w:p>
    <w:p w14:paraId="6B89DDB3" w14:textId="77777777" w:rsidR="00C64BFE" w:rsidRPr="001661A9" w:rsidRDefault="00C64BFE">
      <w:pPr>
        <w:pStyle w:val="Default"/>
        <w:rPr>
          <w:lang w:val="de-DE"/>
        </w:rPr>
      </w:pPr>
    </w:p>
    <w:p w14:paraId="230B1903" w14:textId="77777777" w:rsidR="00C64BFE" w:rsidRPr="001661A9" w:rsidRDefault="00C64BFE" w:rsidP="00C64BFE">
      <w:pPr>
        <w:pStyle w:val="Default"/>
        <w:rPr>
          <w:i/>
          <w:iCs/>
          <w:sz w:val="22"/>
          <w:szCs w:val="22"/>
          <w:lang w:val="de-DE"/>
        </w:rPr>
      </w:pPr>
      <w:r w:rsidRPr="001661A9">
        <w:rPr>
          <w:i/>
          <w:iCs/>
          <w:sz w:val="22"/>
          <w:szCs w:val="22"/>
          <w:lang w:val="de-DE"/>
        </w:rPr>
        <w:t>AVF3694g</w:t>
      </w:r>
    </w:p>
    <w:p w14:paraId="7BCB3AAA" w14:textId="0DA63F24" w:rsidR="00C64BFE" w:rsidRPr="001661A9" w:rsidRDefault="007F77FC" w:rsidP="00C64BFE">
      <w:pPr>
        <w:pStyle w:val="Default"/>
        <w:rPr>
          <w:sz w:val="22"/>
          <w:szCs w:val="22"/>
          <w:lang w:val="de-DE"/>
        </w:rPr>
      </w:pPr>
      <w:r w:rsidRPr="001661A9">
        <w:rPr>
          <w:sz w:val="22"/>
          <w:szCs w:val="22"/>
          <w:lang w:val="de-DE"/>
        </w:rPr>
        <w:t>Bei der Studie AVF3694g handelt es sich um eine multizentrische, randomisierte, placebokontrollierte Studie</w:t>
      </w:r>
      <w:r w:rsidR="008C6B6B" w:rsidRPr="001661A9">
        <w:rPr>
          <w:sz w:val="22"/>
          <w:szCs w:val="22"/>
          <w:lang w:val="de-DE"/>
        </w:rPr>
        <w:t xml:space="preserve"> der Phase</w:t>
      </w:r>
      <w:r w:rsidR="00FA023C">
        <w:rPr>
          <w:sz w:val="22"/>
          <w:szCs w:val="22"/>
          <w:lang w:val="de-DE"/>
        </w:rPr>
        <w:t> </w:t>
      </w:r>
      <w:r w:rsidR="008C6B6B" w:rsidRPr="001661A9">
        <w:rPr>
          <w:sz w:val="22"/>
          <w:szCs w:val="22"/>
          <w:lang w:val="de-DE"/>
        </w:rPr>
        <w:t>III</w:t>
      </w:r>
      <w:r w:rsidRPr="001661A9">
        <w:rPr>
          <w:sz w:val="22"/>
          <w:szCs w:val="22"/>
          <w:lang w:val="de-DE"/>
        </w:rPr>
        <w:t xml:space="preserve"> zur Bewertung der Wirksamkeit und Sicherheit von </w:t>
      </w:r>
      <w:r w:rsidR="00EC4696" w:rsidRPr="001661A9">
        <w:rPr>
          <w:sz w:val="22"/>
          <w:szCs w:val="22"/>
          <w:lang w:val="de-DE"/>
        </w:rPr>
        <w:t>Bevacizumab</w:t>
      </w:r>
      <w:r w:rsidRPr="001661A9">
        <w:rPr>
          <w:sz w:val="22"/>
          <w:szCs w:val="22"/>
          <w:lang w:val="de-DE"/>
        </w:rPr>
        <w:t xml:space="preserve"> in Kombination mit Chemotherapie</w:t>
      </w:r>
      <w:r w:rsidR="00FA023C">
        <w:rPr>
          <w:sz w:val="22"/>
          <w:szCs w:val="22"/>
          <w:lang w:val="de-DE"/>
        </w:rPr>
        <w:t>,</w:t>
      </w:r>
      <w:r w:rsidRPr="001661A9">
        <w:rPr>
          <w:sz w:val="22"/>
          <w:szCs w:val="22"/>
          <w:lang w:val="de-DE"/>
        </w:rPr>
        <w:t xml:space="preserve"> im Vergleich zu Chemotherapie plus Placebo</w:t>
      </w:r>
      <w:r w:rsidR="00FA023C">
        <w:rPr>
          <w:sz w:val="22"/>
          <w:szCs w:val="22"/>
          <w:lang w:val="de-DE"/>
        </w:rPr>
        <w:t>,</w:t>
      </w:r>
      <w:r w:rsidRPr="001661A9">
        <w:rPr>
          <w:sz w:val="22"/>
          <w:szCs w:val="22"/>
          <w:lang w:val="de-DE"/>
        </w:rPr>
        <w:t xml:space="preserve"> als First-Line-Behandlung bei Patienten mit HER2-negativem metastasiertem oder lokal rezidiviertem Mammakarzinom</w:t>
      </w:r>
      <w:r w:rsidR="00C64BFE" w:rsidRPr="001661A9">
        <w:rPr>
          <w:sz w:val="22"/>
          <w:szCs w:val="22"/>
          <w:lang w:val="de-DE"/>
        </w:rPr>
        <w:t>.</w:t>
      </w:r>
    </w:p>
    <w:p w14:paraId="3E967CE6" w14:textId="77777777" w:rsidR="00C64BFE" w:rsidRPr="001661A9" w:rsidRDefault="00C64BFE" w:rsidP="00C64BFE">
      <w:pPr>
        <w:pStyle w:val="Default"/>
        <w:rPr>
          <w:sz w:val="22"/>
          <w:szCs w:val="22"/>
          <w:lang w:val="de-DE"/>
        </w:rPr>
      </w:pPr>
    </w:p>
    <w:p w14:paraId="2E42682F" w14:textId="4CA66ABD" w:rsidR="00C64BFE" w:rsidRPr="001661A9" w:rsidRDefault="007F77FC" w:rsidP="00C64BFE">
      <w:pPr>
        <w:pStyle w:val="Default"/>
        <w:rPr>
          <w:sz w:val="22"/>
          <w:szCs w:val="22"/>
          <w:lang w:val="de-DE"/>
        </w:rPr>
      </w:pPr>
      <w:r w:rsidRPr="001661A9">
        <w:rPr>
          <w:sz w:val="22"/>
          <w:szCs w:val="22"/>
          <w:lang w:val="de-DE"/>
        </w:rPr>
        <w:t>Die jeweilige Chemotherapie wurde nach Ermessen des Prüfarztes ausgewählt, bevor die Patienten in einem Verhältnis von 2:1 entweder Chemotherapie plus Bevacizumab oder Chemotherapie plus Placebo randomisiert zugeteilt wurden</w:t>
      </w:r>
      <w:r w:rsidR="00C64BFE" w:rsidRPr="001661A9">
        <w:rPr>
          <w:sz w:val="22"/>
          <w:szCs w:val="22"/>
          <w:lang w:val="de-DE"/>
        </w:rPr>
        <w:t xml:space="preserve">. </w:t>
      </w:r>
      <w:r w:rsidRPr="001661A9">
        <w:rPr>
          <w:sz w:val="22"/>
          <w:szCs w:val="22"/>
          <w:lang w:val="de-DE"/>
        </w:rPr>
        <w:t>Als Chemotherapie kamen Capecitabin, Taxane (proteingebundenes Paclitaxel, Docetaxel) oder Anthracyclin-basierte Wirkstoffe (Doxorubicin/Cyclophosphamid</w:t>
      </w:r>
      <w:r w:rsidR="00513655">
        <w:rPr>
          <w:sz w:val="22"/>
          <w:szCs w:val="22"/>
          <w:lang w:val="de-DE"/>
        </w:rPr>
        <w:t xml:space="preserve"> oder</w:t>
      </w:r>
      <w:r w:rsidR="0060056D" w:rsidRPr="001661A9">
        <w:rPr>
          <w:sz w:val="22"/>
          <w:szCs w:val="22"/>
          <w:lang w:val="de-DE"/>
        </w:rPr>
        <w:t xml:space="preserve"> </w:t>
      </w:r>
      <w:r w:rsidR="00085C2E" w:rsidRPr="001661A9">
        <w:rPr>
          <w:sz w:val="22"/>
          <w:szCs w:val="22"/>
          <w:lang w:val="de-DE"/>
        </w:rPr>
        <w:t>E</w:t>
      </w:r>
      <w:r w:rsidR="00C64BFE" w:rsidRPr="001661A9">
        <w:rPr>
          <w:sz w:val="22"/>
          <w:szCs w:val="22"/>
          <w:lang w:val="de-DE"/>
        </w:rPr>
        <w:t>pirubicin/</w:t>
      </w:r>
      <w:r w:rsidR="00085C2E" w:rsidRPr="001661A9">
        <w:rPr>
          <w:sz w:val="22"/>
          <w:szCs w:val="22"/>
          <w:lang w:val="de-DE"/>
        </w:rPr>
        <w:t>C</w:t>
      </w:r>
      <w:r w:rsidR="00C64BFE" w:rsidRPr="001661A9">
        <w:rPr>
          <w:sz w:val="22"/>
          <w:szCs w:val="22"/>
          <w:lang w:val="de-DE"/>
        </w:rPr>
        <w:t>yclophosphamid, 5</w:t>
      </w:r>
      <w:r w:rsidR="00513655">
        <w:rPr>
          <w:sz w:val="22"/>
          <w:szCs w:val="22"/>
          <w:lang w:val="de-DE"/>
        </w:rPr>
        <w:noBreakHyphen/>
      </w:r>
      <w:r w:rsidR="00085C2E" w:rsidRPr="001661A9">
        <w:rPr>
          <w:sz w:val="22"/>
          <w:szCs w:val="22"/>
          <w:lang w:val="de-DE"/>
        </w:rPr>
        <w:t>F</w:t>
      </w:r>
      <w:r w:rsidR="00C64BFE" w:rsidRPr="001661A9">
        <w:rPr>
          <w:sz w:val="22"/>
          <w:szCs w:val="22"/>
          <w:lang w:val="de-DE"/>
        </w:rPr>
        <w:t>luorouracil/</w:t>
      </w:r>
      <w:r w:rsidR="00085C2E" w:rsidRPr="001661A9">
        <w:rPr>
          <w:sz w:val="22"/>
          <w:szCs w:val="22"/>
          <w:lang w:val="de-DE"/>
        </w:rPr>
        <w:t>D</w:t>
      </w:r>
      <w:r w:rsidR="00C64BFE" w:rsidRPr="001661A9">
        <w:rPr>
          <w:sz w:val="22"/>
          <w:szCs w:val="22"/>
          <w:lang w:val="de-DE"/>
        </w:rPr>
        <w:t>oxorubicin/</w:t>
      </w:r>
      <w:r w:rsidR="00085C2E" w:rsidRPr="001661A9">
        <w:rPr>
          <w:sz w:val="22"/>
          <w:szCs w:val="22"/>
          <w:lang w:val="de-DE"/>
        </w:rPr>
        <w:t>C</w:t>
      </w:r>
      <w:r w:rsidR="00C64BFE" w:rsidRPr="001661A9">
        <w:rPr>
          <w:sz w:val="22"/>
          <w:szCs w:val="22"/>
          <w:lang w:val="de-DE"/>
        </w:rPr>
        <w:t>yclophosphamid, 5-</w:t>
      </w:r>
      <w:r w:rsidR="00085C2E" w:rsidRPr="001661A9">
        <w:rPr>
          <w:sz w:val="22"/>
          <w:szCs w:val="22"/>
          <w:lang w:val="de-DE"/>
        </w:rPr>
        <w:t>F</w:t>
      </w:r>
      <w:r w:rsidR="00C64BFE" w:rsidRPr="001661A9">
        <w:rPr>
          <w:sz w:val="22"/>
          <w:szCs w:val="22"/>
          <w:lang w:val="de-DE"/>
        </w:rPr>
        <w:t>luorouracil/</w:t>
      </w:r>
      <w:r w:rsidR="00085C2E" w:rsidRPr="001661A9">
        <w:rPr>
          <w:sz w:val="22"/>
          <w:szCs w:val="22"/>
          <w:lang w:val="de-DE"/>
        </w:rPr>
        <w:t>E</w:t>
      </w:r>
      <w:r w:rsidR="00C64BFE" w:rsidRPr="001661A9">
        <w:rPr>
          <w:sz w:val="22"/>
          <w:szCs w:val="22"/>
          <w:lang w:val="de-DE"/>
        </w:rPr>
        <w:t>pirubicin/</w:t>
      </w:r>
      <w:r w:rsidR="00085C2E" w:rsidRPr="001661A9">
        <w:rPr>
          <w:sz w:val="22"/>
          <w:szCs w:val="22"/>
          <w:lang w:val="de-DE"/>
        </w:rPr>
        <w:t>C</w:t>
      </w:r>
      <w:r w:rsidR="00C64BFE" w:rsidRPr="001661A9">
        <w:rPr>
          <w:sz w:val="22"/>
          <w:szCs w:val="22"/>
          <w:lang w:val="de-DE"/>
        </w:rPr>
        <w:t xml:space="preserve">yclophosphamid) </w:t>
      </w:r>
      <w:r w:rsidR="00085C2E" w:rsidRPr="001661A9">
        <w:rPr>
          <w:sz w:val="22"/>
          <w:szCs w:val="22"/>
          <w:lang w:val="de-DE"/>
        </w:rPr>
        <w:t>in Frage, die jeweils einmal alle drei Wochen angewendet wurde</w:t>
      </w:r>
      <w:r w:rsidR="00C64BFE" w:rsidRPr="001661A9">
        <w:rPr>
          <w:sz w:val="22"/>
          <w:szCs w:val="22"/>
          <w:lang w:val="de-DE"/>
        </w:rPr>
        <w:t xml:space="preserve">. </w:t>
      </w:r>
      <w:r w:rsidR="00085C2E" w:rsidRPr="001661A9">
        <w:rPr>
          <w:sz w:val="22"/>
          <w:szCs w:val="22"/>
          <w:lang w:val="de-DE"/>
        </w:rPr>
        <w:t>Die Gabe von 15</w:t>
      </w:r>
      <w:r w:rsidR="00FA023C">
        <w:rPr>
          <w:sz w:val="22"/>
          <w:szCs w:val="22"/>
          <w:lang w:val="de-DE"/>
        </w:rPr>
        <w:t> </w:t>
      </w:r>
      <w:r w:rsidR="00085C2E" w:rsidRPr="001661A9">
        <w:rPr>
          <w:sz w:val="22"/>
          <w:szCs w:val="22"/>
          <w:lang w:val="de-DE"/>
        </w:rPr>
        <w:t>mg/kg Bevacizumab oder Placebo erfolgte einmal alle drei Wochen</w:t>
      </w:r>
      <w:r w:rsidR="00C64BFE" w:rsidRPr="001661A9">
        <w:rPr>
          <w:sz w:val="22"/>
          <w:szCs w:val="22"/>
          <w:lang w:val="de-DE"/>
        </w:rPr>
        <w:t>.</w:t>
      </w:r>
    </w:p>
    <w:p w14:paraId="44A3AABE" w14:textId="77777777" w:rsidR="00C64BFE" w:rsidRPr="001661A9" w:rsidRDefault="00C64BFE" w:rsidP="00C64BFE">
      <w:pPr>
        <w:pStyle w:val="Default"/>
        <w:rPr>
          <w:sz w:val="22"/>
          <w:szCs w:val="22"/>
          <w:lang w:val="de-DE"/>
        </w:rPr>
      </w:pPr>
    </w:p>
    <w:p w14:paraId="55DA026E" w14:textId="0534DC94" w:rsidR="00C64BFE" w:rsidRPr="001661A9" w:rsidRDefault="00085C2E" w:rsidP="00085C2E">
      <w:pPr>
        <w:pStyle w:val="Default"/>
        <w:rPr>
          <w:lang w:val="de-DE"/>
        </w:rPr>
      </w:pPr>
      <w:r w:rsidRPr="001661A9">
        <w:rPr>
          <w:sz w:val="22"/>
          <w:szCs w:val="22"/>
          <w:lang w:val="de-DE"/>
        </w:rPr>
        <w:t>Die Studie beinhaltete eine verblindete Behandlungsphase, eine optionale offene Post-Progressionsphase und eine Nachbeobachtungsphase hinsichtlich des Überlebens</w:t>
      </w:r>
      <w:r w:rsidR="00C64BFE" w:rsidRPr="001661A9">
        <w:rPr>
          <w:sz w:val="22"/>
          <w:szCs w:val="22"/>
          <w:lang w:val="de-DE"/>
        </w:rPr>
        <w:t xml:space="preserve">. </w:t>
      </w:r>
      <w:r w:rsidRPr="001661A9">
        <w:rPr>
          <w:sz w:val="22"/>
          <w:szCs w:val="22"/>
          <w:lang w:val="de-DE"/>
        </w:rPr>
        <w:t>Während der verblindeten Behandlungsphase erhielten die Patienten die Chemotherapie und das Arzneimittel (Bevacizumab oder Placebo) alle 3</w:t>
      </w:r>
      <w:r w:rsidR="00FA023C">
        <w:rPr>
          <w:sz w:val="22"/>
          <w:szCs w:val="22"/>
          <w:lang w:val="de-DE"/>
        </w:rPr>
        <w:t> </w:t>
      </w:r>
      <w:r w:rsidRPr="001661A9">
        <w:rPr>
          <w:sz w:val="22"/>
          <w:szCs w:val="22"/>
          <w:lang w:val="de-DE"/>
        </w:rPr>
        <w:t>Wochen bis zur Krankheitsprogression, zu behandlungslimitierenden Nebenwirkungen oder zum Tod</w:t>
      </w:r>
      <w:r w:rsidR="00C64BFE" w:rsidRPr="001661A9">
        <w:rPr>
          <w:sz w:val="22"/>
          <w:szCs w:val="22"/>
          <w:lang w:val="de-DE"/>
        </w:rPr>
        <w:t xml:space="preserve">. </w:t>
      </w:r>
      <w:r w:rsidRPr="001661A9">
        <w:rPr>
          <w:sz w:val="22"/>
          <w:szCs w:val="22"/>
          <w:lang w:val="de-DE"/>
        </w:rPr>
        <w:t xml:space="preserve">Nach dokumentierter Krankheitsprogression konnten Patienten, die </w:t>
      </w:r>
      <w:r w:rsidRPr="008C44C3">
        <w:rPr>
          <w:sz w:val="22"/>
          <w:szCs w:val="22"/>
          <w:lang w:val="de-DE"/>
        </w:rPr>
        <w:t>an der optionalen</w:t>
      </w:r>
      <w:r w:rsidRPr="00085C2E">
        <w:rPr>
          <w:sz w:val="22"/>
          <w:szCs w:val="22"/>
          <w:lang w:val="de-DE"/>
        </w:rPr>
        <w:t xml:space="preserve"> offenen Phase teilgenommen hatten, </w:t>
      </w:r>
      <w:r w:rsidRPr="001661A9">
        <w:rPr>
          <w:sz w:val="22"/>
          <w:szCs w:val="22"/>
          <w:lang w:val="de-DE"/>
        </w:rPr>
        <w:t>Bevacizumab</w:t>
      </w:r>
      <w:r w:rsidRPr="00085C2E">
        <w:rPr>
          <w:sz w:val="22"/>
          <w:szCs w:val="22"/>
          <w:lang w:val="de-DE"/>
        </w:rPr>
        <w:t xml:space="preserve"> unverblindet zusammen mit einer großen Bandbreite </w:t>
      </w:r>
      <w:r w:rsidRPr="0060056D">
        <w:rPr>
          <w:sz w:val="22"/>
          <w:szCs w:val="22"/>
          <w:lang w:val="de-DE"/>
        </w:rPr>
        <w:t>von Second-Line-Behandlungen</w:t>
      </w:r>
      <w:r w:rsidRPr="00085C2E">
        <w:rPr>
          <w:sz w:val="22"/>
          <w:szCs w:val="22"/>
          <w:lang w:val="de-DE"/>
        </w:rPr>
        <w:t xml:space="preserve"> erhalten</w:t>
      </w:r>
      <w:r w:rsidR="00C64BFE" w:rsidRPr="001661A9">
        <w:rPr>
          <w:sz w:val="22"/>
          <w:szCs w:val="22"/>
          <w:lang w:val="de-DE"/>
        </w:rPr>
        <w:t>.</w:t>
      </w:r>
    </w:p>
    <w:p w14:paraId="279C13C6" w14:textId="77777777" w:rsidR="00C64BFE" w:rsidRPr="001661A9" w:rsidRDefault="00C64BFE" w:rsidP="00C64BFE">
      <w:pPr>
        <w:pStyle w:val="Default"/>
        <w:rPr>
          <w:sz w:val="22"/>
          <w:szCs w:val="22"/>
          <w:lang w:val="de-DE"/>
        </w:rPr>
      </w:pPr>
    </w:p>
    <w:p w14:paraId="468E3A09" w14:textId="5C926423" w:rsidR="00C64BFE" w:rsidRPr="001661A9" w:rsidRDefault="00642B1C" w:rsidP="00C64BFE">
      <w:pPr>
        <w:pStyle w:val="Default"/>
        <w:rPr>
          <w:sz w:val="22"/>
          <w:szCs w:val="22"/>
          <w:lang w:val="de-DE"/>
        </w:rPr>
      </w:pPr>
      <w:r w:rsidRPr="001661A9">
        <w:rPr>
          <w:sz w:val="22"/>
          <w:szCs w:val="22"/>
          <w:lang w:val="de-DE"/>
        </w:rPr>
        <w:t>Statistische Auswertungen wurden unabhängig voneinander vorgenommen für:</w:t>
      </w:r>
      <w:r w:rsidR="00C64BFE" w:rsidRPr="001661A9">
        <w:rPr>
          <w:sz w:val="22"/>
          <w:szCs w:val="22"/>
          <w:lang w:val="de-DE"/>
        </w:rPr>
        <w:t xml:space="preserve"> 1) </w:t>
      </w:r>
      <w:r w:rsidRPr="001661A9">
        <w:rPr>
          <w:sz w:val="22"/>
          <w:szCs w:val="22"/>
          <w:lang w:val="de-DE"/>
        </w:rPr>
        <w:t>Patienten, die eine Behandlung mit Capecitabin in Kombination mit Bevacizumab oder Placebo erhielten</w:t>
      </w:r>
      <w:r w:rsidR="00C64BFE" w:rsidRPr="001661A9">
        <w:rPr>
          <w:sz w:val="22"/>
          <w:szCs w:val="22"/>
          <w:lang w:val="de-DE"/>
        </w:rPr>
        <w:t xml:space="preserve">; 2) </w:t>
      </w:r>
      <w:r w:rsidRPr="001661A9">
        <w:rPr>
          <w:sz w:val="22"/>
          <w:szCs w:val="22"/>
          <w:lang w:val="de-DE"/>
        </w:rPr>
        <w:t>Patienten, die eine Behandlung mit Taxanen oder Anthracyclinen in Kombination mit Bevacizumab oder Placebo erhielten</w:t>
      </w:r>
      <w:r w:rsidR="00C64BFE" w:rsidRPr="001661A9">
        <w:rPr>
          <w:sz w:val="22"/>
          <w:szCs w:val="22"/>
          <w:lang w:val="de-DE"/>
        </w:rPr>
        <w:t xml:space="preserve">. </w:t>
      </w:r>
      <w:r w:rsidR="00F30681" w:rsidRPr="001661A9">
        <w:rPr>
          <w:sz w:val="22"/>
          <w:szCs w:val="22"/>
          <w:lang w:val="de-DE"/>
        </w:rPr>
        <w:t xml:space="preserve">Der primäre </w:t>
      </w:r>
      <w:r w:rsidR="0060056D" w:rsidRPr="001661A9">
        <w:rPr>
          <w:sz w:val="22"/>
          <w:szCs w:val="22"/>
          <w:lang w:val="de-DE"/>
        </w:rPr>
        <w:t>Studienendpunkt</w:t>
      </w:r>
      <w:r w:rsidR="00F30681" w:rsidRPr="001661A9">
        <w:rPr>
          <w:sz w:val="22"/>
          <w:szCs w:val="22"/>
          <w:lang w:val="de-DE"/>
        </w:rPr>
        <w:t xml:space="preserve"> war</w:t>
      </w:r>
      <w:r w:rsidR="00D145C9">
        <w:rPr>
          <w:sz w:val="22"/>
          <w:szCs w:val="22"/>
          <w:lang w:val="de-DE"/>
        </w:rPr>
        <w:t>,</w:t>
      </w:r>
      <w:r w:rsidR="00F30681" w:rsidRPr="001661A9">
        <w:rPr>
          <w:sz w:val="22"/>
          <w:szCs w:val="22"/>
          <w:lang w:val="de-DE"/>
        </w:rPr>
        <w:t xml:space="preserve"> basierend auf der Bewertung des Prüfarztes</w:t>
      </w:r>
      <w:r w:rsidR="00D145C9">
        <w:rPr>
          <w:sz w:val="22"/>
          <w:szCs w:val="22"/>
          <w:lang w:val="de-DE"/>
        </w:rPr>
        <w:t>,</w:t>
      </w:r>
      <w:r w:rsidR="00F30681" w:rsidRPr="001661A9">
        <w:rPr>
          <w:sz w:val="22"/>
          <w:szCs w:val="22"/>
          <w:lang w:val="de-DE"/>
        </w:rPr>
        <w:t xml:space="preserve"> das progressionsfreie Überleben (PFS).</w:t>
      </w:r>
      <w:r w:rsidR="00C64BFE" w:rsidRPr="001661A9">
        <w:rPr>
          <w:sz w:val="22"/>
          <w:szCs w:val="22"/>
          <w:lang w:val="de-DE"/>
        </w:rPr>
        <w:t xml:space="preserve"> </w:t>
      </w:r>
      <w:r w:rsidR="00F30681" w:rsidRPr="001661A9">
        <w:rPr>
          <w:sz w:val="22"/>
          <w:szCs w:val="22"/>
          <w:lang w:val="de-DE"/>
        </w:rPr>
        <w:t>Der primäre Endpunkt wurde zusätzlich durch ein unabhängiges Review-Komitee (</w:t>
      </w:r>
      <w:r w:rsidR="0023040F" w:rsidRPr="00D87918">
        <w:rPr>
          <w:i/>
          <w:iCs/>
          <w:sz w:val="22"/>
          <w:szCs w:val="22"/>
          <w:lang w:val="de-DE"/>
        </w:rPr>
        <w:t>independent review committee</w:t>
      </w:r>
      <w:r w:rsidR="0023040F">
        <w:rPr>
          <w:sz w:val="22"/>
          <w:szCs w:val="22"/>
          <w:lang w:val="de-DE"/>
        </w:rPr>
        <w:t xml:space="preserve">, </w:t>
      </w:r>
      <w:r w:rsidR="00F30681" w:rsidRPr="001661A9">
        <w:rPr>
          <w:sz w:val="22"/>
          <w:szCs w:val="22"/>
          <w:lang w:val="de-DE"/>
        </w:rPr>
        <w:t>IRC) überprüft.</w:t>
      </w:r>
    </w:p>
    <w:p w14:paraId="5C84342A" w14:textId="77777777" w:rsidR="00F30681" w:rsidRPr="001661A9" w:rsidRDefault="00F30681" w:rsidP="00C64BFE">
      <w:pPr>
        <w:pStyle w:val="Default"/>
        <w:rPr>
          <w:sz w:val="22"/>
          <w:szCs w:val="22"/>
          <w:lang w:val="de-DE"/>
        </w:rPr>
      </w:pPr>
    </w:p>
    <w:p w14:paraId="59554D59" w14:textId="76B6E2E0" w:rsidR="00C64BFE" w:rsidRPr="001661A9" w:rsidRDefault="00F30681" w:rsidP="00C64BFE">
      <w:pPr>
        <w:pStyle w:val="Default"/>
        <w:rPr>
          <w:sz w:val="22"/>
          <w:szCs w:val="22"/>
          <w:lang w:val="de-DE"/>
        </w:rPr>
      </w:pPr>
      <w:r w:rsidRPr="001661A9">
        <w:rPr>
          <w:sz w:val="22"/>
          <w:szCs w:val="22"/>
          <w:lang w:val="de-DE"/>
        </w:rPr>
        <w:lastRenderedPageBreak/>
        <w:t>Die Ergebnisse dieser Studie aus den finalen, im Protokoll definierten Analysen zum progressionsfreien Überleben und zu den Ansprechraten der unabhängig gepowerten Capecitabin-Kohorte der Studie AVF3694g sind in</w:t>
      </w:r>
      <w:r w:rsidR="00C64BFE" w:rsidRPr="001661A9">
        <w:rPr>
          <w:sz w:val="22"/>
          <w:szCs w:val="22"/>
          <w:lang w:val="de-DE"/>
        </w:rPr>
        <w:t xml:space="preserve"> Tab</w:t>
      </w:r>
      <w:r w:rsidRPr="001661A9">
        <w:rPr>
          <w:sz w:val="22"/>
          <w:szCs w:val="22"/>
          <w:lang w:val="de-DE"/>
        </w:rPr>
        <w:t>elle</w:t>
      </w:r>
      <w:r w:rsidR="00C64BFE" w:rsidRPr="001661A9">
        <w:rPr>
          <w:sz w:val="22"/>
          <w:szCs w:val="22"/>
          <w:lang w:val="de-DE"/>
        </w:rPr>
        <w:t> 11</w:t>
      </w:r>
      <w:r w:rsidRPr="001661A9">
        <w:rPr>
          <w:sz w:val="22"/>
          <w:szCs w:val="22"/>
          <w:lang w:val="de-DE"/>
        </w:rPr>
        <w:t xml:space="preserve"> dargestellt</w:t>
      </w:r>
      <w:r w:rsidR="00C64BFE" w:rsidRPr="001661A9">
        <w:rPr>
          <w:sz w:val="22"/>
          <w:szCs w:val="22"/>
          <w:lang w:val="de-DE"/>
        </w:rPr>
        <w:t xml:space="preserve">. </w:t>
      </w:r>
      <w:r w:rsidR="00F63DEE" w:rsidRPr="001661A9">
        <w:rPr>
          <w:sz w:val="22"/>
          <w:szCs w:val="22"/>
          <w:lang w:val="de-DE"/>
        </w:rPr>
        <w:t>Die Ergebnisse einer explorativen Gesamtüberlebensanalyse, die eine zusätzliche Nachbeobachtungsphase von 7</w:t>
      </w:r>
      <w:r w:rsidR="00487307">
        <w:rPr>
          <w:sz w:val="22"/>
          <w:szCs w:val="22"/>
          <w:lang w:val="de-DE"/>
        </w:rPr>
        <w:t> </w:t>
      </w:r>
      <w:r w:rsidR="00F63DEE" w:rsidRPr="001661A9">
        <w:rPr>
          <w:sz w:val="22"/>
          <w:szCs w:val="22"/>
          <w:lang w:val="de-DE"/>
        </w:rPr>
        <w:t>Monaten beinhalten, werden ebenfalls dargestellt. Zu diesem Zeitpunkt waren ungefähr 46</w:t>
      </w:r>
      <w:r w:rsidR="00487307">
        <w:rPr>
          <w:sz w:val="22"/>
          <w:szCs w:val="22"/>
          <w:lang w:val="de-DE"/>
        </w:rPr>
        <w:t> </w:t>
      </w:r>
      <w:r w:rsidR="00F63DEE" w:rsidRPr="001661A9">
        <w:rPr>
          <w:sz w:val="22"/>
          <w:szCs w:val="22"/>
          <w:lang w:val="de-DE"/>
        </w:rPr>
        <w:t>% der Patienten verstorben. Der Prozentsatz der Patienten, die in der offenen Phase der Studie Bevacizumab erhielten, betrug 62,1</w:t>
      </w:r>
      <w:r w:rsidR="00487307">
        <w:rPr>
          <w:sz w:val="22"/>
          <w:szCs w:val="22"/>
          <w:lang w:val="de-DE"/>
        </w:rPr>
        <w:t> </w:t>
      </w:r>
      <w:r w:rsidR="00F63DEE" w:rsidRPr="001661A9">
        <w:rPr>
          <w:sz w:val="22"/>
          <w:szCs w:val="22"/>
          <w:lang w:val="de-DE"/>
        </w:rPr>
        <w:t>% im Capecitabin</w:t>
      </w:r>
      <w:r w:rsidR="007C1247" w:rsidRPr="001661A9">
        <w:rPr>
          <w:sz w:val="22"/>
          <w:szCs w:val="22"/>
          <w:lang w:val="de-DE"/>
        </w:rPr>
        <w:t xml:space="preserve"> + </w:t>
      </w:r>
      <w:r w:rsidR="00F63DEE" w:rsidRPr="001661A9">
        <w:rPr>
          <w:sz w:val="22"/>
          <w:szCs w:val="22"/>
          <w:lang w:val="de-DE"/>
        </w:rPr>
        <w:t>Placebo-</w:t>
      </w:r>
      <w:r w:rsidR="00523B75" w:rsidRPr="001661A9">
        <w:rPr>
          <w:sz w:val="22"/>
          <w:szCs w:val="22"/>
          <w:lang w:val="de-DE"/>
        </w:rPr>
        <w:t>A</w:t>
      </w:r>
      <w:r w:rsidR="00F63DEE" w:rsidRPr="001661A9">
        <w:rPr>
          <w:sz w:val="22"/>
          <w:szCs w:val="22"/>
          <w:lang w:val="de-DE"/>
        </w:rPr>
        <w:t>rm und 49,9</w:t>
      </w:r>
      <w:r w:rsidR="00487307">
        <w:rPr>
          <w:sz w:val="22"/>
          <w:szCs w:val="22"/>
          <w:lang w:val="de-DE"/>
        </w:rPr>
        <w:t> </w:t>
      </w:r>
      <w:r w:rsidR="00F63DEE" w:rsidRPr="001661A9">
        <w:rPr>
          <w:sz w:val="22"/>
          <w:szCs w:val="22"/>
          <w:lang w:val="de-DE"/>
        </w:rPr>
        <w:t>% im Capecitabin</w:t>
      </w:r>
      <w:r w:rsidR="007C1247" w:rsidRPr="001661A9">
        <w:rPr>
          <w:sz w:val="22"/>
          <w:szCs w:val="22"/>
          <w:lang w:val="de-DE"/>
        </w:rPr>
        <w:t xml:space="preserve"> + </w:t>
      </w:r>
      <w:r w:rsidR="00F63DEE" w:rsidRPr="001661A9">
        <w:rPr>
          <w:sz w:val="22"/>
          <w:szCs w:val="22"/>
          <w:lang w:val="de-DE"/>
        </w:rPr>
        <w:t>Bevacizumab-</w:t>
      </w:r>
      <w:r w:rsidR="00523B75" w:rsidRPr="001661A9">
        <w:rPr>
          <w:sz w:val="22"/>
          <w:szCs w:val="22"/>
          <w:lang w:val="de-DE"/>
        </w:rPr>
        <w:t>A</w:t>
      </w:r>
      <w:r w:rsidR="00F63DEE" w:rsidRPr="001661A9">
        <w:rPr>
          <w:sz w:val="22"/>
          <w:szCs w:val="22"/>
          <w:lang w:val="de-DE"/>
        </w:rPr>
        <w:t>rm</w:t>
      </w:r>
      <w:r w:rsidR="00C64BFE" w:rsidRPr="001661A9">
        <w:rPr>
          <w:sz w:val="22"/>
          <w:szCs w:val="22"/>
          <w:lang w:val="de-DE"/>
        </w:rPr>
        <w:t>.</w:t>
      </w:r>
    </w:p>
    <w:p w14:paraId="3885469E" w14:textId="77777777" w:rsidR="00C64BFE" w:rsidRPr="001661A9" w:rsidRDefault="00C64BFE" w:rsidP="00C64BFE">
      <w:pPr>
        <w:pStyle w:val="CM2"/>
        <w:widowControl/>
        <w:spacing w:line="240" w:lineRule="auto"/>
        <w:rPr>
          <w:i/>
          <w:iCs/>
          <w:sz w:val="22"/>
          <w:szCs w:val="22"/>
          <w:lang w:val="de-DE"/>
        </w:rPr>
      </w:pPr>
    </w:p>
    <w:p w14:paraId="6BF2FBD4" w14:textId="76FBD35A" w:rsidR="00C64BFE" w:rsidRPr="001661A9" w:rsidRDefault="00C64BFE" w:rsidP="00BD272D">
      <w:pPr>
        <w:keepNext/>
        <w:keepLines/>
        <w:tabs>
          <w:tab w:val="left" w:pos="567"/>
        </w:tabs>
        <w:autoSpaceDE w:val="0"/>
        <w:autoSpaceDN w:val="0"/>
        <w:adjustRightInd w:val="0"/>
        <w:spacing w:after="0" w:line="240" w:lineRule="auto"/>
        <w:rPr>
          <w:rFonts w:ascii="Times New Roman" w:hAnsi="Times New Roman" w:cs="Times New Roman"/>
          <w:b/>
          <w:bCs/>
          <w:szCs w:val="20"/>
          <w:lang w:val="de-DE"/>
        </w:rPr>
      </w:pPr>
      <w:r w:rsidRPr="001661A9">
        <w:rPr>
          <w:rFonts w:ascii="Times New Roman" w:hAnsi="Times New Roman" w:cs="Times New Roman"/>
          <w:b/>
          <w:bCs/>
          <w:szCs w:val="20"/>
          <w:lang w:val="de-DE"/>
        </w:rPr>
        <w:t>Ta</w:t>
      </w:r>
      <w:r w:rsidR="007C1247" w:rsidRPr="001661A9">
        <w:rPr>
          <w:rFonts w:ascii="Times New Roman" w:hAnsi="Times New Roman" w:cs="Times New Roman"/>
          <w:b/>
          <w:bCs/>
          <w:szCs w:val="20"/>
          <w:lang w:val="de-DE"/>
        </w:rPr>
        <w:t>belle</w:t>
      </w:r>
      <w:r w:rsidRPr="001661A9">
        <w:rPr>
          <w:rFonts w:ascii="Times New Roman" w:hAnsi="Times New Roman" w:cs="Times New Roman"/>
          <w:b/>
          <w:bCs/>
          <w:szCs w:val="20"/>
          <w:lang w:val="de-DE"/>
        </w:rPr>
        <w:t xml:space="preserve"> 11. </w:t>
      </w:r>
      <w:r w:rsidR="007C1247" w:rsidRPr="001661A9">
        <w:rPr>
          <w:rFonts w:ascii="Times New Roman" w:hAnsi="Times New Roman" w:cs="Times New Roman"/>
          <w:b/>
          <w:bCs/>
          <w:szCs w:val="20"/>
          <w:lang w:val="de-DE"/>
        </w:rPr>
        <w:t>Wirksamkeitsergebnisse zur Studie</w:t>
      </w:r>
      <w:r w:rsidRPr="001661A9">
        <w:rPr>
          <w:rFonts w:ascii="Times New Roman" w:hAnsi="Times New Roman" w:cs="Times New Roman"/>
          <w:b/>
          <w:bCs/>
          <w:szCs w:val="20"/>
          <w:lang w:val="de-DE"/>
        </w:rPr>
        <w:t xml:space="preserve"> AVF3694g: Capecitabin</w:t>
      </w:r>
      <w:r w:rsidRPr="00BD272D">
        <w:rPr>
          <w:rFonts w:ascii="Times New Roman" w:hAnsi="Times New Roman" w:cs="Times New Roman"/>
          <w:b/>
          <w:bCs/>
          <w:szCs w:val="20"/>
          <w:vertAlign w:val="superscript"/>
          <w:lang w:val="de-DE"/>
        </w:rPr>
        <w:t>a</w:t>
      </w:r>
      <w:r w:rsidRPr="001661A9">
        <w:rPr>
          <w:rFonts w:ascii="Times New Roman" w:hAnsi="Times New Roman" w:cs="Times New Roman"/>
          <w:b/>
          <w:bCs/>
          <w:szCs w:val="20"/>
          <w:lang w:val="de-DE"/>
        </w:rPr>
        <w:t xml:space="preserve"> </w:t>
      </w:r>
      <w:r w:rsidR="007C1247" w:rsidRPr="001661A9">
        <w:rPr>
          <w:rFonts w:ascii="Times New Roman" w:hAnsi="Times New Roman" w:cs="Times New Roman"/>
          <w:b/>
          <w:bCs/>
          <w:szCs w:val="20"/>
          <w:lang w:val="de-DE"/>
        </w:rPr>
        <w:t>u</w:t>
      </w:r>
      <w:r w:rsidRPr="001661A9">
        <w:rPr>
          <w:rFonts w:ascii="Times New Roman" w:hAnsi="Times New Roman" w:cs="Times New Roman"/>
          <w:b/>
          <w:bCs/>
          <w:szCs w:val="20"/>
          <w:lang w:val="de-DE"/>
        </w:rPr>
        <w:t>nd Bevacizumab/Placebo (Cap + Bevacizumab/Pl)</w:t>
      </w:r>
    </w:p>
    <w:p w14:paraId="63B3EB73" w14:textId="77777777" w:rsidR="00C64BFE" w:rsidRPr="001661A9" w:rsidRDefault="00C64BFE" w:rsidP="00BD272D">
      <w:pPr>
        <w:pStyle w:val="Default"/>
        <w:keepNext/>
        <w:keepLines/>
        <w:rPr>
          <w:rFonts w:eastAsia="Times New Roman"/>
          <w:sz w:val="22"/>
          <w:szCs w:val="22"/>
          <w:lang w:val="de-DE"/>
        </w:rPr>
      </w:pPr>
    </w:p>
    <w:tbl>
      <w:tblPr>
        <w:tblW w:w="92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0"/>
        <w:gridCol w:w="1833"/>
        <w:gridCol w:w="7"/>
        <w:gridCol w:w="1841"/>
        <w:gridCol w:w="1844"/>
      </w:tblGrid>
      <w:tr w:rsidR="00C64BFE" w:rsidRPr="00402720" w14:paraId="610BFF60" w14:textId="77777777" w:rsidTr="00C64BFE">
        <w:trPr>
          <w:trHeight w:val="300"/>
          <w:tblHeader/>
        </w:trPr>
        <w:tc>
          <w:tcPr>
            <w:tcW w:w="9229" w:type="dxa"/>
            <w:gridSpan w:val="6"/>
            <w:tcBorders>
              <w:top w:val="single" w:sz="4" w:space="0" w:color="auto"/>
              <w:left w:val="single" w:sz="4" w:space="0" w:color="auto"/>
              <w:bottom w:val="single" w:sz="4" w:space="0" w:color="auto"/>
              <w:right w:val="single" w:sz="4" w:space="0" w:color="auto"/>
            </w:tcBorders>
            <w:noWrap/>
            <w:vAlign w:val="bottom"/>
            <w:hideMark/>
          </w:tcPr>
          <w:p w14:paraId="085C894D" w14:textId="64DB0D6F" w:rsidR="00C64BFE" w:rsidRPr="00D87918" w:rsidRDefault="007C1247" w:rsidP="00BD272D">
            <w:pPr>
              <w:keepNext/>
              <w:keepLines/>
              <w:tabs>
                <w:tab w:val="left" w:pos="567"/>
              </w:tabs>
              <w:spacing w:after="0" w:line="240" w:lineRule="auto"/>
              <w:rPr>
                <w:color w:val="000000"/>
                <w:szCs w:val="20"/>
              </w:rPr>
            </w:pPr>
            <w:r w:rsidRPr="00D87918">
              <w:rPr>
                <w:rFonts w:ascii="Times New Roman" w:eastAsia="Times New Roman" w:hAnsi="Times New Roman" w:cs="Times New Roman"/>
                <w:color w:val="000000"/>
                <w:szCs w:val="20"/>
                <w:lang w:val="en-GB"/>
              </w:rPr>
              <w:t>Progressionsfreies Überleben</w:t>
            </w:r>
            <w:r w:rsidR="00C64BFE" w:rsidRPr="00D87918">
              <w:rPr>
                <w:rFonts w:ascii="Times New Roman" w:eastAsia="Times New Roman" w:hAnsi="Times New Roman" w:cs="Times New Roman"/>
                <w:color w:val="000000"/>
                <w:szCs w:val="20"/>
                <w:vertAlign w:val="superscript"/>
                <w:lang w:val="en-GB"/>
              </w:rPr>
              <w:t>b</w:t>
            </w:r>
          </w:p>
        </w:tc>
      </w:tr>
      <w:tr w:rsidR="00C64BFE" w:rsidRPr="00B83674" w14:paraId="703C1574" w14:textId="77777777" w:rsidTr="00C64BFE">
        <w:trPr>
          <w:trHeight w:val="300"/>
          <w:tblHead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2450ECC1" w14:textId="77777777" w:rsidR="00C64BFE" w:rsidRPr="00402720" w:rsidRDefault="00C64BFE" w:rsidP="00BD272D">
            <w:pPr>
              <w:keepNext/>
              <w:keepLines/>
              <w:rPr>
                <w:color w:val="000000"/>
              </w:rPr>
            </w:pPr>
          </w:p>
        </w:tc>
        <w:tc>
          <w:tcPr>
            <w:tcW w:w="3395" w:type="dxa"/>
            <w:gridSpan w:val="2"/>
            <w:tcBorders>
              <w:top w:val="single" w:sz="4" w:space="0" w:color="auto"/>
              <w:left w:val="single" w:sz="4" w:space="0" w:color="auto"/>
              <w:bottom w:val="single" w:sz="4" w:space="0" w:color="auto"/>
              <w:right w:val="single" w:sz="4" w:space="0" w:color="auto"/>
            </w:tcBorders>
            <w:noWrap/>
            <w:vAlign w:val="bottom"/>
            <w:hideMark/>
          </w:tcPr>
          <w:p w14:paraId="18DFA7D9" w14:textId="77777777" w:rsidR="00C64BFE" w:rsidRDefault="007C1247" w:rsidP="00BD272D">
            <w:pPr>
              <w:keepNext/>
              <w:keepLines/>
              <w:tabs>
                <w:tab w:val="left" w:pos="567"/>
              </w:tabs>
              <w:spacing w:after="0" w:line="240" w:lineRule="auto"/>
              <w:jc w:val="center"/>
              <w:rPr>
                <w:rFonts w:ascii="Times New Roman" w:eastAsia="Times New Roman" w:hAnsi="Times New Roman" w:cs="Times New Roman"/>
                <w:color w:val="000000"/>
                <w:szCs w:val="20"/>
                <w:lang w:val="en-GB"/>
              </w:rPr>
            </w:pPr>
            <w:r w:rsidRPr="001661A9">
              <w:rPr>
                <w:rFonts w:ascii="Times New Roman" w:eastAsia="Times New Roman" w:hAnsi="Times New Roman" w:cs="Times New Roman"/>
                <w:color w:val="000000"/>
                <w:szCs w:val="20"/>
                <w:lang w:val="en-GB"/>
              </w:rPr>
              <w:t>Bewertung durch den Prüfarzt</w:t>
            </w:r>
          </w:p>
          <w:p w14:paraId="4F976AA6" w14:textId="04C1C643" w:rsidR="00D145C9" w:rsidRPr="00402720" w:rsidRDefault="00D145C9" w:rsidP="00BD272D">
            <w:pPr>
              <w:keepNext/>
              <w:keepLines/>
              <w:tabs>
                <w:tab w:val="left" w:pos="567"/>
              </w:tabs>
              <w:spacing w:after="0" w:line="240" w:lineRule="auto"/>
              <w:jc w:val="center"/>
              <w:rPr>
                <w:rFonts w:eastAsia="Times New Roman"/>
                <w:color w:val="000000"/>
                <w:lang w:val="en-GB"/>
              </w:rPr>
            </w:pPr>
          </w:p>
        </w:tc>
        <w:tc>
          <w:tcPr>
            <w:tcW w:w="3694" w:type="dxa"/>
            <w:gridSpan w:val="3"/>
            <w:tcBorders>
              <w:top w:val="single" w:sz="4" w:space="0" w:color="auto"/>
              <w:left w:val="single" w:sz="4" w:space="0" w:color="auto"/>
              <w:bottom w:val="single" w:sz="4" w:space="0" w:color="auto"/>
              <w:right w:val="single" w:sz="4" w:space="0" w:color="auto"/>
            </w:tcBorders>
            <w:noWrap/>
            <w:vAlign w:val="bottom"/>
            <w:hideMark/>
          </w:tcPr>
          <w:p w14:paraId="7EE34787" w14:textId="62C505A7" w:rsidR="00C64BFE" w:rsidRPr="001661A9" w:rsidRDefault="007C1247" w:rsidP="00BD272D">
            <w:pPr>
              <w:keepNext/>
              <w:keepLines/>
              <w:tabs>
                <w:tab w:val="left" w:pos="567"/>
              </w:tabs>
              <w:spacing w:after="0" w:line="240" w:lineRule="auto"/>
              <w:jc w:val="center"/>
              <w:rPr>
                <w:rFonts w:ascii="Times New Roman" w:eastAsia="Times New Roman" w:hAnsi="Times New Roman" w:cs="Times New Roman"/>
                <w:color w:val="000000"/>
                <w:szCs w:val="20"/>
                <w:lang w:val="de-DE"/>
              </w:rPr>
            </w:pPr>
            <w:r w:rsidRPr="001661A9">
              <w:rPr>
                <w:rFonts w:ascii="Times New Roman" w:eastAsia="Times New Roman" w:hAnsi="Times New Roman" w:cs="Times New Roman"/>
                <w:color w:val="000000"/>
                <w:szCs w:val="20"/>
                <w:lang w:val="de-DE"/>
              </w:rPr>
              <w:t>Bewertung durch das unabhängige Review-Komitee</w:t>
            </w:r>
            <w:r w:rsidR="00C64BFE" w:rsidRPr="001661A9">
              <w:rPr>
                <w:rFonts w:ascii="Times New Roman" w:eastAsia="Times New Roman" w:hAnsi="Times New Roman" w:cs="Times New Roman"/>
                <w:color w:val="000000"/>
                <w:szCs w:val="20"/>
                <w:lang w:val="de-DE"/>
              </w:rPr>
              <w:t xml:space="preserve"> </w:t>
            </w:r>
            <w:r w:rsidR="00487307" w:rsidRPr="001661A9">
              <w:rPr>
                <w:rFonts w:ascii="Times New Roman" w:eastAsia="Times New Roman" w:hAnsi="Times New Roman" w:cs="Times New Roman"/>
                <w:color w:val="000000"/>
                <w:szCs w:val="20"/>
                <w:lang w:val="de-DE"/>
              </w:rPr>
              <w:t>(IRC)</w:t>
            </w:r>
          </w:p>
        </w:tc>
      </w:tr>
      <w:tr w:rsidR="00C64BFE" w:rsidRPr="00402720" w14:paraId="0DA49804" w14:textId="77777777" w:rsidTr="00C64BFE">
        <w:trPr>
          <w:trHeight w:val="300"/>
          <w:tblHead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4C0FF674" w14:textId="77777777" w:rsidR="00C64BFE" w:rsidRPr="00402720" w:rsidRDefault="00C64BFE" w:rsidP="00BD272D">
            <w:pPr>
              <w:keepNext/>
              <w:keepLines/>
              <w:rPr>
                <w:color w:val="000000"/>
                <w:lang w:val="de-DE"/>
              </w:rPr>
            </w:pPr>
          </w:p>
        </w:tc>
        <w:tc>
          <w:tcPr>
            <w:tcW w:w="1561" w:type="dxa"/>
            <w:tcBorders>
              <w:top w:val="single" w:sz="4" w:space="0" w:color="auto"/>
              <w:left w:val="single" w:sz="4" w:space="0" w:color="auto"/>
              <w:bottom w:val="single" w:sz="4" w:space="0" w:color="auto"/>
              <w:right w:val="single" w:sz="4" w:space="0" w:color="auto"/>
            </w:tcBorders>
            <w:noWrap/>
            <w:hideMark/>
          </w:tcPr>
          <w:p w14:paraId="1B6EAEF6" w14:textId="77777777" w:rsidR="00C64BFE" w:rsidRPr="001661A9" w:rsidRDefault="00C64BFE" w:rsidP="00BD272D">
            <w:pPr>
              <w:keepNext/>
              <w:keepLines/>
              <w:spacing w:after="0" w:line="240" w:lineRule="auto"/>
              <w:jc w:val="center"/>
              <w:rPr>
                <w:rFonts w:ascii="Times New Roman" w:eastAsia="Times New Roman" w:hAnsi="Times New Roman" w:cs="Times New Roman"/>
                <w:color w:val="000000"/>
                <w:lang w:val="en-GB"/>
              </w:rPr>
            </w:pPr>
            <w:r w:rsidRPr="00402720">
              <w:rPr>
                <w:rFonts w:ascii="Times New Roman" w:hAnsi="Times New Roman" w:cs="Times New Roman"/>
                <w:color w:val="000000"/>
              </w:rPr>
              <w:t>Cap + Pl</w:t>
            </w:r>
          </w:p>
          <w:p w14:paraId="003ADFA6" w14:textId="77777777" w:rsidR="00C64BFE" w:rsidRPr="00402720" w:rsidRDefault="00C64BFE" w:rsidP="00BD272D">
            <w:pPr>
              <w:keepNext/>
              <w:keepLines/>
              <w:spacing w:line="240" w:lineRule="auto"/>
              <w:jc w:val="center"/>
              <w:rPr>
                <w:color w:val="000000"/>
              </w:rPr>
            </w:pPr>
            <w:r w:rsidRPr="00402720">
              <w:rPr>
                <w:rFonts w:ascii="Times New Roman" w:hAnsi="Times New Roman" w:cs="Times New Roman"/>
                <w:color w:val="000000"/>
              </w:rPr>
              <w:t>(n = 206)</w:t>
            </w:r>
          </w:p>
        </w:tc>
        <w:tc>
          <w:tcPr>
            <w:tcW w:w="1834" w:type="dxa"/>
            <w:tcBorders>
              <w:top w:val="single" w:sz="4" w:space="0" w:color="auto"/>
              <w:left w:val="single" w:sz="4" w:space="0" w:color="auto"/>
              <w:bottom w:val="single" w:sz="4" w:space="0" w:color="auto"/>
              <w:right w:val="single" w:sz="4" w:space="0" w:color="auto"/>
            </w:tcBorders>
            <w:noWrap/>
            <w:hideMark/>
          </w:tcPr>
          <w:p w14:paraId="6DA29355" w14:textId="5118890B"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 xml:space="preserve">Cap + </w:t>
            </w:r>
            <w:r w:rsidR="007C1247" w:rsidRPr="00402720">
              <w:rPr>
                <w:rFonts w:ascii="Times New Roman" w:hAnsi="Times New Roman" w:cs="Times New Roman"/>
                <w:color w:val="000000"/>
              </w:rPr>
              <w:t>B</w:t>
            </w:r>
            <w:r w:rsidRPr="00402720">
              <w:rPr>
                <w:rFonts w:ascii="Times New Roman" w:hAnsi="Times New Roman" w:cs="Times New Roman"/>
                <w:color w:val="000000"/>
              </w:rPr>
              <w:t>evacizumab (n = 409)</w:t>
            </w:r>
          </w:p>
        </w:tc>
        <w:tc>
          <w:tcPr>
            <w:tcW w:w="1849" w:type="dxa"/>
            <w:gridSpan w:val="2"/>
            <w:tcBorders>
              <w:top w:val="single" w:sz="4" w:space="0" w:color="auto"/>
              <w:left w:val="single" w:sz="4" w:space="0" w:color="auto"/>
              <w:bottom w:val="single" w:sz="4" w:space="0" w:color="auto"/>
              <w:right w:val="single" w:sz="4" w:space="0" w:color="auto"/>
            </w:tcBorders>
            <w:noWrap/>
            <w:hideMark/>
          </w:tcPr>
          <w:p w14:paraId="10FB0E48" w14:textId="77777777" w:rsidR="00C64BFE" w:rsidRPr="00402720" w:rsidRDefault="00C64BFE" w:rsidP="00BD272D">
            <w:pPr>
              <w:keepNext/>
              <w:keepLines/>
              <w:spacing w:after="0" w:line="240" w:lineRule="auto"/>
              <w:jc w:val="center"/>
              <w:rPr>
                <w:rFonts w:ascii="Times New Roman" w:hAnsi="Times New Roman" w:cs="Times New Roman"/>
                <w:color w:val="000000"/>
              </w:rPr>
            </w:pPr>
            <w:r w:rsidRPr="00402720">
              <w:rPr>
                <w:rFonts w:ascii="Times New Roman" w:hAnsi="Times New Roman" w:cs="Times New Roman"/>
                <w:color w:val="000000"/>
              </w:rPr>
              <w:t>Cap + Pl</w:t>
            </w:r>
          </w:p>
          <w:p w14:paraId="0A5F9F53" w14:textId="77777777" w:rsidR="00C64BFE" w:rsidRPr="00402720" w:rsidRDefault="00C64BFE" w:rsidP="00BD272D">
            <w:pPr>
              <w:keepNext/>
              <w:keepLines/>
              <w:spacing w:line="240" w:lineRule="auto"/>
              <w:jc w:val="center"/>
              <w:rPr>
                <w:color w:val="000000"/>
              </w:rPr>
            </w:pPr>
            <w:r w:rsidRPr="00402720">
              <w:rPr>
                <w:rFonts w:ascii="Times New Roman" w:hAnsi="Times New Roman" w:cs="Times New Roman"/>
                <w:color w:val="000000"/>
              </w:rPr>
              <w:t>(n = 206)</w:t>
            </w:r>
          </w:p>
        </w:tc>
        <w:tc>
          <w:tcPr>
            <w:tcW w:w="1845" w:type="dxa"/>
            <w:tcBorders>
              <w:top w:val="single" w:sz="4" w:space="0" w:color="auto"/>
              <w:left w:val="single" w:sz="4" w:space="0" w:color="auto"/>
              <w:bottom w:val="single" w:sz="4" w:space="0" w:color="auto"/>
              <w:right w:val="single" w:sz="4" w:space="0" w:color="auto"/>
            </w:tcBorders>
            <w:noWrap/>
            <w:hideMark/>
          </w:tcPr>
          <w:p w14:paraId="116FEB5A" w14:textId="63688CBE"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 xml:space="preserve">Cap + </w:t>
            </w:r>
            <w:r w:rsidR="007C1247" w:rsidRPr="00402720">
              <w:rPr>
                <w:rFonts w:ascii="Times New Roman" w:hAnsi="Times New Roman" w:cs="Times New Roman"/>
                <w:color w:val="000000"/>
              </w:rPr>
              <w:t>B</w:t>
            </w:r>
            <w:r w:rsidRPr="00402720">
              <w:rPr>
                <w:rFonts w:ascii="Times New Roman" w:hAnsi="Times New Roman" w:cs="Times New Roman"/>
                <w:color w:val="000000"/>
              </w:rPr>
              <w:t>evacizumab (n = 409)</w:t>
            </w:r>
          </w:p>
        </w:tc>
      </w:tr>
      <w:tr w:rsidR="00C64BFE" w:rsidRPr="00402720" w14:paraId="65F1A5F8" w14:textId="77777777" w:rsidTr="00C64BFE">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7E688D64" w14:textId="52B74E5F" w:rsidR="00C64BFE" w:rsidRPr="00402720" w:rsidRDefault="007C1247" w:rsidP="00BD272D">
            <w:pPr>
              <w:keepNext/>
              <w:keepLines/>
              <w:spacing w:line="240" w:lineRule="auto"/>
              <w:rPr>
                <w:rFonts w:ascii="Times New Roman" w:hAnsi="Times New Roman" w:cs="Times New Roman"/>
                <w:color w:val="000000"/>
              </w:rPr>
            </w:pPr>
            <w:r w:rsidRPr="00402720">
              <w:rPr>
                <w:rFonts w:ascii="Times New Roman" w:hAnsi="Times New Roman" w:cs="Times New Roman"/>
                <w:color w:val="000000"/>
              </w:rPr>
              <w:t>Medianes</w:t>
            </w:r>
            <w:r w:rsidR="00C64BFE" w:rsidRPr="00402720">
              <w:rPr>
                <w:rFonts w:ascii="Times New Roman" w:hAnsi="Times New Roman" w:cs="Times New Roman"/>
                <w:color w:val="000000"/>
              </w:rPr>
              <w:t xml:space="preserve"> PFS (</w:t>
            </w:r>
            <w:r w:rsidRPr="00402720">
              <w:rPr>
                <w:rFonts w:ascii="Times New Roman" w:hAnsi="Times New Roman" w:cs="Times New Roman"/>
                <w:color w:val="000000"/>
              </w:rPr>
              <w:t>Monate</w:t>
            </w:r>
            <w:r w:rsidR="00C64BFE" w:rsidRPr="00402720">
              <w:rPr>
                <w:rFonts w:ascii="Times New Roman" w:hAnsi="Times New Roman" w:cs="Times New Roman"/>
                <w:color w:val="000000"/>
              </w:rPr>
              <w:t xml:space="preserve">) </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0C054186" w14:textId="18F55D6C"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5</w:t>
            </w:r>
            <w:r w:rsidR="007C1247" w:rsidRPr="00402720">
              <w:rPr>
                <w:rFonts w:ascii="Times New Roman" w:hAnsi="Times New Roman" w:cs="Times New Roman"/>
                <w:color w:val="000000"/>
              </w:rPr>
              <w:t>,</w:t>
            </w:r>
            <w:r w:rsidRPr="00402720">
              <w:rPr>
                <w:rFonts w:ascii="Times New Roman" w:hAnsi="Times New Roman" w:cs="Times New Roman"/>
                <w:color w:val="000000"/>
              </w:rPr>
              <w:t>7</w:t>
            </w:r>
          </w:p>
        </w:tc>
        <w:tc>
          <w:tcPr>
            <w:tcW w:w="1834" w:type="dxa"/>
            <w:tcBorders>
              <w:top w:val="single" w:sz="4" w:space="0" w:color="auto"/>
              <w:left w:val="single" w:sz="4" w:space="0" w:color="auto"/>
              <w:bottom w:val="single" w:sz="4" w:space="0" w:color="auto"/>
              <w:right w:val="single" w:sz="4" w:space="0" w:color="auto"/>
            </w:tcBorders>
            <w:noWrap/>
            <w:vAlign w:val="center"/>
            <w:hideMark/>
          </w:tcPr>
          <w:p w14:paraId="40AF5F76" w14:textId="61C8BC89"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8</w:t>
            </w:r>
            <w:r w:rsidR="007C1247" w:rsidRPr="00402720">
              <w:rPr>
                <w:rFonts w:ascii="Times New Roman" w:hAnsi="Times New Roman" w:cs="Times New Roman"/>
                <w:color w:val="000000"/>
              </w:rPr>
              <w:t>,</w:t>
            </w:r>
            <w:r w:rsidRPr="00402720">
              <w:rPr>
                <w:rFonts w:ascii="Times New Roman" w:hAnsi="Times New Roman" w:cs="Times New Roman"/>
                <w:color w:val="000000"/>
              </w:rPr>
              <w:t>6</w:t>
            </w:r>
          </w:p>
        </w:tc>
        <w:tc>
          <w:tcPr>
            <w:tcW w:w="1849" w:type="dxa"/>
            <w:gridSpan w:val="2"/>
            <w:tcBorders>
              <w:top w:val="single" w:sz="4" w:space="0" w:color="auto"/>
              <w:left w:val="single" w:sz="4" w:space="0" w:color="auto"/>
              <w:bottom w:val="single" w:sz="4" w:space="0" w:color="auto"/>
              <w:right w:val="single" w:sz="4" w:space="0" w:color="auto"/>
            </w:tcBorders>
            <w:noWrap/>
            <w:vAlign w:val="center"/>
            <w:hideMark/>
          </w:tcPr>
          <w:p w14:paraId="22EE0B09" w14:textId="291D5F51"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6</w:t>
            </w:r>
            <w:r w:rsidR="007C1247" w:rsidRPr="00402720">
              <w:rPr>
                <w:rFonts w:ascii="Times New Roman" w:hAnsi="Times New Roman" w:cs="Times New Roman"/>
                <w:color w:val="000000"/>
              </w:rPr>
              <w:t>,</w:t>
            </w:r>
            <w:r w:rsidRPr="00402720">
              <w:rPr>
                <w:rFonts w:ascii="Times New Roman" w:hAnsi="Times New Roman" w:cs="Times New Roman"/>
                <w:color w:val="000000"/>
              </w:rPr>
              <w:t>2</w:t>
            </w:r>
          </w:p>
        </w:tc>
        <w:tc>
          <w:tcPr>
            <w:tcW w:w="1845" w:type="dxa"/>
            <w:tcBorders>
              <w:top w:val="single" w:sz="4" w:space="0" w:color="auto"/>
              <w:left w:val="single" w:sz="4" w:space="0" w:color="auto"/>
              <w:bottom w:val="single" w:sz="4" w:space="0" w:color="auto"/>
              <w:right w:val="single" w:sz="4" w:space="0" w:color="auto"/>
            </w:tcBorders>
            <w:noWrap/>
            <w:vAlign w:val="center"/>
            <w:hideMark/>
          </w:tcPr>
          <w:p w14:paraId="212A1198" w14:textId="00EB8261"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9</w:t>
            </w:r>
            <w:r w:rsidR="007C1247" w:rsidRPr="00402720">
              <w:rPr>
                <w:rFonts w:ascii="Times New Roman" w:hAnsi="Times New Roman" w:cs="Times New Roman"/>
                <w:color w:val="000000"/>
              </w:rPr>
              <w:t>,</w:t>
            </w:r>
            <w:r w:rsidRPr="00402720">
              <w:rPr>
                <w:rFonts w:ascii="Times New Roman" w:hAnsi="Times New Roman" w:cs="Times New Roman"/>
                <w:color w:val="000000"/>
              </w:rPr>
              <w:t>8</w:t>
            </w:r>
          </w:p>
        </w:tc>
      </w:tr>
      <w:tr w:rsidR="00C64BFE" w:rsidRPr="00402720" w14:paraId="6479623E" w14:textId="77777777" w:rsidTr="00C64BFE">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02790C51" w14:textId="7C421E8E" w:rsidR="00C64BFE" w:rsidRPr="00402720" w:rsidRDefault="00C64BFE" w:rsidP="00BD272D">
            <w:pPr>
              <w:keepNext/>
              <w:keepLines/>
              <w:spacing w:after="0" w:line="240" w:lineRule="auto"/>
              <w:rPr>
                <w:rFonts w:ascii="Times New Roman" w:hAnsi="Times New Roman" w:cs="Times New Roman"/>
                <w:color w:val="000000"/>
              </w:rPr>
            </w:pPr>
            <w:r w:rsidRPr="00402720">
              <w:rPr>
                <w:rFonts w:ascii="Times New Roman" w:hAnsi="Times New Roman" w:cs="Times New Roman"/>
                <w:color w:val="000000"/>
              </w:rPr>
              <w:t>Hazard</w:t>
            </w:r>
            <w:r w:rsidR="007C1247" w:rsidRPr="00402720">
              <w:rPr>
                <w:rFonts w:ascii="Times New Roman" w:hAnsi="Times New Roman" w:cs="Times New Roman"/>
                <w:color w:val="000000"/>
              </w:rPr>
              <w:t>-R</w:t>
            </w:r>
            <w:r w:rsidRPr="00402720">
              <w:rPr>
                <w:rFonts w:ascii="Times New Roman" w:hAnsi="Times New Roman" w:cs="Times New Roman"/>
                <w:color w:val="000000"/>
              </w:rPr>
              <w:t>atio vs</w:t>
            </w:r>
            <w:r w:rsidR="003E6737">
              <w:rPr>
                <w:rFonts w:ascii="Times New Roman" w:hAnsi="Times New Roman" w:cs="Times New Roman"/>
                <w:color w:val="000000"/>
              </w:rPr>
              <w:t>.</w:t>
            </w:r>
            <w:r w:rsidRPr="00402720">
              <w:rPr>
                <w:rFonts w:ascii="Times New Roman" w:hAnsi="Times New Roman" w:cs="Times New Roman"/>
                <w:color w:val="000000"/>
              </w:rPr>
              <w:t xml:space="preserve"> </w:t>
            </w:r>
            <w:r w:rsidR="007C1247" w:rsidRPr="00402720">
              <w:rPr>
                <w:rFonts w:ascii="Times New Roman" w:hAnsi="Times New Roman" w:cs="Times New Roman"/>
                <w:color w:val="000000"/>
              </w:rPr>
              <w:t>P</w:t>
            </w:r>
            <w:r w:rsidRPr="00402720">
              <w:rPr>
                <w:rFonts w:ascii="Times New Roman" w:hAnsi="Times New Roman" w:cs="Times New Roman"/>
                <w:color w:val="000000"/>
              </w:rPr>
              <w:t>lacebo</w:t>
            </w:r>
            <w:r w:rsidR="007C1247" w:rsidRPr="00402720">
              <w:rPr>
                <w:rFonts w:ascii="Times New Roman" w:hAnsi="Times New Roman" w:cs="Times New Roman"/>
                <w:color w:val="000000"/>
              </w:rPr>
              <w:t>-A</w:t>
            </w:r>
            <w:r w:rsidRPr="00402720">
              <w:rPr>
                <w:rFonts w:ascii="Times New Roman" w:hAnsi="Times New Roman" w:cs="Times New Roman"/>
                <w:color w:val="000000"/>
              </w:rPr>
              <w:t xml:space="preserve">rm </w:t>
            </w:r>
          </w:p>
          <w:p w14:paraId="78DA1E25" w14:textId="5C46283B" w:rsidR="00C64BFE" w:rsidRPr="00402720" w:rsidRDefault="00C64BFE" w:rsidP="00BD272D">
            <w:pPr>
              <w:keepNext/>
              <w:keepLines/>
              <w:spacing w:line="240" w:lineRule="auto"/>
              <w:rPr>
                <w:rFonts w:ascii="Times New Roman" w:hAnsi="Times New Roman" w:cs="Times New Roman"/>
                <w:color w:val="000000"/>
              </w:rPr>
            </w:pPr>
            <w:r w:rsidRPr="00402720">
              <w:rPr>
                <w:rFonts w:ascii="Times New Roman" w:hAnsi="Times New Roman" w:cs="Times New Roman"/>
                <w:color w:val="000000"/>
              </w:rPr>
              <w:t>(95</w:t>
            </w:r>
            <w:r w:rsidR="00016950" w:rsidRPr="00402720">
              <w:rPr>
                <w:rFonts w:ascii="Times New Roman" w:hAnsi="Times New Roman" w:cs="Times New Roman"/>
                <w:color w:val="000000"/>
              </w:rPr>
              <w:t> </w:t>
            </w:r>
            <w:r w:rsidRPr="00402720">
              <w:rPr>
                <w:rFonts w:ascii="Times New Roman" w:hAnsi="Times New Roman" w:cs="Times New Roman"/>
                <w:color w:val="000000"/>
              </w:rPr>
              <w:t>%</w:t>
            </w:r>
            <w:r w:rsidR="00905FDC">
              <w:rPr>
                <w:rFonts w:ascii="Times New Roman" w:hAnsi="Times New Roman" w:cs="Times New Roman"/>
                <w:color w:val="000000"/>
              </w:rPr>
              <w:t> </w:t>
            </w:r>
            <w:r w:rsidR="00016950" w:rsidRPr="00402720">
              <w:rPr>
                <w:rFonts w:ascii="Times New Roman" w:hAnsi="Times New Roman" w:cs="Times New Roman"/>
                <w:color w:val="000000"/>
              </w:rPr>
              <w:t>K</w:t>
            </w:r>
            <w:r w:rsidRPr="00402720">
              <w:rPr>
                <w:rFonts w:ascii="Times New Roman" w:hAnsi="Times New Roman" w:cs="Times New Roman"/>
                <w:color w:val="000000"/>
              </w:rPr>
              <w:t xml:space="preserve">I) </w:t>
            </w:r>
          </w:p>
        </w:tc>
        <w:tc>
          <w:tcPr>
            <w:tcW w:w="3395" w:type="dxa"/>
            <w:gridSpan w:val="2"/>
            <w:tcBorders>
              <w:top w:val="single" w:sz="4" w:space="0" w:color="auto"/>
              <w:left w:val="single" w:sz="4" w:space="0" w:color="auto"/>
              <w:bottom w:val="single" w:sz="4" w:space="0" w:color="auto"/>
              <w:right w:val="single" w:sz="4" w:space="0" w:color="auto"/>
            </w:tcBorders>
            <w:noWrap/>
            <w:hideMark/>
          </w:tcPr>
          <w:p w14:paraId="62C35D6A" w14:textId="4B78F2B3"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0</w:t>
            </w:r>
            <w:r w:rsidR="007C1247" w:rsidRPr="00402720">
              <w:rPr>
                <w:rFonts w:ascii="Times New Roman" w:hAnsi="Times New Roman" w:cs="Times New Roman"/>
                <w:color w:val="000000"/>
              </w:rPr>
              <w:t>,</w:t>
            </w:r>
            <w:r w:rsidRPr="00402720">
              <w:rPr>
                <w:rFonts w:ascii="Times New Roman" w:hAnsi="Times New Roman" w:cs="Times New Roman"/>
                <w:color w:val="000000"/>
              </w:rPr>
              <w:t>69 (0</w:t>
            </w:r>
            <w:r w:rsidR="007C1247" w:rsidRPr="00402720">
              <w:rPr>
                <w:rFonts w:ascii="Times New Roman" w:hAnsi="Times New Roman" w:cs="Times New Roman"/>
                <w:color w:val="000000"/>
              </w:rPr>
              <w:t>,</w:t>
            </w:r>
            <w:r w:rsidRPr="00402720">
              <w:rPr>
                <w:rFonts w:ascii="Times New Roman" w:hAnsi="Times New Roman" w:cs="Times New Roman"/>
                <w:color w:val="000000"/>
              </w:rPr>
              <w:t>56; 0</w:t>
            </w:r>
            <w:r w:rsidR="007C1247" w:rsidRPr="00402720">
              <w:rPr>
                <w:rFonts w:ascii="Times New Roman" w:hAnsi="Times New Roman" w:cs="Times New Roman"/>
                <w:color w:val="000000"/>
              </w:rPr>
              <w:t>,</w:t>
            </w:r>
            <w:r w:rsidRPr="00402720">
              <w:rPr>
                <w:rFonts w:ascii="Times New Roman" w:hAnsi="Times New Roman" w:cs="Times New Roman"/>
                <w:color w:val="000000"/>
              </w:rPr>
              <w:t>84)</w:t>
            </w:r>
          </w:p>
        </w:tc>
        <w:tc>
          <w:tcPr>
            <w:tcW w:w="3694" w:type="dxa"/>
            <w:gridSpan w:val="3"/>
            <w:tcBorders>
              <w:top w:val="single" w:sz="4" w:space="0" w:color="auto"/>
              <w:left w:val="single" w:sz="4" w:space="0" w:color="auto"/>
              <w:bottom w:val="single" w:sz="4" w:space="0" w:color="auto"/>
              <w:right w:val="single" w:sz="4" w:space="0" w:color="auto"/>
            </w:tcBorders>
            <w:noWrap/>
            <w:hideMark/>
          </w:tcPr>
          <w:p w14:paraId="7BE39288" w14:textId="0ED68EE5"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0</w:t>
            </w:r>
            <w:r w:rsidR="007C1247" w:rsidRPr="00402720">
              <w:rPr>
                <w:rFonts w:ascii="Times New Roman" w:hAnsi="Times New Roman" w:cs="Times New Roman"/>
                <w:color w:val="000000"/>
              </w:rPr>
              <w:t>,</w:t>
            </w:r>
            <w:r w:rsidRPr="00402720">
              <w:rPr>
                <w:rFonts w:ascii="Times New Roman" w:hAnsi="Times New Roman" w:cs="Times New Roman"/>
                <w:color w:val="000000"/>
              </w:rPr>
              <w:t>68 (0</w:t>
            </w:r>
            <w:r w:rsidR="007C1247" w:rsidRPr="00402720">
              <w:rPr>
                <w:rFonts w:ascii="Times New Roman" w:hAnsi="Times New Roman" w:cs="Times New Roman"/>
                <w:color w:val="000000"/>
              </w:rPr>
              <w:t>,</w:t>
            </w:r>
            <w:r w:rsidRPr="00402720">
              <w:rPr>
                <w:rFonts w:ascii="Times New Roman" w:hAnsi="Times New Roman" w:cs="Times New Roman"/>
                <w:color w:val="000000"/>
              </w:rPr>
              <w:t>54; 0</w:t>
            </w:r>
            <w:r w:rsidR="007C1247" w:rsidRPr="00402720">
              <w:rPr>
                <w:rFonts w:ascii="Times New Roman" w:hAnsi="Times New Roman" w:cs="Times New Roman"/>
                <w:color w:val="000000"/>
              </w:rPr>
              <w:t>,</w:t>
            </w:r>
            <w:r w:rsidRPr="00402720">
              <w:rPr>
                <w:rFonts w:ascii="Times New Roman" w:hAnsi="Times New Roman" w:cs="Times New Roman"/>
                <w:color w:val="000000"/>
              </w:rPr>
              <w:t>86)</w:t>
            </w:r>
          </w:p>
        </w:tc>
      </w:tr>
      <w:tr w:rsidR="00C64BFE" w:rsidRPr="00402720" w14:paraId="2D506457" w14:textId="77777777" w:rsidTr="00C64BFE">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1FBAC1A9" w14:textId="0B49158B" w:rsidR="00C64BFE" w:rsidRPr="00402720" w:rsidRDefault="00C64BFE" w:rsidP="00BD272D">
            <w:pPr>
              <w:keepNext/>
              <w:keepLines/>
              <w:spacing w:line="240" w:lineRule="auto"/>
              <w:rPr>
                <w:rFonts w:ascii="Times New Roman" w:hAnsi="Times New Roman" w:cs="Times New Roman"/>
                <w:color w:val="000000"/>
              </w:rPr>
            </w:pPr>
            <w:r w:rsidRPr="00402720">
              <w:rPr>
                <w:rFonts w:ascii="Times New Roman" w:hAnsi="Times New Roman" w:cs="Times New Roman"/>
                <w:color w:val="000000"/>
              </w:rPr>
              <w:t>p</w:t>
            </w:r>
            <w:r w:rsidRPr="001661A9">
              <w:rPr>
                <w:rFonts w:ascii="Times New Roman" w:hAnsi="Times New Roman" w:cs="Times New Roman"/>
              </w:rPr>
              <w:t>-</w:t>
            </w:r>
            <w:r w:rsidR="007C1247" w:rsidRPr="00402720">
              <w:rPr>
                <w:rFonts w:ascii="Times New Roman" w:hAnsi="Times New Roman" w:cs="Times New Roman"/>
                <w:color w:val="000000"/>
              </w:rPr>
              <w:t>Wert</w:t>
            </w:r>
            <w:r w:rsidRPr="00402720">
              <w:rPr>
                <w:rFonts w:ascii="Times New Roman" w:hAnsi="Times New Roman" w:cs="Times New Roman"/>
                <w:color w:val="000000"/>
              </w:rPr>
              <w:t xml:space="preserve"> </w:t>
            </w:r>
          </w:p>
        </w:tc>
        <w:tc>
          <w:tcPr>
            <w:tcW w:w="3395" w:type="dxa"/>
            <w:gridSpan w:val="2"/>
            <w:tcBorders>
              <w:top w:val="single" w:sz="4" w:space="0" w:color="auto"/>
              <w:left w:val="single" w:sz="4" w:space="0" w:color="auto"/>
              <w:bottom w:val="single" w:sz="4" w:space="0" w:color="auto"/>
              <w:right w:val="single" w:sz="4" w:space="0" w:color="auto"/>
            </w:tcBorders>
            <w:noWrap/>
            <w:vAlign w:val="bottom"/>
            <w:hideMark/>
          </w:tcPr>
          <w:p w14:paraId="5AA441C4" w14:textId="6ED08D28"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0</w:t>
            </w:r>
            <w:r w:rsidR="007C1247" w:rsidRPr="00402720">
              <w:rPr>
                <w:rFonts w:ascii="Times New Roman" w:hAnsi="Times New Roman" w:cs="Times New Roman"/>
                <w:color w:val="000000"/>
              </w:rPr>
              <w:t>,</w:t>
            </w:r>
            <w:r w:rsidRPr="00402720">
              <w:rPr>
                <w:rFonts w:ascii="Times New Roman" w:hAnsi="Times New Roman" w:cs="Times New Roman"/>
                <w:color w:val="000000"/>
              </w:rPr>
              <w:t>0002</w:t>
            </w:r>
          </w:p>
        </w:tc>
        <w:tc>
          <w:tcPr>
            <w:tcW w:w="3694" w:type="dxa"/>
            <w:gridSpan w:val="3"/>
            <w:tcBorders>
              <w:top w:val="single" w:sz="4" w:space="0" w:color="auto"/>
              <w:left w:val="single" w:sz="4" w:space="0" w:color="auto"/>
              <w:bottom w:val="single" w:sz="4" w:space="0" w:color="auto"/>
              <w:right w:val="single" w:sz="4" w:space="0" w:color="auto"/>
            </w:tcBorders>
            <w:noWrap/>
            <w:vAlign w:val="bottom"/>
            <w:hideMark/>
          </w:tcPr>
          <w:p w14:paraId="6A7BE015" w14:textId="6F2DBDF5"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0</w:t>
            </w:r>
            <w:r w:rsidR="007C1247" w:rsidRPr="00402720">
              <w:rPr>
                <w:rFonts w:ascii="Times New Roman" w:hAnsi="Times New Roman" w:cs="Times New Roman"/>
                <w:color w:val="000000"/>
              </w:rPr>
              <w:t>,</w:t>
            </w:r>
            <w:r w:rsidRPr="00402720">
              <w:rPr>
                <w:rFonts w:ascii="Times New Roman" w:hAnsi="Times New Roman" w:cs="Times New Roman"/>
                <w:color w:val="000000"/>
              </w:rPr>
              <w:t>0011</w:t>
            </w:r>
          </w:p>
        </w:tc>
      </w:tr>
      <w:tr w:rsidR="00C64BFE" w:rsidRPr="00AA0497" w14:paraId="52D3FCFC" w14:textId="77777777" w:rsidTr="00C64BFE">
        <w:trPr>
          <w:trHeight w:val="300"/>
        </w:trPr>
        <w:tc>
          <w:tcPr>
            <w:tcW w:w="9229" w:type="dxa"/>
            <w:gridSpan w:val="6"/>
            <w:tcBorders>
              <w:top w:val="single" w:sz="4" w:space="0" w:color="auto"/>
              <w:left w:val="single" w:sz="4" w:space="0" w:color="auto"/>
              <w:bottom w:val="single" w:sz="4" w:space="0" w:color="auto"/>
              <w:right w:val="single" w:sz="4" w:space="0" w:color="auto"/>
            </w:tcBorders>
            <w:noWrap/>
            <w:vAlign w:val="bottom"/>
            <w:hideMark/>
          </w:tcPr>
          <w:p w14:paraId="002627DD" w14:textId="0E7671FE" w:rsidR="00C64BFE" w:rsidRPr="00402720" w:rsidRDefault="00411054" w:rsidP="00BD272D">
            <w:pPr>
              <w:keepNext/>
              <w:keepLines/>
              <w:spacing w:line="240" w:lineRule="auto"/>
              <w:rPr>
                <w:rFonts w:ascii="Times New Roman" w:hAnsi="Times New Roman" w:cs="Times New Roman"/>
                <w:color w:val="000000"/>
                <w:lang w:val="de-DE"/>
              </w:rPr>
            </w:pPr>
            <w:r w:rsidRPr="00D87918">
              <w:rPr>
                <w:rFonts w:ascii="Times New Roman" w:hAnsi="Times New Roman" w:cs="Times New Roman"/>
                <w:color w:val="000000"/>
                <w:lang w:val="de-DE"/>
              </w:rPr>
              <w:t>Ansprechrate</w:t>
            </w:r>
            <w:r w:rsidR="00C64BFE" w:rsidRPr="00D87918">
              <w:rPr>
                <w:rFonts w:ascii="Times New Roman" w:hAnsi="Times New Roman" w:cs="Times New Roman"/>
                <w:color w:val="000000"/>
                <w:lang w:val="de-DE"/>
              </w:rPr>
              <w:t xml:space="preserve"> </w:t>
            </w:r>
            <w:r w:rsidR="00C64BFE" w:rsidRPr="00402720">
              <w:rPr>
                <w:rFonts w:ascii="Times New Roman" w:hAnsi="Times New Roman" w:cs="Times New Roman"/>
                <w:color w:val="000000"/>
                <w:lang w:val="de-DE"/>
              </w:rPr>
              <w:t>(</w:t>
            </w:r>
            <w:r w:rsidRPr="00402720">
              <w:rPr>
                <w:rFonts w:ascii="Times New Roman" w:hAnsi="Times New Roman" w:cs="Times New Roman"/>
                <w:color w:val="000000"/>
                <w:lang w:val="de-DE"/>
              </w:rPr>
              <w:t>bei Patienten mit messbarer Erkrankung</w:t>
            </w:r>
            <w:r w:rsidR="00C64BFE" w:rsidRPr="00402720">
              <w:rPr>
                <w:rFonts w:ascii="Times New Roman" w:hAnsi="Times New Roman" w:cs="Times New Roman"/>
                <w:color w:val="000000"/>
                <w:lang w:val="de-DE"/>
              </w:rPr>
              <w:t>)</w:t>
            </w:r>
            <w:r w:rsidR="00C64BFE" w:rsidRPr="00402720">
              <w:rPr>
                <w:rFonts w:ascii="Times New Roman" w:hAnsi="Times New Roman" w:cs="Times New Roman"/>
                <w:color w:val="000000"/>
                <w:vertAlign w:val="superscript"/>
                <w:lang w:val="de-DE"/>
              </w:rPr>
              <w:t>b</w:t>
            </w:r>
            <w:r w:rsidR="00C64BFE" w:rsidRPr="00402720">
              <w:rPr>
                <w:rFonts w:ascii="Times New Roman" w:hAnsi="Times New Roman" w:cs="Times New Roman"/>
                <w:color w:val="000000"/>
                <w:lang w:val="de-DE"/>
              </w:rPr>
              <w:t xml:space="preserve"> </w:t>
            </w:r>
          </w:p>
        </w:tc>
      </w:tr>
      <w:tr w:rsidR="00C64BFE" w:rsidRPr="00402720" w14:paraId="14AA1004" w14:textId="77777777" w:rsidTr="00C64BFE">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299D3620" w14:textId="77777777" w:rsidR="00C64BFE" w:rsidRPr="00402720" w:rsidRDefault="00C64BFE" w:rsidP="00BD272D">
            <w:pPr>
              <w:keepNext/>
              <w:keepLines/>
              <w:rPr>
                <w:rFonts w:ascii="Times New Roman" w:hAnsi="Times New Roman" w:cs="Times New Roman"/>
                <w:color w:val="000000"/>
                <w:lang w:val="de-DE"/>
              </w:rPr>
            </w:pPr>
          </w:p>
        </w:tc>
        <w:tc>
          <w:tcPr>
            <w:tcW w:w="3402" w:type="dxa"/>
            <w:gridSpan w:val="3"/>
            <w:tcBorders>
              <w:top w:val="single" w:sz="4" w:space="0" w:color="auto"/>
              <w:left w:val="single" w:sz="4" w:space="0" w:color="auto"/>
              <w:bottom w:val="single" w:sz="4" w:space="0" w:color="auto"/>
              <w:right w:val="single" w:sz="4" w:space="0" w:color="auto"/>
            </w:tcBorders>
            <w:noWrap/>
            <w:vAlign w:val="bottom"/>
            <w:hideMark/>
          </w:tcPr>
          <w:p w14:paraId="0F32450A" w14:textId="77777777" w:rsidR="00C64BFE" w:rsidRPr="001661A9" w:rsidRDefault="00C64BFE" w:rsidP="00BD272D">
            <w:pPr>
              <w:keepNext/>
              <w:keepLines/>
              <w:spacing w:line="240" w:lineRule="auto"/>
              <w:jc w:val="center"/>
              <w:rPr>
                <w:rFonts w:ascii="Times New Roman" w:eastAsia="Times New Roman" w:hAnsi="Times New Roman" w:cs="Times New Roman"/>
                <w:color w:val="000000"/>
                <w:lang w:val="en-GB"/>
              </w:rPr>
            </w:pPr>
            <w:r w:rsidRPr="00402720">
              <w:rPr>
                <w:rFonts w:ascii="Times New Roman" w:hAnsi="Times New Roman" w:cs="Times New Roman"/>
                <w:color w:val="000000"/>
              </w:rPr>
              <w:t>Cap + Pl (n = 161)</w:t>
            </w:r>
          </w:p>
        </w:tc>
        <w:tc>
          <w:tcPr>
            <w:tcW w:w="3687" w:type="dxa"/>
            <w:gridSpan w:val="2"/>
            <w:tcBorders>
              <w:top w:val="single" w:sz="4" w:space="0" w:color="auto"/>
              <w:left w:val="single" w:sz="4" w:space="0" w:color="auto"/>
              <w:bottom w:val="single" w:sz="4" w:space="0" w:color="auto"/>
              <w:right w:val="single" w:sz="4" w:space="0" w:color="auto"/>
            </w:tcBorders>
            <w:noWrap/>
            <w:vAlign w:val="bottom"/>
            <w:hideMark/>
          </w:tcPr>
          <w:p w14:paraId="168F5B30" w14:textId="20EF87D0"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 xml:space="preserve">Cap + </w:t>
            </w:r>
            <w:r w:rsidR="00411054" w:rsidRPr="00402720">
              <w:rPr>
                <w:rFonts w:ascii="Times New Roman" w:hAnsi="Times New Roman" w:cs="Times New Roman"/>
                <w:color w:val="000000"/>
              </w:rPr>
              <w:t>B</w:t>
            </w:r>
            <w:r w:rsidRPr="00402720">
              <w:rPr>
                <w:rFonts w:ascii="Times New Roman" w:hAnsi="Times New Roman" w:cs="Times New Roman"/>
                <w:color w:val="000000"/>
              </w:rPr>
              <w:t>evacizumab (n = 325)</w:t>
            </w:r>
          </w:p>
        </w:tc>
      </w:tr>
      <w:tr w:rsidR="00C64BFE" w:rsidRPr="00402720" w14:paraId="7813121B" w14:textId="77777777" w:rsidTr="00C64BFE">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5B35192E" w14:textId="11224514" w:rsidR="00C64BFE" w:rsidRPr="00402720" w:rsidRDefault="00C64BFE" w:rsidP="00BD272D">
            <w:pPr>
              <w:keepNext/>
              <w:keepLines/>
              <w:spacing w:line="240" w:lineRule="auto"/>
              <w:rPr>
                <w:rFonts w:ascii="Times New Roman" w:hAnsi="Times New Roman" w:cs="Times New Roman"/>
                <w:color w:val="000000"/>
                <w:lang w:val="de-DE"/>
              </w:rPr>
            </w:pPr>
            <w:r w:rsidRPr="00402720">
              <w:rPr>
                <w:rFonts w:ascii="Times New Roman" w:hAnsi="Times New Roman" w:cs="Times New Roman"/>
                <w:color w:val="000000"/>
                <w:lang w:val="de-DE"/>
              </w:rPr>
              <w:t xml:space="preserve">% </w:t>
            </w:r>
            <w:r w:rsidR="00411054" w:rsidRPr="00402720">
              <w:rPr>
                <w:rFonts w:ascii="Times New Roman" w:hAnsi="Times New Roman" w:cs="Times New Roman"/>
                <w:color w:val="000000"/>
                <w:lang w:val="de-DE"/>
              </w:rPr>
              <w:t>der Patienten mit objektivem Ansprechen</w:t>
            </w:r>
            <w:r w:rsidRPr="00402720">
              <w:rPr>
                <w:rFonts w:ascii="Times New Roman" w:hAnsi="Times New Roman" w:cs="Times New Roman"/>
                <w:color w:val="000000"/>
                <w:lang w:val="de-DE"/>
              </w:rPr>
              <w:t xml:space="preserve"> </w:t>
            </w:r>
          </w:p>
        </w:tc>
        <w:tc>
          <w:tcPr>
            <w:tcW w:w="3402" w:type="dxa"/>
            <w:gridSpan w:val="3"/>
            <w:tcBorders>
              <w:top w:val="single" w:sz="4" w:space="0" w:color="auto"/>
              <w:left w:val="single" w:sz="4" w:space="0" w:color="auto"/>
              <w:bottom w:val="single" w:sz="4" w:space="0" w:color="auto"/>
              <w:right w:val="single" w:sz="4" w:space="0" w:color="auto"/>
            </w:tcBorders>
            <w:noWrap/>
            <w:hideMark/>
          </w:tcPr>
          <w:p w14:paraId="1F13EE9A" w14:textId="6AA03E9C"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23</w:t>
            </w:r>
            <w:r w:rsidR="00411054" w:rsidRPr="00402720">
              <w:rPr>
                <w:rFonts w:ascii="Times New Roman" w:hAnsi="Times New Roman" w:cs="Times New Roman"/>
                <w:color w:val="000000"/>
              </w:rPr>
              <w:t>,</w:t>
            </w:r>
            <w:r w:rsidRPr="00402720">
              <w:rPr>
                <w:rFonts w:ascii="Times New Roman" w:hAnsi="Times New Roman" w:cs="Times New Roman"/>
                <w:color w:val="000000"/>
              </w:rPr>
              <w:t>6</w:t>
            </w:r>
          </w:p>
        </w:tc>
        <w:tc>
          <w:tcPr>
            <w:tcW w:w="3687" w:type="dxa"/>
            <w:gridSpan w:val="2"/>
            <w:tcBorders>
              <w:top w:val="single" w:sz="4" w:space="0" w:color="auto"/>
              <w:left w:val="single" w:sz="4" w:space="0" w:color="auto"/>
              <w:bottom w:val="single" w:sz="4" w:space="0" w:color="auto"/>
              <w:right w:val="single" w:sz="4" w:space="0" w:color="auto"/>
            </w:tcBorders>
            <w:noWrap/>
            <w:hideMark/>
          </w:tcPr>
          <w:p w14:paraId="5AB54B35" w14:textId="2416BE3D"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35</w:t>
            </w:r>
            <w:r w:rsidR="00411054" w:rsidRPr="00402720">
              <w:rPr>
                <w:rFonts w:ascii="Times New Roman" w:hAnsi="Times New Roman" w:cs="Times New Roman"/>
                <w:color w:val="000000"/>
              </w:rPr>
              <w:t>,</w:t>
            </w:r>
            <w:r w:rsidRPr="00402720">
              <w:rPr>
                <w:rFonts w:ascii="Times New Roman" w:hAnsi="Times New Roman" w:cs="Times New Roman"/>
                <w:color w:val="000000"/>
              </w:rPr>
              <w:t>4</w:t>
            </w:r>
          </w:p>
        </w:tc>
      </w:tr>
      <w:tr w:rsidR="00C64BFE" w:rsidRPr="00402720" w14:paraId="611F93A2" w14:textId="77777777" w:rsidTr="00C64BFE">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0EAA9E8E" w14:textId="7DA665B7" w:rsidR="00C64BFE" w:rsidRPr="00402720" w:rsidRDefault="00C64BFE" w:rsidP="00BD272D">
            <w:pPr>
              <w:keepNext/>
              <w:keepLines/>
              <w:spacing w:line="240" w:lineRule="auto"/>
              <w:rPr>
                <w:rFonts w:ascii="Times New Roman" w:hAnsi="Times New Roman" w:cs="Times New Roman"/>
                <w:color w:val="000000"/>
              </w:rPr>
            </w:pPr>
            <w:r w:rsidRPr="00402720">
              <w:rPr>
                <w:rFonts w:ascii="Times New Roman" w:hAnsi="Times New Roman" w:cs="Times New Roman"/>
                <w:color w:val="000000"/>
              </w:rPr>
              <w:t>p</w:t>
            </w:r>
            <w:r w:rsidRPr="001661A9">
              <w:rPr>
                <w:rFonts w:ascii="Times New Roman" w:hAnsi="Times New Roman" w:cs="Times New Roman"/>
              </w:rPr>
              <w:t>-</w:t>
            </w:r>
            <w:r w:rsidR="00411054" w:rsidRPr="00402720">
              <w:rPr>
                <w:rFonts w:ascii="Times New Roman" w:hAnsi="Times New Roman" w:cs="Times New Roman"/>
                <w:color w:val="000000"/>
              </w:rPr>
              <w:t>Wert</w:t>
            </w:r>
            <w:r w:rsidRPr="00402720">
              <w:rPr>
                <w:rFonts w:ascii="Times New Roman" w:hAnsi="Times New Roman" w:cs="Times New Roman"/>
                <w:color w:val="000000"/>
              </w:rPr>
              <w:t xml:space="preserve"> </w:t>
            </w:r>
          </w:p>
        </w:tc>
        <w:tc>
          <w:tcPr>
            <w:tcW w:w="7089" w:type="dxa"/>
            <w:gridSpan w:val="5"/>
            <w:tcBorders>
              <w:top w:val="single" w:sz="4" w:space="0" w:color="auto"/>
              <w:left w:val="single" w:sz="4" w:space="0" w:color="auto"/>
              <w:bottom w:val="single" w:sz="4" w:space="0" w:color="auto"/>
              <w:right w:val="single" w:sz="4" w:space="0" w:color="auto"/>
            </w:tcBorders>
            <w:noWrap/>
            <w:vAlign w:val="bottom"/>
            <w:hideMark/>
          </w:tcPr>
          <w:p w14:paraId="42917418" w14:textId="178EC94C"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0</w:t>
            </w:r>
            <w:r w:rsidR="00411054" w:rsidRPr="00402720">
              <w:rPr>
                <w:rFonts w:ascii="Times New Roman" w:hAnsi="Times New Roman" w:cs="Times New Roman"/>
                <w:color w:val="000000"/>
              </w:rPr>
              <w:t>,</w:t>
            </w:r>
            <w:r w:rsidRPr="00402720">
              <w:rPr>
                <w:rFonts w:ascii="Times New Roman" w:hAnsi="Times New Roman" w:cs="Times New Roman"/>
                <w:color w:val="000000"/>
              </w:rPr>
              <w:t>0097</w:t>
            </w:r>
          </w:p>
        </w:tc>
      </w:tr>
      <w:tr w:rsidR="00C64BFE" w:rsidRPr="00402720" w14:paraId="3CC0346A" w14:textId="77777777" w:rsidTr="00C64BFE">
        <w:trPr>
          <w:trHeight w:val="300"/>
        </w:trPr>
        <w:tc>
          <w:tcPr>
            <w:tcW w:w="9229" w:type="dxa"/>
            <w:gridSpan w:val="6"/>
            <w:tcBorders>
              <w:top w:val="single" w:sz="4" w:space="0" w:color="auto"/>
              <w:left w:val="single" w:sz="4" w:space="0" w:color="auto"/>
              <w:bottom w:val="single" w:sz="4" w:space="0" w:color="auto"/>
              <w:right w:val="single" w:sz="4" w:space="0" w:color="auto"/>
            </w:tcBorders>
            <w:noWrap/>
            <w:vAlign w:val="bottom"/>
            <w:hideMark/>
          </w:tcPr>
          <w:p w14:paraId="136FA2AB" w14:textId="6EBAD2AC" w:rsidR="00C64BFE" w:rsidRPr="00D87918" w:rsidRDefault="00411054" w:rsidP="00BD272D">
            <w:pPr>
              <w:keepNext/>
              <w:keepLines/>
              <w:spacing w:line="240" w:lineRule="auto"/>
              <w:rPr>
                <w:rFonts w:ascii="Times New Roman" w:hAnsi="Times New Roman" w:cs="Times New Roman"/>
                <w:color w:val="000000"/>
              </w:rPr>
            </w:pPr>
            <w:r w:rsidRPr="00D87918">
              <w:rPr>
                <w:rFonts w:ascii="Times New Roman" w:hAnsi="Times New Roman" w:cs="Times New Roman"/>
                <w:color w:val="000000"/>
              </w:rPr>
              <w:t>Gesamtüberleben</w:t>
            </w:r>
            <w:r w:rsidR="00C64BFE" w:rsidRPr="00D87918">
              <w:rPr>
                <w:rFonts w:ascii="Times New Roman" w:hAnsi="Times New Roman" w:cs="Times New Roman"/>
                <w:color w:val="000000"/>
                <w:vertAlign w:val="superscript"/>
              </w:rPr>
              <w:t>b</w:t>
            </w:r>
            <w:r w:rsidR="00C64BFE" w:rsidRPr="00D87918">
              <w:rPr>
                <w:rFonts w:ascii="Times New Roman" w:hAnsi="Times New Roman" w:cs="Times New Roman"/>
                <w:color w:val="000000"/>
              </w:rPr>
              <w:t xml:space="preserve"> </w:t>
            </w:r>
          </w:p>
        </w:tc>
      </w:tr>
      <w:tr w:rsidR="00C64BFE" w:rsidRPr="00402720" w14:paraId="16C92A0B" w14:textId="77777777" w:rsidTr="00C64BFE">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34A7AC7C" w14:textId="0A82529A" w:rsidR="00C64BFE" w:rsidRPr="00402720" w:rsidRDefault="00C64BFE" w:rsidP="00BD272D">
            <w:pPr>
              <w:keepNext/>
              <w:keepLines/>
              <w:spacing w:line="240" w:lineRule="auto"/>
              <w:rPr>
                <w:rFonts w:ascii="Times New Roman" w:hAnsi="Times New Roman" w:cs="Times New Roman"/>
                <w:color w:val="000000"/>
              </w:rPr>
            </w:pPr>
            <w:r w:rsidRPr="00402720">
              <w:rPr>
                <w:rFonts w:ascii="Times New Roman" w:hAnsi="Times New Roman" w:cs="Times New Roman"/>
                <w:color w:val="000000"/>
              </w:rPr>
              <w:t>HR (95</w:t>
            </w:r>
            <w:r w:rsidR="00016950" w:rsidRPr="00402720">
              <w:rPr>
                <w:rFonts w:ascii="Times New Roman" w:hAnsi="Times New Roman" w:cs="Times New Roman"/>
                <w:color w:val="000000"/>
              </w:rPr>
              <w:t> </w:t>
            </w:r>
            <w:r w:rsidRPr="00402720">
              <w:rPr>
                <w:rFonts w:ascii="Times New Roman" w:hAnsi="Times New Roman" w:cs="Times New Roman"/>
                <w:color w:val="000000"/>
              </w:rPr>
              <w:t>%</w:t>
            </w:r>
            <w:r w:rsidR="00905FDC">
              <w:rPr>
                <w:rFonts w:ascii="Times New Roman" w:hAnsi="Times New Roman" w:cs="Times New Roman"/>
                <w:color w:val="000000"/>
              </w:rPr>
              <w:t> </w:t>
            </w:r>
            <w:r w:rsidR="00411054" w:rsidRPr="00402720">
              <w:rPr>
                <w:rFonts w:ascii="Times New Roman" w:hAnsi="Times New Roman" w:cs="Times New Roman"/>
                <w:color w:val="000000"/>
              </w:rPr>
              <w:t>K</w:t>
            </w:r>
            <w:r w:rsidRPr="00402720">
              <w:rPr>
                <w:rFonts w:ascii="Times New Roman" w:hAnsi="Times New Roman" w:cs="Times New Roman"/>
                <w:color w:val="000000"/>
              </w:rPr>
              <w:t xml:space="preserve">I) </w:t>
            </w:r>
          </w:p>
        </w:tc>
        <w:tc>
          <w:tcPr>
            <w:tcW w:w="7089" w:type="dxa"/>
            <w:gridSpan w:val="5"/>
            <w:tcBorders>
              <w:top w:val="single" w:sz="4" w:space="0" w:color="auto"/>
              <w:left w:val="single" w:sz="4" w:space="0" w:color="auto"/>
              <w:bottom w:val="single" w:sz="4" w:space="0" w:color="auto"/>
              <w:right w:val="single" w:sz="4" w:space="0" w:color="auto"/>
            </w:tcBorders>
            <w:noWrap/>
            <w:vAlign w:val="bottom"/>
            <w:hideMark/>
          </w:tcPr>
          <w:p w14:paraId="1F90F30E" w14:textId="17069790"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0</w:t>
            </w:r>
            <w:r w:rsidR="00411054" w:rsidRPr="00402720">
              <w:rPr>
                <w:rFonts w:ascii="Times New Roman" w:hAnsi="Times New Roman" w:cs="Times New Roman"/>
                <w:color w:val="000000"/>
              </w:rPr>
              <w:t>,</w:t>
            </w:r>
            <w:r w:rsidRPr="00402720">
              <w:rPr>
                <w:rFonts w:ascii="Times New Roman" w:hAnsi="Times New Roman" w:cs="Times New Roman"/>
                <w:color w:val="000000"/>
              </w:rPr>
              <w:t>88 (0</w:t>
            </w:r>
            <w:r w:rsidR="00411054" w:rsidRPr="00402720">
              <w:rPr>
                <w:rFonts w:ascii="Times New Roman" w:hAnsi="Times New Roman" w:cs="Times New Roman"/>
                <w:color w:val="000000"/>
              </w:rPr>
              <w:t>,</w:t>
            </w:r>
            <w:r w:rsidRPr="00402720">
              <w:rPr>
                <w:rFonts w:ascii="Times New Roman" w:hAnsi="Times New Roman" w:cs="Times New Roman"/>
                <w:color w:val="000000"/>
              </w:rPr>
              <w:t>69; 1</w:t>
            </w:r>
            <w:r w:rsidR="00411054" w:rsidRPr="00402720">
              <w:rPr>
                <w:rFonts w:ascii="Times New Roman" w:hAnsi="Times New Roman" w:cs="Times New Roman"/>
                <w:color w:val="000000"/>
              </w:rPr>
              <w:t>,</w:t>
            </w:r>
            <w:r w:rsidRPr="00402720">
              <w:rPr>
                <w:rFonts w:ascii="Times New Roman" w:hAnsi="Times New Roman" w:cs="Times New Roman"/>
                <w:color w:val="000000"/>
              </w:rPr>
              <w:t>13)</w:t>
            </w:r>
          </w:p>
        </w:tc>
      </w:tr>
      <w:tr w:rsidR="00C64BFE" w:rsidRPr="00402720" w14:paraId="1C811A3F" w14:textId="77777777" w:rsidTr="00C64BFE">
        <w:trPr>
          <w:trHeight w:val="351"/>
        </w:trPr>
        <w:tc>
          <w:tcPr>
            <w:tcW w:w="2140" w:type="dxa"/>
            <w:tcBorders>
              <w:top w:val="single" w:sz="4" w:space="0" w:color="auto"/>
              <w:left w:val="single" w:sz="4" w:space="0" w:color="auto"/>
              <w:bottom w:val="single" w:sz="4" w:space="0" w:color="auto"/>
              <w:right w:val="single" w:sz="4" w:space="0" w:color="auto"/>
            </w:tcBorders>
            <w:noWrap/>
            <w:hideMark/>
          </w:tcPr>
          <w:p w14:paraId="3E5EA630" w14:textId="191CD714" w:rsidR="00C64BFE" w:rsidRPr="00402720" w:rsidRDefault="00C64BFE" w:rsidP="00BD272D">
            <w:pPr>
              <w:keepNext/>
              <w:keepLines/>
              <w:spacing w:line="240" w:lineRule="auto"/>
              <w:rPr>
                <w:rFonts w:ascii="Times New Roman" w:hAnsi="Times New Roman" w:cs="Times New Roman"/>
                <w:color w:val="000000"/>
              </w:rPr>
            </w:pPr>
            <w:r w:rsidRPr="00402720">
              <w:rPr>
                <w:rFonts w:ascii="Times New Roman" w:hAnsi="Times New Roman" w:cs="Times New Roman"/>
                <w:color w:val="000000"/>
              </w:rPr>
              <w:t>p</w:t>
            </w:r>
            <w:r w:rsidRPr="001661A9">
              <w:rPr>
                <w:rFonts w:ascii="Times New Roman" w:hAnsi="Times New Roman" w:cs="Times New Roman"/>
              </w:rPr>
              <w:t>-</w:t>
            </w:r>
            <w:r w:rsidR="00411054" w:rsidRPr="00402720">
              <w:rPr>
                <w:rFonts w:ascii="Times New Roman" w:hAnsi="Times New Roman" w:cs="Times New Roman"/>
                <w:color w:val="000000"/>
              </w:rPr>
              <w:t>Wert</w:t>
            </w:r>
            <w:r w:rsidRPr="00402720">
              <w:rPr>
                <w:rFonts w:ascii="Times New Roman" w:hAnsi="Times New Roman" w:cs="Times New Roman"/>
                <w:color w:val="000000"/>
              </w:rPr>
              <w:t xml:space="preserve"> (explorat</w:t>
            </w:r>
            <w:r w:rsidR="00411054" w:rsidRPr="00402720">
              <w:rPr>
                <w:rFonts w:ascii="Times New Roman" w:hAnsi="Times New Roman" w:cs="Times New Roman"/>
                <w:color w:val="000000"/>
              </w:rPr>
              <w:t>iv</w:t>
            </w:r>
            <w:r w:rsidRPr="00402720">
              <w:rPr>
                <w:rFonts w:ascii="Times New Roman" w:hAnsi="Times New Roman" w:cs="Times New Roman"/>
                <w:color w:val="000000"/>
              </w:rPr>
              <w:t xml:space="preserve">) </w:t>
            </w:r>
          </w:p>
        </w:tc>
        <w:tc>
          <w:tcPr>
            <w:tcW w:w="7089" w:type="dxa"/>
            <w:gridSpan w:val="5"/>
            <w:tcBorders>
              <w:top w:val="single" w:sz="4" w:space="0" w:color="auto"/>
              <w:left w:val="single" w:sz="4" w:space="0" w:color="auto"/>
              <w:bottom w:val="single" w:sz="4" w:space="0" w:color="auto"/>
              <w:right w:val="single" w:sz="4" w:space="0" w:color="auto"/>
            </w:tcBorders>
            <w:noWrap/>
            <w:hideMark/>
          </w:tcPr>
          <w:p w14:paraId="501A5022" w14:textId="284EEB5E" w:rsidR="00C64BFE" w:rsidRPr="00402720" w:rsidRDefault="00C64BFE" w:rsidP="00BD272D">
            <w:pPr>
              <w:keepNext/>
              <w:keepLines/>
              <w:spacing w:line="240" w:lineRule="auto"/>
              <w:jc w:val="center"/>
              <w:rPr>
                <w:rFonts w:ascii="Times New Roman" w:hAnsi="Times New Roman" w:cs="Times New Roman"/>
                <w:color w:val="000000"/>
              </w:rPr>
            </w:pPr>
            <w:r w:rsidRPr="00402720">
              <w:rPr>
                <w:rFonts w:ascii="Times New Roman" w:hAnsi="Times New Roman" w:cs="Times New Roman"/>
                <w:color w:val="000000"/>
              </w:rPr>
              <w:t>0</w:t>
            </w:r>
            <w:r w:rsidR="00411054" w:rsidRPr="00402720">
              <w:rPr>
                <w:rFonts w:ascii="Times New Roman" w:hAnsi="Times New Roman" w:cs="Times New Roman"/>
                <w:color w:val="000000"/>
              </w:rPr>
              <w:t>,</w:t>
            </w:r>
            <w:r w:rsidRPr="00402720">
              <w:rPr>
                <w:rFonts w:ascii="Times New Roman" w:hAnsi="Times New Roman" w:cs="Times New Roman"/>
                <w:color w:val="000000"/>
              </w:rPr>
              <w:t>33</w:t>
            </w:r>
          </w:p>
        </w:tc>
      </w:tr>
    </w:tbl>
    <w:p w14:paraId="1FD899F6" w14:textId="462E9911" w:rsidR="00C64BFE" w:rsidRPr="00E66954" w:rsidRDefault="00C64BFE" w:rsidP="00C47755">
      <w:pPr>
        <w:pStyle w:val="CM53"/>
        <w:keepNext/>
        <w:ind w:left="567" w:hanging="567"/>
        <w:rPr>
          <w:sz w:val="20"/>
          <w:szCs w:val="20"/>
          <w:lang w:val="de-DE" w:eastAsia="en-US"/>
        </w:rPr>
      </w:pPr>
      <w:r w:rsidRPr="00E66954">
        <w:rPr>
          <w:sz w:val="20"/>
          <w:szCs w:val="20"/>
          <w:vertAlign w:val="superscript"/>
          <w:lang w:val="de-DE" w:eastAsia="en-US"/>
        </w:rPr>
        <w:t>a</w:t>
      </w:r>
      <w:r w:rsidRPr="00E66954">
        <w:rPr>
          <w:sz w:val="20"/>
          <w:szCs w:val="20"/>
          <w:lang w:val="de-DE" w:eastAsia="en-US"/>
        </w:rPr>
        <w:tab/>
      </w:r>
      <w:r w:rsidRPr="00C47755">
        <w:rPr>
          <w:sz w:val="20"/>
          <w:szCs w:val="20"/>
          <w:lang w:val="de-DE"/>
        </w:rPr>
        <w:t>1</w:t>
      </w:r>
      <w:r w:rsidR="00CA2B95" w:rsidRPr="00C47755">
        <w:rPr>
          <w:sz w:val="20"/>
          <w:szCs w:val="20"/>
          <w:lang w:val="de-DE"/>
        </w:rPr>
        <w:t> </w:t>
      </w:r>
      <w:r w:rsidRPr="00C47755">
        <w:rPr>
          <w:sz w:val="20"/>
          <w:szCs w:val="20"/>
          <w:lang w:val="de-DE"/>
        </w:rPr>
        <w:t>000 mg/m</w:t>
      </w:r>
      <w:r w:rsidRPr="00C47755">
        <w:rPr>
          <w:sz w:val="20"/>
          <w:szCs w:val="20"/>
          <w:vertAlign w:val="superscript"/>
          <w:lang w:val="de-DE"/>
        </w:rPr>
        <w:t>2</w:t>
      </w:r>
      <w:r w:rsidRPr="00C47755">
        <w:rPr>
          <w:sz w:val="20"/>
          <w:szCs w:val="20"/>
          <w:lang w:val="de-DE"/>
        </w:rPr>
        <w:t xml:space="preserve"> </w:t>
      </w:r>
      <w:r w:rsidR="00A93A12" w:rsidRPr="00C47755">
        <w:rPr>
          <w:sz w:val="20"/>
          <w:szCs w:val="20"/>
          <w:lang w:val="de-DE"/>
        </w:rPr>
        <w:t>oral zweimal täglich über 14</w:t>
      </w:r>
      <w:r w:rsidR="00016950" w:rsidRPr="00C47755">
        <w:rPr>
          <w:sz w:val="20"/>
          <w:szCs w:val="20"/>
          <w:lang w:val="de-DE"/>
        </w:rPr>
        <w:t> </w:t>
      </w:r>
      <w:r w:rsidR="00A93A12" w:rsidRPr="00C47755">
        <w:rPr>
          <w:sz w:val="20"/>
          <w:szCs w:val="20"/>
          <w:lang w:val="de-DE"/>
        </w:rPr>
        <w:t>Tage alle 3</w:t>
      </w:r>
      <w:r w:rsidR="00016950" w:rsidRPr="00C47755">
        <w:rPr>
          <w:sz w:val="20"/>
          <w:szCs w:val="20"/>
          <w:lang w:val="de-DE"/>
        </w:rPr>
        <w:t> </w:t>
      </w:r>
      <w:r w:rsidR="00A93A12" w:rsidRPr="00C47755">
        <w:rPr>
          <w:sz w:val="20"/>
          <w:szCs w:val="20"/>
          <w:lang w:val="de-DE"/>
        </w:rPr>
        <w:t>Wochen</w:t>
      </w:r>
      <w:r w:rsidRPr="00C47755">
        <w:rPr>
          <w:sz w:val="20"/>
          <w:szCs w:val="20"/>
          <w:lang w:val="de-DE"/>
        </w:rPr>
        <w:t>.</w:t>
      </w:r>
    </w:p>
    <w:p w14:paraId="53973940" w14:textId="3BE835BD" w:rsidR="00C64BFE" w:rsidRPr="001661A9" w:rsidRDefault="00C64BFE" w:rsidP="00BD272D">
      <w:pPr>
        <w:pStyle w:val="CM53"/>
        <w:keepNext/>
        <w:keepLines/>
        <w:widowControl/>
        <w:ind w:left="567" w:hanging="567"/>
        <w:rPr>
          <w:sz w:val="20"/>
          <w:szCs w:val="20"/>
          <w:lang w:val="de-DE"/>
        </w:rPr>
      </w:pPr>
      <w:r w:rsidRPr="001661A9">
        <w:rPr>
          <w:sz w:val="20"/>
          <w:szCs w:val="20"/>
          <w:vertAlign w:val="superscript"/>
          <w:lang w:val="de-DE"/>
        </w:rPr>
        <w:t>b</w:t>
      </w:r>
      <w:r w:rsidRPr="001661A9">
        <w:rPr>
          <w:sz w:val="20"/>
          <w:szCs w:val="20"/>
          <w:lang w:val="de-DE"/>
        </w:rPr>
        <w:tab/>
      </w:r>
      <w:r w:rsidR="00A93A12" w:rsidRPr="001661A9">
        <w:rPr>
          <w:sz w:val="20"/>
          <w:szCs w:val="20"/>
          <w:lang w:val="de-DE"/>
        </w:rPr>
        <w:t xml:space="preserve">Die stratifizierte Analyse berücksichtigte alle </w:t>
      </w:r>
      <w:r w:rsidR="0060056D" w:rsidRPr="001661A9">
        <w:rPr>
          <w:sz w:val="20"/>
          <w:szCs w:val="20"/>
          <w:lang w:val="de-DE"/>
        </w:rPr>
        <w:t>Ereignisse (Progression und Tod)</w:t>
      </w:r>
      <w:r w:rsidR="00A93A12" w:rsidRPr="001661A9">
        <w:rPr>
          <w:sz w:val="20"/>
          <w:szCs w:val="20"/>
          <w:lang w:val="de-DE"/>
        </w:rPr>
        <w:t xml:space="preserve"> mit Ausnahme derjenigen, bei denen vor der dokumentierten Progression eine nicht im Protokoll festgelegte Behandlung (</w:t>
      </w:r>
      <w:r w:rsidR="00A93A12" w:rsidRPr="001661A9">
        <w:rPr>
          <w:i/>
          <w:sz w:val="20"/>
          <w:szCs w:val="20"/>
          <w:lang w:val="de-DE"/>
        </w:rPr>
        <w:t>non-protocol therapy</w:t>
      </w:r>
      <w:r w:rsidR="00A93A12" w:rsidRPr="001661A9">
        <w:rPr>
          <w:sz w:val="20"/>
          <w:szCs w:val="20"/>
          <w:lang w:val="de-DE"/>
        </w:rPr>
        <w:t>, NPT) eingeleitet wurde. Die Daten dieser Patienten wurden zum Zeitpunkt der letzten Tumorbestimmung vor Beginn der NPT zensiert</w:t>
      </w:r>
      <w:r w:rsidRPr="001661A9">
        <w:rPr>
          <w:sz w:val="20"/>
          <w:szCs w:val="20"/>
          <w:lang w:val="de-DE"/>
        </w:rPr>
        <w:t>.</w:t>
      </w:r>
    </w:p>
    <w:p w14:paraId="6B7C1FA5" w14:textId="77777777" w:rsidR="00C64BFE" w:rsidRPr="001661A9" w:rsidRDefault="00C64BFE" w:rsidP="00C64BFE">
      <w:pPr>
        <w:pStyle w:val="Default"/>
        <w:keepNext/>
        <w:rPr>
          <w:sz w:val="22"/>
          <w:szCs w:val="22"/>
          <w:lang w:val="de-DE"/>
        </w:rPr>
      </w:pPr>
    </w:p>
    <w:p w14:paraId="13D6DD27" w14:textId="57AA3C0E" w:rsidR="00C64BFE" w:rsidRPr="001661A9" w:rsidRDefault="00A93A12" w:rsidP="00C64BFE">
      <w:pPr>
        <w:pStyle w:val="CM53"/>
        <w:keepNext/>
        <w:rPr>
          <w:sz w:val="22"/>
          <w:szCs w:val="22"/>
          <w:lang w:val="de-DE"/>
        </w:rPr>
      </w:pPr>
      <w:r w:rsidRPr="001661A9">
        <w:rPr>
          <w:sz w:val="22"/>
          <w:szCs w:val="22"/>
          <w:lang w:val="de-DE"/>
        </w:rPr>
        <w:t>Es wurde eine nicht stratifizierte Analyse des progressionsfreien Überlebens durchgeführt (Bewertung durch den Prüfarzt), in der nicht im Protokoll festgelegte Behandlungen vor Krankheitsprogression nicht zensiert wurden. Die Ergebnisse dieser Analysen waren den primären Ergebnissen zum progressionsfreien Überleben sehr ähnlich</w:t>
      </w:r>
      <w:r w:rsidR="00C64BFE" w:rsidRPr="001661A9">
        <w:rPr>
          <w:sz w:val="22"/>
          <w:szCs w:val="22"/>
          <w:lang w:val="de-DE"/>
        </w:rPr>
        <w:t>.</w:t>
      </w:r>
    </w:p>
    <w:p w14:paraId="175FEC21" w14:textId="77777777" w:rsidR="00AF337C" w:rsidRPr="009737B5" w:rsidRDefault="00AF337C" w:rsidP="005F4D08">
      <w:pPr>
        <w:suppressAutoHyphens/>
        <w:spacing w:after="0" w:line="240" w:lineRule="auto"/>
        <w:rPr>
          <w:rFonts w:ascii="Times New Roman" w:hAnsi="Times New Roman" w:cs="Times New Roman"/>
          <w:lang w:val="de-DE"/>
        </w:rPr>
      </w:pPr>
    </w:p>
    <w:p w14:paraId="55F26BE1" w14:textId="77777777" w:rsidR="00010E8C" w:rsidRPr="009737B5" w:rsidRDefault="00010E8C" w:rsidP="00BE4DF4">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Nicht-kleinzelliges Bronchialkarzinom</w:t>
      </w:r>
    </w:p>
    <w:p w14:paraId="50217F95" w14:textId="77777777" w:rsidR="00010E8C" w:rsidRPr="009737B5" w:rsidRDefault="00010E8C" w:rsidP="00BE4DF4">
      <w:pPr>
        <w:keepNext/>
        <w:suppressAutoHyphens/>
        <w:spacing w:after="0" w:line="240" w:lineRule="auto"/>
        <w:rPr>
          <w:rFonts w:ascii="Times New Roman" w:hAnsi="Times New Roman" w:cs="Times New Roman"/>
          <w:lang w:val="de-DE"/>
        </w:rPr>
      </w:pPr>
    </w:p>
    <w:p w14:paraId="30284D86" w14:textId="77777777" w:rsidR="00010E8C" w:rsidRPr="009737B5" w:rsidRDefault="00010E8C" w:rsidP="00BE4DF4">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First-Line-Behandlung des nicht-kleinzelligen Nicht-Plattenepithel-Bronchialkarzinoms in Kombination mit einer platinhaltigen Chemotherapie</w:t>
      </w:r>
    </w:p>
    <w:p w14:paraId="1532D1B8" w14:textId="77777777" w:rsidR="00010E8C" w:rsidRPr="009737B5" w:rsidRDefault="00010E8C" w:rsidP="00BE4DF4">
      <w:pPr>
        <w:keepNext/>
        <w:suppressAutoHyphens/>
        <w:spacing w:after="0" w:line="240" w:lineRule="auto"/>
        <w:rPr>
          <w:rFonts w:ascii="Times New Roman" w:hAnsi="Times New Roman" w:cs="Times New Roman"/>
          <w:lang w:val="de-DE"/>
        </w:rPr>
      </w:pPr>
    </w:p>
    <w:p w14:paraId="59A4309F" w14:textId="049878EE"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Sicherheit und Wirksamkeit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zusätzlich zu einer platinhaltigen Chemotherapie in der</w:t>
      </w:r>
      <w:r w:rsidR="0061749A" w:rsidRPr="009737B5">
        <w:rPr>
          <w:rFonts w:ascii="Times New Roman" w:hAnsi="Times New Roman" w:cs="Times New Roman"/>
          <w:lang w:val="de-DE"/>
        </w:rPr>
        <w:t xml:space="preserve"> </w:t>
      </w:r>
      <w:r w:rsidRPr="009737B5">
        <w:rPr>
          <w:rFonts w:ascii="Times New Roman" w:hAnsi="Times New Roman" w:cs="Times New Roman"/>
          <w:lang w:val="de-DE"/>
        </w:rPr>
        <w:t xml:space="preserve">First-Line-Behandlung von Patienten mit nicht-kleinzelligem Bronchialkarzinom ohne </w:t>
      </w:r>
      <w:r w:rsidRPr="009737B5">
        <w:rPr>
          <w:rFonts w:ascii="Times New Roman" w:hAnsi="Times New Roman" w:cs="Times New Roman"/>
          <w:lang w:val="de-DE"/>
        </w:rPr>
        <w:lastRenderedPageBreak/>
        <w:t>Plattenepithel</w:t>
      </w:r>
      <w:r w:rsidR="0093210E" w:rsidRPr="009737B5">
        <w:rPr>
          <w:rFonts w:ascii="Times New Roman" w:hAnsi="Times New Roman" w:cs="Times New Roman"/>
          <w:lang w:val="de-DE"/>
        </w:rPr>
        <w:t>-</w:t>
      </w:r>
      <w:r w:rsidRPr="009737B5">
        <w:rPr>
          <w:rFonts w:ascii="Times New Roman" w:hAnsi="Times New Roman" w:cs="Times New Roman"/>
          <w:lang w:val="de-DE"/>
        </w:rPr>
        <w:t>Histologie wurde</w:t>
      </w:r>
      <w:r w:rsidR="0093210E" w:rsidRPr="009737B5">
        <w:rPr>
          <w:rFonts w:ascii="Times New Roman" w:hAnsi="Times New Roman" w:cs="Times New Roman"/>
          <w:lang w:val="de-DE"/>
        </w:rPr>
        <w:t>n</w:t>
      </w:r>
      <w:r w:rsidRPr="009737B5">
        <w:rPr>
          <w:rFonts w:ascii="Times New Roman" w:hAnsi="Times New Roman" w:cs="Times New Roman"/>
          <w:lang w:val="de-DE"/>
        </w:rPr>
        <w:t xml:space="preserve"> in den Studien</w:t>
      </w:r>
      <w:r w:rsidR="00A36C33">
        <w:rPr>
          <w:rFonts w:ascii="Times New Roman" w:hAnsi="Times New Roman" w:cs="Times New Roman"/>
          <w:lang w:val="de-DE"/>
        </w:rPr>
        <w:t> </w:t>
      </w:r>
      <w:r w:rsidRPr="009737B5">
        <w:rPr>
          <w:rFonts w:ascii="Times New Roman" w:hAnsi="Times New Roman" w:cs="Times New Roman"/>
          <w:lang w:val="de-DE"/>
        </w:rPr>
        <w:t>E4599 und BO17704 untersucht. In der Studie</w:t>
      </w:r>
      <w:r w:rsidR="00A36C33">
        <w:rPr>
          <w:rFonts w:ascii="Times New Roman" w:hAnsi="Times New Roman" w:cs="Times New Roman"/>
          <w:lang w:val="de-DE"/>
        </w:rPr>
        <w:t> </w:t>
      </w:r>
      <w:r w:rsidRPr="009737B5">
        <w:rPr>
          <w:rFonts w:ascii="Times New Roman" w:hAnsi="Times New Roman" w:cs="Times New Roman"/>
          <w:lang w:val="de-DE"/>
        </w:rPr>
        <w:t>E4599 wurde mit einer Dosierung von 15</w:t>
      </w:r>
      <w:r w:rsidR="00AB26B9" w:rsidRPr="009737B5">
        <w:rPr>
          <w:rFonts w:ascii="Times New Roman" w:hAnsi="Times New Roman" w:cs="Times New Roman"/>
          <w:lang w:val="de-DE"/>
        </w:rPr>
        <w:t> mg</w:t>
      </w:r>
      <w:r w:rsidRPr="009737B5">
        <w:rPr>
          <w:rFonts w:ascii="Times New Roman" w:hAnsi="Times New Roman" w:cs="Times New Roman"/>
          <w:lang w:val="de-DE"/>
        </w:rPr>
        <w:t>/kg Bevacizumab alle 3</w:t>
      </w:r>
      <w:r w:rsidR="00A36C33">
        <w:rPr>
          <w:rFonts w:ascii="Times New Roman" w:hAnsi="Times New Roman" w:cs="Times New Roman"/>
          <w:lang w:val="de-DE"/>
        </w:rPr>
        <w:t> </w:t>
      </w:r>
      <w:r w:rsidRPr="009737B5">
        <w:rPr>
          <w:rFonts w:ascii="Times New Roman" w:hAnsi="Times New Roman" w:cs="Times New Roman"/>
          <w:lang w:val="de-DE"/>
        </w:rPr>
        <w:t>Wochen ein Vorteil hinsichtlich des Gesamtüberlebens gezeigt. In der Studie BO17704 wurde gezeigt, dass beide Bevacizumab</w:t>
      </w:r>
      <w:r w:rsidR="005B7FB6" w:rsidRPr="009737B5">
        <w:rPr>
          <w:rFonts w:ascii="Times New Roman" w:hAnsi="Times New Roman" w:cs="Times New Roman"/>
          <w:lang w:val="de-DE"/>
        </w:rPr>
        <w:t>-</w:t>
      </w:r>
      <w:r w:rsidRPr="009737B5">
        <w:rPr>
          <w:rFonts w:ascii="Times New Roman" w:hAnsi="Times New Roman" w:cs="Times New Roman"/>
          <w:lang w:val="de-DE"/>
        </w:rPr>
        <w:t>Dosierungen von 7,5</w:t>
      </w:r>
      <w:r w:rsidR="00AB26B9" w:rsidRPr="009737B5">
        <w:rPr>
          <w:rFonts w:ascii="Times New Roman" w:hAnsi="Times New Roman" w:cs="Times New Roman"/>
          <w:lang w:val="de-DE"/>
        </w:rPr>
        <w:t> mg</w:t>
      </w:r>
      <w:r w:rsidRPr="009737B5">
        <w:rPr>
          <w:rFonts w:ascii="Times New Roman" w:hAnsi="Times New Roman" w:cs="Times New Roman"/>
          <w:lang w:val="de-DE"/>
        </w:rPr>
        <w:t>/kg alle 3</w:t>
      </w:r>
      <w:r w:rsidR="00A36C33">
        <w:rPr>
          <w:rFonts w:ascii="Times New Roman" w:hAnsi="Times New Roman" w:cs="Times New Roman"/>
          <w:lang w:val="de-DE"/>
        </w:rPr>
        <w:t> </w:t>
      </w:r>
      <w:r w:rsidRPr="009737B5">
        <w:rPr>
          <w:rFonts w:ascii="Times New Roman" w:hAnsi="Times New Roman" w:cs="Times New Roman"/>
          <w:lang w:val="de-DE"/>
        </w:rPr>
        <w:t>Wochen und 15</w:t>
      </w:r>
      <w:r w:rsidR="00AB26B9" w:rsidRPr="009737B5">
        <w:rPr>
          <w:rFonts w:ascii="Times New Roman" w:hAnsi="Times New Roman" w:cs="Times New Roman"/>
          <w:lang w:val="de-DE"/>
        </w:rPr>
        <w:t> mg</w:t>
      </w:r>
      <w:r w:rsidRPr="009737B5">
        <w:rPr>
          <w:rFonts w:ascii="Times New Roman" w:hAnsi="Times New Roman" w:cs="Times New Roman"/>
          <w:lang w:val="de-DE"/>
        </w:rPr>
        <w:t>/kg alle 3</w:t>
      </w:r>
      <w:r w:rsidR="00A36C33">
        <w:rPr>
          <w:rFonts w:ascii="Times New Roman" w:hAnsi="Times New Roman" w:cs="Times New Roman"/>
          <w:lang w:val="de-DE"/>
        </w:rPr>
        <w:t> </w:t>
      </w:r>
      <w:r w:rsidRPr="009737B5">
        <w:rPr>
          <w:rFonts w:ascii="Times New Roman" w:hAnsi="Times New Roman" w:cs="Times New Roman"/>
          <w:lang w:val="de-DE"/>
        </w:rPr>
        <w:t>Wochen das progressionsfreie Überleben verlängern und die Response-Rate erhöhen.</w:t>
      </w:r>
    </w:p>
    <w:p w14:paraId="0AEA271F" w14:textId="77777777" w:rsidR="00010E8C" w:rsidRPr="009737B5" w:rsidRDefault="00010E8C" w:rsidP="005F4D08">
      <w:pPr>
        <w:suppressAutoHyphens/>
        <w:spacing w:after="0" w:line="240" w:lineRule="auto"/>
        <w:rPr>
          <w:rFonts w:ascii="Times New Roman" w:hAnsi="Times New Roman" w:cs="Times New Roman"/>
          <w:lang w:val="de-DE"/>
        </w:rPr>
      </w:pPr>
    </w:p>
    <w:p w14:paraId="53EB7E31" w14:textId="77777777" w:rsidR="00010E8C" w:rsidRPr="009737B5" w:rsidRDefault="00010E8C" w:rsidP="00BE4DF4">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E4599</w:t>
      </w:r>
    </w:p>
    <w:p w14:paraId="0C5504E8" w14:textId="68640811"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Studie E4599 war eine multizentrische, offene, randomisierte Studie mit aktiver Kontrolle zur</w:t>
      </w:r>
      <w:r w:rsidR="0061749A" w:rsidRPr="009737B5">
        <w:rPr>
          <w:rFonts w:ascii="Times New Roman" w:hAnsi="Times New Roman" w:cs="Times New Roman"/>
          <w:lang w:val="de-DE"/>
        </w:rPr>
        <w:t xml:space="preserve"> </w:t>
      </w:r>
      <w:r w:rsidRPr="009737B5">
        <w:rPr>
          <w:rFonts w:ascii="Times New Roman" w:hAnsi="Times New Roman" w:cs="Times New Roman"/>
          <w:lang w:val="de-DE"/>
        </w:rPr>
        <w:t xml:space="preserve">Prüfung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in der First-Line-Behandlung von Patienten mit lokal fortgeschrittenem (Stadium</w:t>
      </w:r>
      <w:r w:rsidR="00A36C33">
        <w:rPr>
          <w:rFonts w:ascii="Times New Roman" w:hAnsi="Times New Roman" w:cs="Times New Roman"/>
          <w:lang w:val="de-DE"/>
        </w:rPr>
        <w:t> </w:t>
      </w:r>
      <w:r w:rsidR="00033DAC" w:rsidRPr="009737B5">
        <w:rPr>
          <w:rFonts w:ascii="Times New Roman" w:hAnsi="Times New Roman" w:cs="Times New Roman"/>
          <w:lang w:val="de-DE"/>
        </w:rPr>
        <w:t xml:space="preserve">IIIB </w:t>
      </w:r>
      <w:r w:rsidRPr="009737B5">
        <w:rPr>
          <w:rFonts w:ascii="Times New Roman" w:hAnsi="Times New Roman" w:cs="Times New Roman"/>
          <w:lang w:val="de-DE"/>
        </w:rPr>
        <w:t>mit malignem Pleuraerguss), metastasiertem oder rezidivierendem nicht-kleinzelligem Bronchialkarzinom mit nicht vorherrschender Plattenepithel-Histologie.</w:t>
      </w:r>
    </w:p>
    <w:p w14:paraId="34A9E95C" w14:textId="77777777" w:rsidR="00010E8C" w:rsidRPr="009737B5" w:rsidRDefault="00010E8C" w:rsidP="005F4D08">
      <w:pPr>
        <w:suppressAutoHyphens/>
        <w:spacing w:after="0" w:line="240" w:lineRule="auto"/>
        <w:rPr>
          <w:rFonts w:ascii="Times New Roman" w:hAnsi="Times New Roman" w:cs="Times New Roman"/>
          <w:lang w:val="de-DE"/>
        </w:rPr>
      </w:pPr>
    </w:p>
    <w:p w14:paraId="756A4749" w14:textId="04AF0B63"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Patienten wurden einer platinhaltigen Chemotherapie (Paclitaxel 200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und Carboplatin AUC</w:t>
      </w:r>
      <w:r w:rsidR="00A36C33">
        <w:rPr>
          <w:rFonts w:ascii="Times New Roman" w:hAnsi="Times New Roman" w:cs="Times New Roman"/>
          <w:lang w:val="de-DE"/>
        </w:rPr>
        <w:t> </w:t>
      </w:r>
      <w:r w:rsidRPr="009737B5">
        <w:rPr>
          <w:rFonts w:ascii="Times New Roman" w:hAnsi="Times New Roman" w:cs="Times New Roman"/>
          <w:lang w:val="de-DE"/>
        </w:rPr>
        <w:t>=</w:t>
      </w:r>
      <w:r w:rsidR="00A36C33">
        <w:rPr>
          <w:rFonts w:ascii="Times New Roman" w:hAnsi="Times New Roman" w:cs="Times New Roman"/>
          <w:lang w:val="de-DE"/>
        </w:rPr>
        <w:t> </w:t>
      </w:r>
      <w:r w:rsidRPr="009737B5">
        <w:rPr>
          <w:rFonts w:ascii="Times New Roman" w:hAnsi="Times New Roman" w:cs="Times New Roman"/>
          <w:lang w:val="de-DE"/>
        </w:rPr>
        <w:t>6,0, beide als i.v. Infusion [PC] am Tag</w:t>
      </w:r>
      <w:r w:rsidR="00A36C33">
        <w:rPr>
          <w:rFonts w:ascii="Times New Roman" w:hAnsi="Times New Roman" w:cs="Times New Roman"/>
          <w:lang w:val="de-DE"/>
        </w:rPr>
        <w:t> </w:t>
      </w:r>
      <w:r w:rsidRPr="009737B5">
        <w:rPr>
          <w:rFonts w:ascii="Times New Roman" w:hAnsi="Times New Roman" w:cs="Times New Roman"/>
          <w:lang w:val="de-DE"/>
        </w:rPr>
        <w:t>1 eines 3-wöchigen Zyklus über bis zu 6</w:t>
      </w:r>
      <w:r w:rsidR="00E244D1">
        <w:rPr>
          <w:rFonts w:ascii="Times New Roman" w:hAnsi="Times New Roman" w:cs="Times New Roman"/>
          <w:lang w:val="de-DE"/>
        </w:rPr>
        <w:t> </w:t>
      </w:r>
      <w:r w:rsidRPr="009737B5">
        <w:rPr>
          <w:rFonts w:ascii="Times New Roman" w:hAnsi="Times New Roman" w:cs="Times New Roman"/>
          <w:lang w:val="de-DE"/>
        </w:rPr>
        <w:t xml:space="preserve">Zyklen) oder einer Therapie aus PC in Kombination mit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in einer Dosierung von 15</w:t>
      </w:r>
      <w:r w:rsidR="00AB26B9" w:rsidRPr="009737B5">
        <w:rPr>
          <w:rFonts w:ascii="Times New Roman" w:hAnsi="Times New Roman" w:cs="Times New Roman"/>
          <w:lang w:val="de-DE"/>
        </w:rPr>
        <w:t> mg</w:t>
      </w:r>
      <w:r w:rsidRPr="009737B5">
        <w:rPr>
          <w:rFonts w:ascii="Times New Roman" w:hAnsi="Times New Roman" w:cs="Times New Roman"/>
          <w:lang w:val="de-DE"/>
        </w:rPr>
        <w:t>/kg als i.v. Infusion am Tag</w:t>
      </w:r>
      <w:r w:rsidR="00E244D1">
        <w:rPr>
          <w:rFonts w:ascii="Times New Roman" w:hAnsi="Times New Roman" w:cs="Times New Roman"/>
          <w:lang w:val="de-DE"/>
        </w:rPr>
        <w:t> </w:t>
      </w:r>
      <w:r w:rsidRPr="009737B5">
        <w:rPr>
          <w:rFonts w:ascii="Times New Roman" w:hAnsi="Times New Roman" w:cs="Times New Roman"/>
          <w:lang w:val="de-DE"/>
        </w:rPr>
        <w:t>1 eines 3-wöchigen Zyklus randomisiert zugewiesen. Nach Beendigung von 6</w:t>
      </w:r>
      <w:r w:rsidR="00E244D1">
        <w:rPr>
          <w:rFonts w:ascii="Times New Roman" w:hAnsi="Times New Roman" w:cs="Times New Roman"/>
          <w:lang w:val="de-DE"/>
        </w:rPr>
        <w:t> </w:t>
      </w:r>
      <w:r w:rsidRPr="009737B5">
        <w:rPr>
          <w:rFonts w:ascii="Times New Roman" w:hAnsi="Times New Roman" w:cs="Times New Roman"/>
          <w:lang w:val="de-DE"/>
        </w:rPr>
        <w:t xml:space="preserve">Zyklen der Carboplatin/Paclitaxel-Chemotherapie oder vorzeitigem Abbruch der Chemotherapie setzten die Patienten im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 Carboplatin/Paclitaxel-Studienarm die </w:t>
      </w:r>
      <w:r w:rsidR="00A15C0A" w:rsidRPr="009737B5">
        <w:rPr>
          <w:rFonts w:ascii="Times New Roman" w:hAnsi="Times New Roman" w:cs="Times New Roman"/>
          <w:lang w:val="de-DE"/>
        </w:rPr>
        <w:t>Bevacizumab-</w:t>
      </w:r>
      <w:r w:rsidRPr="009737B5">
        <w:rPr>
          <w:rFonts w:ascii="Times New Roman" w:hAnsi="Times New Roman" w:cs="Times New Roman"/>
          <w:lang w:val="de-DE"/>
        </w:rPr>
        <w:t>Behandlung als Monotherapie alle 3</w:t>
      </w:r>
      <w:r w:rsidR="00E244D1">
        <w:rPr>
          <w:rFonts w:ascii="Times New Roman" w:hAnsi="Times New Roman" w:cs="Times New Roman"/>
          <w:lang w:val="de-DE"/>
        </w:rPr>
        <w:t> </w:t>
      </w:r>
      <w:r w:rsidRPr="009737B5">
        <w:rPr>
          <w:rFonts w:ascii="Times New Roman" w:hAnsi="Times New Roman" w:cs="Times New Roman"/>
          <w:lang w:val="de-DE"/>
        </w:rPr>
        <w:t>Wochen bis zum Fortschreiten der Erkrankung fort. Insgesamt wurden 878</w:t>
      </w:r>
      <w:r w:rsidR="00E244D1">
        <w:rPr>
          <w:rFonts w:ascii="Times New Roman" w:hAnsi="Times New Roman" w:cs="Times New Roman"/>
          <w:lang w:val="de-DE"/>
        </w:rPr>
        <w:t> </w:t>
      </w:r>
      <w:r w:rsidRPr="009737B5">
        <w:rPr>
          <w:rFonts w:ascii="Times New Roman" w:hAnsi="Times New Roman" w:cs="Times New Roman"/>
          <w:lang w:val="de-DE"/>
        </w:rPr>
        <w:t>Patienten den beiden Studienarmen zugeteilt.</w:t>
      </w:r>
    </w:p>
    <w:p w14:paraId="093DA5B2" w14:textId="77777777" w:rsidR="00010E8C" w:rsidRPr="009737B5" w:rsidRDefault="00010E8C" w:rsidP="005F4D08">
      <w:pPr>
        <w:suppressAutoHyphens/>
        <w:spacing w:after="0" w:line="240" w:lineRule="auto"/>
        <w:rPr>
          <w:rFonts w:ascii="Times New Roman" w:hAnsi="Times New Roman" w:cs="Times New Roman"/>
          <w:lang w:val="de-DE"/>
        </w:rPr>
      </w:pPr>
    </w:p>
    <w:p w14:paraId="1D0A5FFA" w14:textId="26B2D7DB"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Während der Studie erhielten 32,2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(136/422) der Patienten, die</w:t>
      </w:r>
      <w:r w:rsidR="00C90E0D" w:rsidRPr="009737B5">
        <w:rPr>
          <w:rFonts w:ascii="Times New Roman" w:hAnsi="Times New Roman" w:cs="Times New Roman"/>
          <w:lang w:val="de-DE"/>
        </w:rPr>
        <w:t xml:space="preserve"> das Prüfpräparat erhielten, 7</w:t>
      </w:r>
      <w:r w:rsidR="00E244D1">
        <w:rPr>
          <w:rFonts w:ascii="Times New Roman" w:hAnsi="Times New Roman" w:cs="Times New Roman"/>
          <w:lang w:val="de-DE"/>
        </w:rPr>
        <w:t> </w:t>
      </w:r>
      <w:r w:rsidR="00C90E0D" w:rsidRPr="009737B5">
        <w:rPr>
          <w:rFonts w:ascii="Times New Roman" w:hAnsi="Times New Roman" w:cs="Times New Roman"/>
          <w:lang w:val="de-DE"/>
        </w:rPr>
        <w:t>-</w:t>
      </w:r>
      <w:r w:rsidR="00E244D1">
        <w:rPr>
          <w:rFonts w:ascii="Times New Roman" w:hAnsi="Times New Roman" w:cs="Times New Roman"/>
          <w:lang w:val="de-DE"/>
        </w:rPr>
        <w:t> </w:t>
      </w:r>
      <w:r w:rsidRPr="009737B5">
        <w:rPr>
          <w:rFonts w:ascii="Times New Roman" w:hAnsi="Times New Roman" w:cs="Times New Roman"/>
          <w:lang w:val="de-DE"/>
        </w:rPr>
        <w:t xml:space="preserve">12 </w:t>
      </w:r>
      <w:r w:rsidR="00A15C0A" w:rsidRPr="009737B5">
        <w:rPr>
          <w:rFonts w:ascii="Times New Roman" w:hAnsi="Times New Roman" w:cs="Times New Roman"/>
          <w:lang w:val="de-DE"/>
        </w:rPr>
        <w:t>Bevacizumab-</w:t>
      </w:r>
      <w:r w:rsidRPr="009737B5">
        <w:rPr>
          <w:rFonts w:ascii="Times New Roman" w:hAnsi="Times New Roman" w:cs="Times New Roman"/>
          <w:lang w:val="de-DE"/>
        </w:rPr>
        <w:t>Anwendungen</w:t>
      </w:r>
      <w:r w:rsidR="001B3701" w:rsidRPr="009737B5">
        <w:rPr>
          <w:rFonts w:ascii="Times New Roman" w:hAnsi="Times New Roman" w:cs="Times New Roman"/>
          <w:lang w:val="de-DE"/>
        </w:rPr>
        <w:t>,</w:t>
      </w:r>
      <w:r w:rsidRPr="009737B5">
        <w:rPr>
          <w:rFonts w:ascii="Times New Roman" w:hAnsi="Times New Roman" w:cs="Times New Roman"/>
          <w:lang w:val="de-DE"/>
        </w:rPr>
        <w:t xml:space="preserve"> und 21,1</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(89/422) erhielten 13 oder mehr Anwendungen.</w:t>
      </w:r>
    </w:p>
    <w:p w14:paraId="3210CA25" w14:textId="77777777" w:rsidR="00010E8C" w:rsidRPr="009737B5" w:rsidRDefault="00010E8C" w:rsidP="005F4D08">
      <w:pPr>
        <w:suppressAutoHyphens/>
        <w:spacing w:after="0" w:line="240" w:lineRule="auto"/>
        <w:rPr>
          <w:rFonts w:ascii="Times New Roman" w:hAnsi="Times New Roman" w:cs="Times New Roman"/>
          <w:lang w:val="de-DE"/>
        </w:rPr>
      </w:pPr>
    </w:p>
    <w:p w14:paraId="4927BC7E" w14:textId="199992F8"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Der primäre Studienendpunkt war die Überlebensdauer. Die Ergebnisse sind in Tabelle </w:t>
      </w:r>
      <w:r w:rsidR="000E4AA1">
        <w:rPr>
          <w:rFonts w:ascii="Times New Roman" w:hAnsi="Times New Roman" w:cs="Times New Roman"/>
          <w:lang w:val="de-DE"/>
        </w:rPr>
        <w:t> </w:t>
      </w:r>
      <w:r w:rsidR="00A93A12" w:rsidRPr="009737B5">
        <w:rPr>
          <w:rFonts w:ascii="Times New Roman" w:hAnsi="Times New Roman" w:cs="Times New Roman"/>
          <w:lang w:val="de-DE"/>
        </w:rPr>
        <w:t>1</w:t>
      </w:r>
      <w:r w:rsidR="00A93A12">
        <w:rPr>
          <w:rFonts w:ascii="Times New Roman" w:hAnsi="Times New Roman" w:cs="Times New Roman"/>
          <w:lang w:val="de-DE"/>
        </w:rPr>
        <w:t>2</w:t>
      </w:r>
      <w:r w:rsidR="00A93A12" w:rsidRPr="009737B5">
        <w:rPr>
          <w:rFonts w:ascii="Times New Roman" w:hAnsi="Times New Roman" w:cs="Times New Roman"/>
          <w:lang w:val="de-DE"/>
        </w:rPr>
        <w:t xml:space="preserve"> </w:t>
      </w:r>
      <w:r w:rsidRPr="009737B5">
        <w:rPr>
          <w:rFonts w:ascii="Times New Roman" w:hAnsi="Times New Roman" w:cs="Times New Roman"/>
          <w:lang w:val="de-DE"/>
        </w:rPr>
        <w:t>dargestellt.</w:t>
      </w:r>
    </w:p>
    <w:p w14:paraId="1476F974" w14:textId="77777777" w:rsidR="00010E8C" w:rsidRPr="009737B5" w:rsidRDefault="00010E8C" w:rsidP="005F4D08">
      <w:pPr>
        <w:suppressAutoHyphens/>
        <w:spacing w:after="0" w:line="240" w:lineRule="auto"/>
        <w:rPr>
          <w:rFonts w:ascii="Times New Roman" w:hAnsi="Times New Roman" w:cs="Times New Roman"/>
          <w:lang w:val="de-DE"/>
        </w:rPr>
      </w:pPr>
    </w:p>
    <w:p w14:paraId="334C9C27" w14:textId="360FB564" w:rsidR="00010E8C" w:rsidRPr="009737B5" w:rsidRDefault="00BE4DF4" w:rsidP="006D1AE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0E4AA1">
        <w:rPr>
          <w:rFonts w:ascii="Times New Roman" w:hAnsi="Times New Roman" w:cs="Times New Roman"/>
          <w:b/>
          <w:lang w:val="de-DE"/>
        </w:rPr>
        <w:t> </w:t>
      </w:r>
      <w:r w:rsidR="007F77FC" w:rsidRPr="009737B5">
        <w:rPr>
          <w:rFonts w:ascii="Times New Roman" w:hAnsi="Times New Roman" w:cs="Times New Roman"/>
          <w:b/>
          <w:lang w:val="de-DE"/>
        </w:rPr>
        <w:t>1</w:t>
      </w:r>
      <w:r w:rsidR="007F77FC">
        <w:rPr>
          <w:rFonts w:ascii="Times New Roman" w:hAnsi="Times New Roman" w:cs="Times New Roman"/>
          <w:b/>
          <w:lang w:val="de-DE"/>
        </w:rPr>
        <w:t>2</w:t>
      </w:r>
      <w:r w:rsidRPr="009737B5">
        <w:rPr>
          <w:rFonts w:ascii="Times New Roman" w:hAnsi="Times New Roman" w:cs="Times New Roman"/>
          <w:b/>
          <w:lang w:val="de-DE"/>
        </w:rPr>
        <w:t>.</w:t>
      </w:r>
      <w:r w:rsidR="00010E8C" w:rsidRPr="009737B5">
        <w:rPr>
          <w:rFonts w:ascii="Times New Roman" w:hAnsi="Times New Roman" w:cs="Times New Roman"/>
          <w:b/>
          <w:lang w:val="de-DE"/>
        </w:rPr>
        <w:t xml:space="preserve"> Wirksamkeitsergebnisse der Studie</w:t>
      </w:r>
      <w:r w:rsidR="00E244D1">
        <w:rPr>
          <w:rFonts w:ascii="Times New Roman" w:hAnsi="Times New Roman" w:cs="Times New Roman"/>
          <w:b/>
          <w:lang w:val="de-DE"/>
        </w:rPr>
        <w:t> </w:t>
      </w:r>
      <w:r w:rsidR="00010E8C" w:rsidRPr="009737B5">
        <w:rPr>
          <w:rFonts w:ascii="Times New Roman" w:hAnsi="Times New Roman" w:cs="Times New Roman"/>
          <w:b/>
          <w:lang w:val="de-DE"/>
        </w:rPr>
        <w:t>E4599</w:t>
      </w:r>
    </w:p>
    <w:p w14:paraId="1D0F42CF" w14:textId="77777777" w:rsidR="00010E8C" w:rsidRPr="009737B5" w:rsidRDefault="00010E8C" w:rsidP="006D1AE9">
      <w:pPr>
        <w:keepNext/>
        <w:suppressAutoHyphens/>
        <w:spacing w:after="0" w:line="240" w:lineRule="auto"/>
        <w:rPr>
          <w:rFonts w:ascii="Times New Roman" w:hAnsi="Times New Roman" w:cs="Times New Roman"/>
          <w:lang w:val="de-DE"/>
        </w:rPr>
      </w:pPr>
    </w:p>
    <w:tbl>
      <w:tblPr>
        <w:tblW w:w="8784" w:type="dxa"/>
        <w:tblInd w:w="-8" w:type="dxa"/>
        <w:tblCellMar>
          <w:top w:w="51" w:type="dxa"/>
          <w:left w:w="58" w:type="dxa"/>
          <w:bottom w:w="5" w:type="dxa"/>
          <w:right w:w="17" w:type="dxa"/>
        </w:tblCellMar>
        <w:tblLook w:val="04A0" w:firstRow="1" w:lastRow="0" w:firstColumn="1" w:lastColumn="0" w:noHBand="0" w:noVBand="1"/>
      </w:tblPr>
      <w:tblGrid>
        <w:gridCol w:w="3034"/>
        <w:gridCol w:w="3056"/>
        <w:gridCol w:w="2694"/>
      </w:tblGrid>
      <w:tr w:rsidR="006A0CF5" w:rsidRPr="00B83674" w14:paraId="0BF62E0A" w14:textId="77777777" w:rsidTr="007A674F">
        <w:trPr>
          <w:trHeight w:val="20"/>
          <w:tblHeader/>
        </w:trPr>
        <w:tc>
          <w:tcPr>
            <w:tcW w:w="3034" w:type="dxa"/>
            <w:tcBorders>
              <w:top w:val="single" w:sz="6" w:space="0" w:color="000000"/>
              <w:left w:val="single" w:sz="6" w:space="0" w:color="000000"/>
              <w:bottom w:val="single" w:sz="6" w:space="0" w:color="000000"/>
              <w:right w:val="single" w:sz="6" w:space="0" w:color="000000"/>
            </w:tcBorders>
          </w:tcPr>
          <w:p w14:paraId="6D82D357" w14:textId="77777777" w:rsidR="006A0CF5" w:rsidRPr="00402720" w:rsidRDefault="006A0CF5" w:rsidP="007A674F">
            <w:pPr>
              <w:keepNext/>
              <w:spacing w:after="0" w:line="240" w:lineRule="auto"/>
              <w:jc w:val="center"/>
              <w:rPr>
                <w:rFonts w:ascii="Times New Roman" w:hAnsi="Times New Roman" w:cs="Times New Roman"/>
                <w:b/>
                <w:lang w:val="de-DE"/>
              </w:rPr>
            </w:pPr>
          </w:p>
        </w:tc>
        <w:tc>
          <w:tcPr>
            <w:tcW w:w="3056" w:type="dxa"/>
            <w:tcBorders>
              <w:top w:val="single" w:sz="6" w:space="0" w:color="000000"/>
              <w:left w:val="single" w:sz="6" w:space="0" w:color="000000"/>
              <w:bottom w:val="single" w:sz="6" w:space="0" w:color="000000"/>
              <w:right w:val="single" w:sz="6" w:space="0" w:color="000000"/>
            </w:tcBorders>
          </w:tcPr>
          <w:p w14:paraId="4EF2B022" w14:textId="77777777" w:rsidR="006A0CF5" w:rsidRPr="00402720" w:rsidRDefault="006A0CF5" w:rsidP="007A674F">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Arm 1</w:t>
            </w:r>
          </w:p>
          <w:p w14:paraId="4F5BE82F" w14:textId="77777777" w:rsidR="006A0CF5" w:rsidRPr="00402720" w:rsidRDefault="006A0CF5" w:rsidP="007A674F">
            <w:pPr>
              <w:keepNext/>
              <w:spacing w:after="0" w:line="240" w:lineRule="auto"/>
              <w:jc w:val="center"/>
              <w:rPr>
                <w:rFonts w:ascii="Times New Roman" w:hAnsi="Times New Roman" w:cs="Times New Roman"/>
                <w:b/>
                <w:lang w:val="de-DE"/>
              </w:rPr>
            </w:pPr>
          </w:p>
          <w:p w14:paraId="13E73921" w14:textId="77777777" w:rsidR="006A0CF5" w:rsidRPr="00402720" w:rsidRDefault="00BE4DF4" w:rsidP="007A674F">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Carboplatin/Paclitaxel</w:t>
            </w:r>
          </w:p>
        </w:tc>
        <w:tc>
          <w:tcPr>
            <w:tcW w:w="2694" w:type="dxa"/>
            <w:tcBorders>
              <w:top w:val="single" w:sz="6" w:space="0" w:color="000000"/>
              <w:left w:val="single" w:sz="6" w:space="0" w:color="000000"/>
              <w:bottom w:val="single" w:sz="6" w:space="0" w:color="000000"/>
              <w:right w:val="single" w:sz="6" w:space="0" w:color="000000"/>
            </w:tcBorders>
          </w:tcPr>
          <w:p w14:paraId="2887699A" w14:textId="77777777" w:rsidR="006A0CF5" w:rsidRPr="00402720" w:rsidRDefault="006A0CF5" w:rsidP="007A674F">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Arm 2</w:t>
            </w:r>
          </w:p>
          <w:p w14:paraId="6DEAFEC7" w14:textId="77777777" w:rsidR="006A0CF5" w:rsidRPr="00402720" w:rsidRDefault="006A0CF5" w:rsidP="007A674F">
            <w:pPr>
              <w:keepNext/>
              <w:spacing w:after="0" w:line="240" w:lineRule="auto"/>
              <w:jc w:val="center"/>
              <w:rPr>
                <w:rFonts w:ascii="Times New Roman" w:hAnsi="Times New Roman" w:cs="Times New Roman"/>
                <w:b/>
                <w:lang w:val="de-DE"/>
              </w:rPr>
            </w:pPr>
          </w:p>
          <w:p w14:paraId="6B3CFD38" w14:textId="77777777" w:rsidR="006A0CF5" w:rsidRPr="00402720" w:rsidRDefault="006A0CF5" w:rsidP="007A674F">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Carboplatin/Paclitaxel</w:t>
            </w:r>
          </w:p>
          <w:p w14:paraId="1DCB40F6" w14:textId="77777777" w:rsidR="00DC3274" w:rsidRPr="00402720" w:rsidRDefault="00DC3274" w:rsidP="007A674F">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 xml:space="preserve">+ </w:t>
            </w:r>
            <w:r w:rsidR="00A15C0A" w:rsidRPr="00402720">
              <w:rPr>
                <w:rFonts w:ascii="Times New Roman" w:hAnsi="Times New Roman" w:cs="Times New Roman"/>
                <w:b/>
                <w:lang w:val="de-DE"/>
              </w:rPr>
              <w:t>Bevacizumab</w:t>
            </w:r>
          </w:p>
          <w:p w14:paraId="1987DB56" w14:textId="13AE8616" w:rsidR="006A0CF5" w:rsidRPr="00402720" w:rsidRDefault="006A0CF5" w:rsidP="007A674F">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15</w:t>
            </w:r>
            <w:r w:rsidR="00AB26B9" w:rsidRPr="00402720">
              <w:rPr>
                <w:rFonts w:ascii="Times New Roman" w:hAnsi="Times New Roman" w:cs="Times New Roman"/>
                <w:b/>
                <w:lang w:val="de-DE"/>
              </w:rPr>
              <w:t> mg</w:t>
            </w:r>
            <w:r w:rsidR="00322E40" w:rsidRPr="00402720">
              <w:rPr>
                <w:rFonts w:ascii="Times New Roman" w:hAnsi="Times New Roman" w:cs="Times New Roman"/>
                <w:b/>
                <w:lang w:val="de-DE"/>
              </w:rPr>
              <w:t xml:space="preserve">/kg </w:t>
            </w:r>
            <w:r w:rsidRPr="00402720">
              <w:rPr>
                <w:rFonts w:ascii="Times New Roman" w:hAnsi="Times New Roman" w:cs="Times New Roman"/>
                <w:b/>
                <w:lang w:val="de-DE"/>
              </w:rPr>
              <w:t>alle 3</w:t>
            </w:r>
            <w:r w:rsidR="00D5199D">
              <w:rPr>
                <w:rFonts w:ascii="Times New Roman" w:hAnsi="Times New Roman" w:cs="Times New Roman"/>
                <w:b/>
                <w:lang w:val="de-DE"/>
              </w:rPr>
              <w:t> </w:t>
            </w:r>
            <w:r w:rsidRPr="00402720">
              <w:rPr>
                <w:rFonts w:ascii="Times New Roman" w:hAnsi="Times New Roman" w:cs="Times New Roman"/>
                <w:b/>
                <w:lang w:val="de-DE"/>
              </w:rPr>
              <w:t>Wochen</w:t>
            </w:r>
          </w:p>
        </w:tc>
      </w:tr>
      <w:tr w:rsidR="006A0CF5" w:rsidRPr="00402720" w14:paraId="203383E1" w14:textId="77777777" w:rsidTr="007A674F">
        <w:trPr>
          <w:trHeight w:val="20"/>
        </w:trPr>
        <w:tc>
          <w:tcPr>
            <w:tcW w:w="3034" w:type="dxa"/>
            <w:tcBorders>
              <w:top w:val="single" w:sz="6" w:space="0" w:color="000000"/>
              <w:left w:val="single" w:sz="6" w:space="0" w:color="000000"/>
              <w:bottom w:val="single" w:sz="6" w:space="0" w:color="000000"/>
              <w:right w:val="single" w:sz="6" w:space="0" w:color="000000"/>
            </w:tcBorders>
          </w:tcPr>
          <w:p w14:paraId="7E50E728" w14:textId="77777777" w:rsidR="006A0CF5" w:rsidRPr="00402720" w:rsidRDefault="006A0CF5" w:rsidP="006D1AE9">
            <w:pPr>
              <w:spacing w:after="0" w:line="240" w:lineRule="auto"/>
              <w:rPr>
                <w:rFonts w:ascii="Times New Roman" w:hAnsi="Times New Roman" w:cs="Times New Roman"/>
                <w:lang w:val="de-DE"/>
              </w:rPr>
            </w:pPr>
            <w:r w:rsidRPr="00402720">
              <w:rPr>
                <w:rFonts w:ascii="Times New Roman" w:hAnsi="Times New Roman" w:cs="Times New Roman"/>
                <w:lang w:val="de-DE"/>
              </w:rPr>
              <w:t>Anzahl Patienten</w:t>
            </w:r>
          </w:p>
        </w:tc>
        <w:tc>
          <w:tcPr>
            <w:tcW w:w="3056" w:type="dxa"/>
            <w:tcBorders>
              <w:top w:val="single" w:sz="6" w:space="0" w:color="000000"/>
              <w:left w:val="single" w:sz="6" w:space="0" w:color="000000"/>
              <w:bottom w:val="single" w:sz="6" w:space="0" w:color="000000"/>
              <w:right w:val="single" w:sz="6" w:space="0" w:color="000000"/>
            </w:tcBorders>
          </w:tcPr>
          <w:p w14:paraId="00C0EC36" w14:textId="77777777" w:rsidR="006A0CF5" w:rsidRPr="00402720" w:rsidRDefault="006A0CF5"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444</w:t>
            </w:r>
          </w:p>
        </w:tc>
        <w:tc>
          <w:tcPr>
            <w:tcW w:w="2694" w:type="dxa"/>
            <w:tcBorders>
              <w:top w:val="single" w:sz="6" w:space="0" w:color="000000"/>
              <w:left w:val="single" w:sz="6" w:space="0" w:color="000000"/>
              <w:bottom w:val="single" w:sz="6" w:space="0" w:color="000000"/>
              <w:right w:val="single" w:sz="6" w:space="0" w:color="000000"/>
            </w:tcBorders>
          </w:tcPr>
          <w:p w14:paraId="04327EB4" w14:textId="77777777" w:rsidR="006A0CF5" w:rsidRPr="00402720" w:rsidRDefault="006A0CF5"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434</w:t>
            </w:r>
          </w:p>
        </w:tc>
      </w:tr>
      <w:tr w:rsidR="006A0CF5" w:rsidRPr="00402720" w14:paraId="6DD29680" w14:textId="77777777" w:rsidTr="007A674F">
        <w:trPr>
          <w:trHeight w:val="20"/>
        </w:trPr>
        <w:tc>
          <w:tcPr>
            <w:tcW w:w="8784" w:type="dxa"/>
            <w:gridSpan w:val="3"/>
            <w:tcBorders>
              <w:top w:val="single" w:sz="6" w:space="0" w:color="000000"/>
              <w:left w:val="single" w:sz="6" w:space="0" w:color="000000"/>
              <w:bottom w:val="single" w:sz="4" w:space="0" w:color="000000"/>
              <w:right w:val="single" w:sz="6" w:space="0" w:color="000000"/>
            </w:tcBorders>
          </w:tcPr>
          <w:p w14:paraId="73570E75" w14:textId="77777777" w:rsidR="006A0CF5" w:rsidRPr="00402720" w:rsidRDefault="006A0CF5" w:rsidP="001B3701">
            <w:pPr>
              <w:spacing w:after="0" w:line="240" w:lineRule="auto"/>
              <w:ind w:firstLine="558"/>
              <w:rPr>
                <w:rFonts w:ascii="Times New Roman" w:hAnsi="Times New Roman" w:cs="Times New Roman"/>
                <w:lang w:val="de-DE"/>
              </w:rPr>
            </w:pPr>
            <w:r w:rsidRPr="00402720">
              <w:rPr>
                <w:rFonts w:ascii="Times New Roman" w:hAnsi="Times New Roman" w:cs="Times New Roman"/>
                <w:lang w:val="de-DE"/>
              </w:rPr>
              <w:t>Gesamtüberleben</w:t>
            </w:r>
          </w:p>
        </w:tc>
      </w:tr>
      <w:tr w:rsidR="006A0CF5" w:rsidRPr="00402720" w14:paraId="0A63268F" w14:textId="77777777" w:rsidTr="007A674F">
        <w:trPr>
          <w:trHeight w:val="20"/>
        </w:trPr>
        <w:tc>
          <w:tcPr>
            <w:tcW w:w="3034" w:type="dxa"/>
            <w:tcBorders>
              <w:top w:val="single" w:sz="4" w:space="0" w:color="000000"/>
              <w:left w:val="single" w:sz="6" w:space="0" w:color="000000"/>
              <w:bottom w:val="single" w:sz="4" w:space="0" w:color="000000"/>
              <w:right w:val="single" w:sz="6" w:space="0" w:color="000000"/>
            </w:tcBorders>
          </w:tcPr>
          <w:p w14:paraId="42E495A0" w14:textId="77777777" w:rsidR="006A0CF5" w:rsidRPr="00402720" w:rsidRDefault="006A0CF5" w:rsidP="006D1AE9">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 (Monate)</w:t>
            </w:r>
          </w:p>
        </w:tc>
        <w:tc>
          <w:tcPr>
            <w:tcW w:w="3056" w:type="dxa"/>
            <w:tcBorders>
              <w:top w:val="single" w:sz="4" w:space="0" w:color="000000"/>
              <w:left w:val="single" w:sz="6" w:space="0" w:color="000000"/>
              <w:bottom w:val="single" w:sz="4" w:space="0" w:color="000000"/>
              <w:right w:val="single" w:sz="6" w:space="0" w:color="000000"/>
            </w:tcBorders>
          </w:tcPr>
          <w:p w14:paraId="564CEEF8" w14:textId="77777777" w:rsidR="006A0CF5" w:rsidRPr="00402720" w:rsidRDefault="006A0CF5"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10,3</w:t>
            </w:r>
          </w:p>
        </w:tc>
        <w:tc>
          <w:tcPr>
            <w:tcW w:w="2694" w:type="dxa"/>
            <w:tcBorders>
              <w:top w:val="single" w:sz="4" w:space="0" w:color="000000"/>
              <w:left w:val="single" w:sz="6" w:space="0" w:color="000000"/>
              <w:bottom w:val="single" w:sz="4" w:space="0" w:color="000000"/>
              <w:right w:val="single" w:sz="6" w:space="0" w:color="000000"/>
            </w:tcBorders>
          </w:tcPr>
          <w:p w14:paraId="607883BF" w14:textId="77777777" w:rsidR="006A0CF5" w:rsidRPr="00402720" w:rsidRDefault="006A0CF5"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12,3</w:t>
            </w:r>
          </w:p>
        </w:tc>
      </w:tr>
      <w:tr w:rsidR="006A0CF5" w:rsidRPr="00402720" w14:paraId="42369803" w14:textId="77777777" w:rsidTr="007A674F">
        <w:trPr>
          <w:trHeight w:val="20"/>
        </w:trPr>
        <w:tc>
          <w:tcPr>
            <w:tcW w:w="3034" w:type="dxa"/>
            <w:tcBorders>
              <w:top w:val="single" w:sz="4" w:space="0" w:color="000000"/>
              <w:left w:val="single" w:sz="6" w:space="0" w:color="000000"/>
              <w:bottom w:val="single" w:sz="6" w:space="0" w:color="000000"/>
              <w:right w:val="single" w:sz="6" w:space="0" w:color="000000"/>
            </w:tcBorders>
          </w:tcPr>
          <w:p w14:paraId="18CAEC35" w14:textId="77777777" w:rsidR="006A0CF5" w:rsidRPr="00402720" w:rsidRDefault="00BE4DF4" w:rsidP="006D1AE9">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w:t>
            </w:r>
          </w:p>
        </w:tc>
        <w:tc>
          <w:tcPr>
            <w:tcW w:w="5750" w:type="dxa"/>
            <w:gridSpan w:val="2"/>
            <w:tcBorders>
              <w:top w:val="single" w:sz="4" w:space="0" w:color="000000"/>
              <w:left w:val="single" w:sz="6" w:space="0" w:color="000000"/>
              <w:bottom w:val="single" w:sz="6" w:space="0" w:color="000000"/>
              <w:right w:val="single" w:sz="6" w:space="0" w:color="000000"/>
            </w:tcBorders>
          </w:tcPr>
          <w:p w14:paraId="3BD45FD5" w14:textId="77777777" w:rsidR="006A0CF5" w:rsidRPr="00402720" w:rsidRDefault="006A0CF5"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0,80 (p = 0,003)</w:t>
            </w:r>
          </w:p>
          <w:p w14:paraId="5D6D3928" w14:textId="18E2AD91" w:rsidR="006A0CF5" w:rsidRPr="00402720" w:rsidRDefault="006A0CF5"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KI (0,69; 0,93)</w:t>
            </w:r>
          </w:p>
        </w:tc>
      </w:tr>
      <w:tr w:rsidR="006A0CF5" w:rsidRPr="00402720" w14:paraId="18F86BF1" w14:textId="77777777" w:rsidTr="007A674F">
        <w:trPr>
          <w:trHeight w:val="20"/>
        </w:trPr>
        <w:tc>
          <w:tcPr>
            <w:tcW w:w="8784" w:type="dxa"/>
            <w:gridSpan w:val="3"/>
            <w:tcBorders>
              <w:top w:val="single" w:sz="6" w:space="0" w:color="000000"/>
              <w:left w:val="single" w:sz="6" w:space="0" w:color="000000"/>
              <w:bottom w:val="single" w:sz="4" w:space="0" w:color="000000"/>
              <w:right w:val="single" w:sz="6" w:space="0" w:color="000000"/>
            </w:tcBorders>
          </w:tcPr>
          <w:p w14:paraId="437274D2" w14:textId="77777777" w:rsidR="006A0CF5" w:rsidRPr="00402720" w:rsidRDefault="006A0CF5" w:rsidP="006D1AE9">
            <w:pPr>
              <w:spacing w:after="0" w:line="240" w:lineRule="auto"/>
              <w:rPr>
                <w:rFonts w:ascii="Times New Roman" w:hAnsi="Times New Roman" w:cs="Times New Roman"/>
                <w:lang w:val="de-DE"/>
              </w:rPr>
            </w:pPr>
            <w:r w:rsidRPr="00402720">
              <w:rPr>
                <w:rFonts w:ascii="Times New Roman" w:hAnsi="Times New Roman" w:cs="Times New Roman"/>
                <w:lang w:val="de-DE"/>
              </w:rPr>
              <w:t>Progressionsfreies Überleben</w:t>
            </w:r>
          </w:p>
        </w:tc>
      </w:tr>
      <w:tr w:rsidR="006A0CF5" w:rsidRPr="00402720" w14:paraId="61E19C74" w14:textId="77777777" w:rsidTr="007A674F">
        <w:trPr>
          <w:trHeight w:val="20"/>
        </w:trPr>
        <w:tc>
          <w:tcPr>
            <w:tcW w:w="3034" w:type="dxa"/>
            <w:tcBorders>
              <w:top w:val="single" w:sz="4" w:space="0" w:color="000000"/>
              <w:left w:val="single" w:sz="6" w:space="0" w:color="000000"/>
              <w:bottom w:val="single" w:sz="4" w:space="0" w:color="000000"/>
              <w:right w:val="single" w:sz="6" w:space="0" w:color="000000"/>
            </w:tcBorders>
          </w:tcPr>
          <w:p w14:paraId="0D51B340" w14:textId="77777777" w:rsidR="006A0CF5" w:rsidRPr="00402720" w:rsidRDefault="006A0CF5" w:rsidP="006D1AE9">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 (Monate)</w:t>
            </w:r>
          </w:p>
        </w:tc>
        <w:tc>
          <w:tcPr>
            <w:tcW w:w="3056" w:type="dxa"/>
            <w:tcBorders>
              <w:top w:val="single" w:sz="4" w:space="0" w:color="000000"/>
              <w:left w:val="single" w:sz="6" w:space="0" w:color="000000"/>
              <w:bottom w:val="single" w:sz="4" w:space="0" w:color="000000"/>
              <w:right w:val="single" w:sz="6" w:space="0" w:color="000000"/>
            </w:tcBorders>
          </w:tcPr>
          <w:p w14:paraId="125668A8" w14:textId="77777777" w:rsidR="006A0CF5" w:rsidRPr="00402720" w:rsidRDefault="006A0CF5"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4,8</w:t>
            </w:r>
          </w:p>
        </w:tc>
        <w:tc>
          <w:tcPr>
            <w:tcW w:w="2694" w:type="dxa"/>
            <w:tcBorders>
              <w:top w:val="single" w:sz="4" w:space="0" w:color="000000"/>
              <w:left w:val="single" w:sz="6" w:space="0" w:color="000000"/>
              <w:bottom w:val="single" w:sz="4" w:space="0" w:color="000000"/>
              <w:right w:val="single" w:sz="6" w:space="0" w:color="000000"/>
            </w:tcBorders>
          </w:tcPr>
          <w:p w14:paraId="17F9B6AC" w14:textId="77777777" w:rsidR="006A0CF5" w:rsidRPr="00402720" w:rsidRDefault="006A0CF5"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6,4</w:t>
            </w:r>
          </w:p>
        </w:tc>
      </w:tr>
      <w:tr w:rsidR="006A0CF5" w:rsidRPr="00402720" w14:paraId="6517D2AC" w14:textId="77777777" w:rsidTr="007A674F">
        <w:trPr>
          <w:trHeight w:val="20"/>
        </w:trPr>
        <w:tc>
          <w:tcPr>
            <w:tcW w:w="3034" w:type="dxa"/>
            <w:tcBorders>
              <w:top w:val="single" w:sz="4" w:space="0" w:color="000000"/>
              <w:left w:val="single" w:sz="6" w:space="0" w:color="000000"/>
              <w:bottom w:val="single" w:sz="6" w:space="0" w:color="000000"/>
              <w:right w:val="single" w:sz="6" w:space="0" w:color="000000"/>
            </w:tcBorders>
          </w:tcPr>
          <w:p w14:paraId="273C0248" w14:textId="77777777" w:rsidR="006A0CF5" w:rsidRPr="00402720" w:rsidRDefault="00BE4DF4" w:rsidP="006D1AE9">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w:t>
            </w:r>
          </w:p>
        </w:tc>
        <w:tc>
          <w:tcPr>
            <w:tcW w:w="5750" w:type="dxa"/>
            <w:gridSpan w:val="2"/>
            <w:tcBorders>
              <w:top w:val="single" w:sz="4" w:space="0" w:color="000000"/>
              <w:left w:val="single" w:sz="6" w:space="0" w:color="000000"/>
              <w:bottom w:val="single" w:sz="6" w:space="0" w:color="000000"/>
              <w:right w:val="single" w:sz="6" w:space="0" w:color="000000"/>
            </w:tcBorders>
          </w:tcPr>
          <w:p w14:paraId="44304C76" w14:textId="77777777" w:rsidR="006A0CF5" w:rsidRPr="00402720" w:rsidRDefault="006A0CF5"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0,65 (p </w:t>
            </w:r>
            <w:r w:rsidR="00E32D5C" w:rsidRPr="00402720">
              <w:rPr>
                <w:rFonts w:ascii="Times New Roman" w:hAnsi="Times New Roman" w:cs="Times New Roman"/>
                <w:lang w:val="de-DE"/>
              </w:rPr>
              <w:t>&lt; </w:t>
            </w:r>
            <w:r w:rsidRPr="00402720">
              <w:rPr>
                <w:rFonts w:ascii="Times New Roman" w:hAnsi="Times New Roman" w:cs="Times New Roman"/>
                <w:lang w:val="de-DE"/>
              </w:rPr>
              <w:t>0,0001)</w:t>
            </w:r>
          </w:p>
          <w:p w14:paraId="0BF22F93" w14:textId="0C5035AD" w:rsidR="006A0CF5" w:rsidRPr="00402720" w:rsidRDefault="006A0CF5"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KI (0,56; 0,76)</w:t>
            </w:r>
          </w:p>
        </w:tc>
      </w:tr>
      <w:tr w:rsidR="006A0CF5" w:rsidRPr="00402720" w14:paraId="59FDC889" w14:textId="77777777" w:rsidTr="007A674F">
        <w:trPr>
          <w:trHeight w:val="20"/>
        </w:trPr>
        <w:tc>
          <w:tcPr>
            <w:tcW w:w="8784" w:type="dxa"/>
            <w:gridSpan w:val="3"/>
            <w:tcBorders>
              <w:top w:val="single" w:sz="6" w:space="0" w:color="000000"/>
              <w:left w:val="single" w:sz="6" w:space="0" w:color="000000"/>
              <w:bottom w:val="single" w:sz="4" w:space="0" w:color="000000"/>
              <w:right w:val="single" w:sz="6" w:space="0" w:color="000000"/>
            </w:tcBorders>
          </w:tcPr>
          <w:p w14:paraId="5DF9FA22" w14:textId="77777777" w:rsidR="006A0CF5" w:rsidRPr="00402720" w:rsidRDefault="006A0CF5" w:rsidP="00F5533C">
            <w:pPr>
              <w:spacing w:after="0" w:line="240" w:lineRule="auto"/>
              <w:rPr>
                <w:rFonts w:ascii="Times New Roman" w:hAnsi="Times New Roman" w:cs="Times New Roman"/>
                <w:lang w:val="de-DE"/>
              </w:rPr>
            </w:pPr>
            <w:r w:rsidRPr="00402720">
              <w:rPr>
                <w:rFonts w:ascii="Times New Roman" w:hAnsi="Times New Roman" w:cs="Times New Roman"/>
                <w:lang w:val="de-DE"/>
              </w:rPr>
              <w:t>Gesamtansprechrate</w:t>
            </w:r>
          </w:p>
        </w:tc>
      </w:tr>
      <w:tr w:rsidR="006A0CF5" w:rsidRPr="00402720" w14:paraId="6984DCF9" w14:textId="77777777" w:rsidTr="007A674F">
        <w:trPr>
          <w:trHeight w:val="20"/>
        </w:trPr>
        <w:tc>
          <w:tcPr>
            <w:tcW w:w="3034" w:type="dxa"/>
            <w:tcBorders>
              <w:top w:val="single" w:sz="4" w:space="0" w:color="000000"/>
              <w:left w:val="single" w:sz="6" w:space="0" w:color="000000"/>
              <w:bottom w:val="single" w:sz="6" w:space="0" w:color="000000"/>
              <w:right w:val="single" w:sz="6" w:space="0" w:color="000000"/>
            </w:tcBorders>
          </w:tcPr>
          <w:p w14:paraId="780315F8" w14:textId="77777777" w:rsidR="006A0CF5" w:rsidRPr="00402720" w:rsidRDefault="00BE4DF4" w:rsidP="006D1AE9">
            <w:pPr>
              <w:spacing w:after="0" w:line="240" w:lineRule="auto"/>
              <w:ind w:left="567"/>
              <w:rPr>
                <w:rFonts w:ascii="Times New Roman" w:hAnsi="Times New Roman" w:cs="Times New Roman"/>
                <w:lang w:val="de-DE"/>
              </w:rPr>
            </w:pPr>
            <w:r w:rsidRPr="00402720">
              <w:rPr>
                <w:rFonts w:ascii="Times New Roman" w:hAnsi="Times New Roman" w:cs="Times New Roman"/>
                <w:lang w:val="de-DE"/>
              </w:rPr>
              <w:t>Rate (</w:t>
            </w:r>
            <w:r w:rsidR="00322E40" w:rsidRPr="00402720">
              <w:rPr>
                <w:rFonts w:ascii="Times New Roman" w:hAnsi="Times New Roman" w:cs="Times New Roman"/>
                <w:lang w:val="de-DE"/>
              </w:rPr>
              <w:t>%</w:t>
            </w:r>
            <w:r w:rsidRPr="00402720">
              <w:rPr>
                <w:rFonts w:ascii="Times New Roman" w:hAnsi="Times New Roman" w:cs="Times New Roman"/>
                <w:lang w:val="de-DE"/>
              </w:rPr>
              <w:t>)</w:t>
            </w:r>
          </w:p>
        </w:tc>
        <w:tc>
          <w:tcPr>
            <w:tcW w:w="3056" w:type="dxa"/>
            <w:tcBorders>
              <w:top w:val="single" w:sz="4" w:space="0" w:color="000000"/>
              <w:left w:val="single" w:sz="6" w:space="0" w:color="000000"/>
              <w:bottom w:val="single" w:sz="6" w:space="0" w:color="000000"/>
              <w:right w:val="single" w:sz="6" w:space="0" w:color="000000"/>
            </w:tcBorders>
          </w:tcPr>
          <w:p w14:paraId="296EC202" w14:textId="77777777" w:rsidR="006A0CF5" w:rsidRPr="00402720" w:rsidRDefault="006A0CF5"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12,9</w:t>
            </w:r>
          </w:p>
        </w:tc>
        <w:tc>
          <w:tcPr>
            <w:tcW w:w="2694" w:type="dxa"/>
            <w:tcBorders>
              <w:top w:val="single" w:sz="4" w:space="0" w:color="000000"/>
              <w:left w:val="single" w:sz="6" w:space="0" w:color="000000"/>
              <w:bottom w:val="single" w:sz="6" w:space="0" w:color="000000"/>
              <w:right w:val="single" w:sz="6" w:space="0" w:color="000000"/>
            </w:tcBorders>
          </w:tcPr>
          <w:p w14:paraId="19158465" w14:textId="77777777" w:rsidR="006A0CF5" w:rsidRPr="00402720" w:rsidRDefault="006A0CF5"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29,0 (p </w:t>
            </w:r>
            <w:r w:rsidR="00E32D5C" w:rsidRPr="00402720">
              <w:rPr>
                <w:rFonts w:ascii="Times New Roman" w:hAnsi="Times New Roman" w:cs="Times New Roman"/>
                <w:lang w:val="de-DE"/>
              </w:rPr>
              <w:t>&lt; </w:t>
            </w:r>
            <w:r w:rsidRPr="00402720">
              <w:rPr>
                <w:rFonts w:ascii="Times New Roman" w:hAnsi="Times New Roman" w:cs="Times New Roman"/>
                <w:lang w:val="de-DE"/>
              </w:rPr>
              <w:t>0,0001)</w:t>
            </w:r>
          </w:p>
        </w:tc>
      </w:tr>
    </w:tbl>
    <w:p w14:paraId="291E24D5" w14:textId="77777777" w:rsidR="00962F01" w:rsidRPr="009737B5" w:rsidRDefault="00962F01" w:rsidP="005F4D08">
      <w:pPr>
        <w:suppressAutoHyphens/>
        <w:spacing w:after="0" w:line="240" w:lineRule="auto"/>
        <w:rPr>
          <w:rFonts w:ascii="Times New Roman" w:hAnsi="Times New Roman" w:cs="Times New Roman"/>
          <w:lang w:val="de-DE"/>
        </w:rPr>
      </w:pPr>
    </w:p>
    <w:p w14:paraId="0477DA32"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In einer explorativen Analyse war das Ausmaß des Vorteils von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beim Gesamtüberleben in der Untergruppe der Patienten ohne Adenokarzinom-Histologie weniger ausgeprägt.</w:t>
      </w:r>
    </w:p>
    <w:p w14:paraId="04FA6957" w14:textId="77777777" w:rsidR="00010E8C" w:rsidRPr="009737B5" w:rsidRDefault="00010E8C" w:rsidP="005F4D08">
      <w:pPr>
        <w:suppressAutoHyphens/>
        <w:spacing w:after="0" w:line="240" w:lineRule="auto"/>
        <w:rPr>
          <w:rFonts w:ascii="Times New Roman" w:hAnsi="Times New Roman" w:cs="Times New Roman"/>
          <w:lang w:val="de-DE"/>
        </w:rPr>
      </w:pPr>
    </w:p>
    <w:p w14:paraId="15A7D26D" w14:textId="77777777" w:rsidR="00010E8C" w:rsidRPr="009737B5" w:rsidRDefault="00010E8C" w:rsidP="006D1AE9">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BO17704</w:t>
      </w:r>
    </w:p>
    <w:p w14:paraId="62404C54" w14:textId="218E983B"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Studie BO17704 war eine randomisierte, doppelblinde Phase</w:t>
      </w:r>
      <w:r w:rsidR="00E244D1">
        <w:rPr>
          <w:rFonts w:ascii="Times New Roman" w:hAnsi="Times New Roman" w:cs="Times New Roman"/>
          <w:lang w:val="de-DE"/>
        </w:rPr>
        <w:t> </w:t>
      </w:r>
      <w:r w:rsidRPr="009737B5">
        <w:rPr>
          <w:rFonts w:ascii="Times New Roman" w:hAnsi="Times New Roman" w:cs="Times New Roman"/>
          <w:lang w:val="de-DE"/>
        </w:rPr>
        <w:t xml:space="preserve">III-Studie mit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zusätzlich zu Cisplatin und Gemcitabin gegenüber Placebo, Cisplatin und Gemcitabin bei Patienten mit lokal fortgeschrittenem (Stadium</w:t>
      </w:r>
      <w:r w:rsidR="00E244D1">
        <w:rPr>
          <w:rFonts w:ascii="Times New Roman" w:hAnsi="Times New Roman" w:cs="Times New Roman"/>
          <w:lang w:val="de-DE"/>
        </w:rPr>
        <w:t> </w:t>
      </w:r>
      <w:r w:rsidR="00033DAC" w:rsidRPr="009737B5">
        <w:rPr>
          <w:rFonts w:ascii="Times New Roman" w:hAnsi="Times New Roman" w:cs="Times New Roman"/>
          <w:lang w:val="de-DE"/>
        </w:rPr>
        <w:t xml:space="preserve">IIIB </w:t>
      </w:r>
      <w:r w:rsidRPr="009737B5">
        <w:rPr>
          <w:rFonts w:ascii="Times New Roman" w:hAnsi="Times New Roman" w:cs="Times New Roman"/>
          <w:lang w:val="de-DE"/>
        </w:rPr>
        <w:t>mit supraklavikulären Lymphknotenmetastasen oder mit malignem Pleura- oder Perikarderguss), metastasiertem oder rezidivierendem nicht-kleinzelligem</w:t>
      </w:r>
      <w:r w:rsidR="00962F01" w:rsidRPr="009737B5">
        <w:rPr>
          <w:rFonts w:ascii="Times New Roman" w:hAnsi="Times New Roman" w:cs="Times New Roman"/>
          <w:lang w:val="de-DE"/>
        </w:rPr>
        <w:t xml:space="preserve"> </w:t>
      </w:r>
      <w:r w:rsidRPr="009737B5">
        <w:rPr>
          <w:rFonts w:ascii="Times New Roman" w:hAnsi="Times New Roman" w:cs="Times New Roman"/>
          <w:lang w:val="de-DE"/>
        </w:rPr>
        <w:t xml:space="preserve">Bronchialkarzinom ohne Plattenepithel-Histologie, die noch keine vorhergehende Chemotherapie </w:t>
      </w:r>
      <w:r w:rsidRPr="009737B5">
        <w:rPr>
          <w:rFonts w:ascii="Times New Roman" w:hAnsi="Times New Roman" w:cs="Times New Roman"/>
          <w:lang w:val="de-DE"/>
        </w:rPr>
        <w:lastRenderedPageBreak/>
        <w:t>erhalten haben. Der primäre Studienendpunkt war das progressionsfreie Überleben. Die sekundären Studienendpunkte beinhalteten die Dauer des Gesamtüberlebens.</w:t>
      </w:r>
    </w:p>
    <w:p w14:paraId="57BD1D36" w14:textId="77777777" w:rsidR="00010E8C" w:rsidRPr="009737B5" w:rsidRDefault="00010E8C" w:rsidP="005F4D08">
      <w:pPr>
        <w:suppressAutoHyphens/>
        <w:spacing w:after="0" w:line="240" w:lineRule="auto"/>
        <w:rPr>
          <w:rFonts w:ascii="Times New Roman" w:hAnsi="Times New Roman" w:cs="Times New Roman"/>
          <w:lang w:val="de-DE"/>
        </w:rPr>
      </w:pPr>
    </w:p>
    <w:p w14:paraId="0D1693A3" w14:textId="04B2F519"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Patienten wurden randomisiert einer platinhaltigen Chemotherapie (Cisplatin 80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als intravenöse Infusion am Tag</w:t>
      </w:r>
      <w:r w:rsidR="00E244D1">
        <w:rPr>
          <w:rFonts w:ascii="Times New Roman" w:hAnsi="Times New Roman" w:cs="Times New Roman"/>
          <w:lang w:val="de-DE"/>
        </w:rPr>
        <w:t> </w:t>
      </w:r>
      <w:r w:rsidRPr="009737B5">
        <w:rPr>
          <w:rFonts w:ascii="Times New Roman" w:hAnsi="Times New Roman" w:cs="Times New Roman"/>
          <w:lang w:val="de-DE"/>
        </w:rPr>
        <w:t>1 und Gemcitabin 1</w:t>
      </w:r>
      <w:r w:rsidR="00CA2B95">
        <w:rPr>
          <w:rFonts w:ascii="Times New Roman" w:hAnsi="Times New Roman" w:cs="Times New Roman"/>
          <w:lang w:val="de-DE"/>
        </w:rPr>
        <w:t> </w:t>
      </w:r>
      <w:r w:rsidRPr="009737B5">
        <w:rPr>
          <w:rFonts w:ascii="Times New Roman" w:hAnsi="Times New Roman" w:cs="Times New Roman"/>
          <w:lang w:val="de-DE"/>
        </w:rPr>
        <w:t>250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als intravenöse Infusion an den Tagen</w:t>
      </w:r>
      <w:r w:rsidR="00E244D1">
        <w:rPr>
          <w:rFonts w:ascii="Times New Roman" w:hAnsi="Times New Roman" w:cs="Times New Roman"/>
          <w:lang w:val="de-DE"/>
        </w:rPr>
        <w:t> </w:t>
      </w:r>
      <w:r w:rsidRPr="009737B5">
        <w:rPr>
          <w:rFonts w:ascii="Times New Roman" w:hAnsi="Times New Roman" w:cs="Times New Roman"/>
          <w:lang w:val="de-DE"/>
        </w:rPr>
        <w:t>1 und</w:t>
      </w:r>
      <w:r w:rsidR="00E244D1">
        <w:rPr>
          <w:rFonts w:ascii="Times New Roman" w:hAnsi="Times New Roman" w:cs="Times New Roman"/>
          <w:lang w:val="de-DE"/>
        </w:rPr>
        <w:t> </w:t>
      </w:r>
      <w:r w:rsidRPr="009737B5">
        <w:rPr>
          <w:rFonts w:ascii="Times New Roman" w:hAnsi="Times New Roman" w:cs="Times New Roman"/>
          <w:lang w:val="de-DE"/>
        </w:rPr>
        <w:t>8 eines 3-wöchigen Zyklus über bis zu 6</w:t>
      </w:r>
      <w:r w:rsidR="00E244D1">
        <w:rPr>
          <w:rFonts w:ascii="Times New Roman" w:hAnsi="Times New Roman" w:cs="Times New Roman"/>
          <w:lang w:val="de-DE"/>
        </w:rPr>
        <w:t> </w:t>
      </w:r>
      <w:r w:rsidRPr="009737B5">
        <w:rPr>
          <w:rFonts w:ascii="Times New Roman" w:hAnsi="Times New Roman" w:cs="Times New Roman"/>
          <w:lang w:val="de-DE"/>
        </w:rPr>
        <w:t xml:space="preserve">Zyklen [CG]) in Kombination mit Placebo oder CG in Kombination mit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in einer Dosierung von 7,5</w:t>
      </w:r>
      <w:r w:rsidR="00AB26B9" w:rsidRPr="009737B5">
        <w:rPr>
          <w:rFonts w:ascii="Times New Roman" w:hAnsi="Times New Roman" w:cs="Times New Roman"/>
          <w:lang w:val="de-DE"/>
        </w:rPr>
        <w:t> mg</w:t>
      </w:r>
      <w:r w:rsidRPr="009737B5">
        <w:rPr>
          <w:rFonts w:ascii="Times New Roman" w:hAnsi="Times New Roman" w:cs="Times New Roman"/>
          <w:lang w:val="de-DE"/>
        </w:rPr>
        <w:t>/kg oder 15</w:t>
      </w:r>
      <w:r w:rsidR="00AB26B9" w:rsidRPr="009737B5">
        <w:rPr>
          <w:rFonts w:ascii="Times New Roman" w:hAnsi="Times New Roman" w:cs="Times New Roman"/>
          <w:lang w:val="de-DE"/>
        </w:rPr>
        <w:t> mg</w:t>
      </w:r>
      <w:r w:rsidRPr="009737B5">
        <w:rPr>
          <w:rFonts w:ascii="Times New Roman" w:hAnsi="Times New Roman" w:cs="Times New Roman"/>
          <w:lang w:val="de-DE"/>
        </w:rPr>
        <w:t>/kg als i.v. Infusion am Tag</w:t>
      </w:r>
      <w:r w:rsidR="00E244D1">
        <w:rPr>
          <w:rFonts w:ascii="Times New Roman" w:hAnsi="Times New Roman" w:cs="Times New Roman"/>
          <w:lang w:val="de-DE"/>
        </w:rPr>
        <w:t> </w:t>
      </w:r>
      <w:r w:rsidRPr="009737B5">
        <w:rPr>
          <w:rFonts w:ascii="Times New Roman" w:hAnsi="Times New Roman" w:cs="Times New Roman"/>
          <w:lang w:val="de-DE"/>
        </w:rPr>
        <w:t xml:space="preserve">1 eines 3-wöchigen Zyklus zugeteilt. In den Studienarmen, die eine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Behandlung beinhalteten, konnten die Patienten nach Abschluss der Chemotherapie weiterhin </w:t>
      </w:r>
      <w:r w:rsidR="00A15C0A" w:rsidRPr="009737B5">
        <w:rPr>
          <w:rFonts w:ascii="Times New Roman" w:hAnsi="Times New Roman" w:cs="Times New Roman"/>
          <w:lang w:val="de-DE"/>
        </w:rPr>
        <w:t>Bevacizumab</w:t>
      </w:r>
      <w:r w:rsidRPr="009737B5">
        <w:rPr>
          <w:rFonts w:ascii="Times New Roman" w:hAnsi="Times New Roman" w:cs="Times New Roman"/>
          <w:lang w:val="de-DE"/>
        </w:rPr>
        <w:t xml:space="preserve"> alle 3</w:t>
      </w:r>
      <w:r w:rsidR="00E244D1">
        <w:rPr>
          <w:rFonts w:ascii="Times New Roman" w:hAnsi="Times New Roman" w:cs="Times New Roman"/>
          <w:lang w:val="de-DE"/>
        </w:rPr>
        <w:t> </w:t>
      </w:r>
      <w:r w:rsidRPr="009737B5">
        <w:rPr>
          <w:rFonts w:ascii="Times New Roman" w:hAnsi="Times New Roman" w:cs="Times New Roman"/>
          <w:lang w:val="de-DE"/>
        </w:rPr>
        <w:t>Wochen als Monotherapie erhalten bis zum Fortschreiten der Erkrankung oder bis zum Auftreten nicht mehr tolerierbarer Nebenwirkungen. Die Studienergebnisse zeigen, dass 94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(277/296) der auswertbaren Patienten die Bevacizumab-Monotherapie bei Zyklus</w:t>
      </w:r>
      <w:r w:rsidR="00E244D1">
        <w:rPr>
          <w:rFonts w:ascii="Times New Roman" w:hAnsi="Times New Roman" w:cs="Times New Roman"/>
          <w:lang w:val="de-DE"/>
        </w:rPr>
        <w:t> </w:t>
      </w:r>
      <w:r w:rsidRPr="009737B5">
        <w:rPr>
          <w:rFonts w:ascii="Times New Roman" w:hAnsi="Times New Roman" w:cs="Times New Roman"/>
          <w:lang w:val="de-DE"/>
        </w:rPr>
        <w:t>7 fortsetzten. Ein großer Teil der Patienten (ca. 62</w:t>
      </w:r>
      <w:r w:rsidR="00322E40" w:rsidRPr="009737B5">
        <w:rPr>
          <w:rFonts w:ascii="Times New Roman" w:hAnsi="Times New Roman" w:cs="Times New Roman"/>
          <w:lang w:val="de-DE"/>
        </w:rPr>
        <w:t> %</w:t>
      </w:r>
      <w:r w:rsidRPr="009737B5">
        <w:rPr>
          <w:rFonts w:ascii="Times New Roman" w:hAnsi="Times New Roman" w:cs="Times New Roman"/>
          <w:lang w:val="de-DE"/>
        </w:rPr>
        <w:t>) erhielt nachfolgend verschiedene, nicht</w:t>
      </w:r>
      <w:r w:rsidR="001B3701" w:rsidRPr="009737B5">
        <w:rPr>
          <w:rFonts w:ascii="Times New Roman" w:hAnsi="Times New Roman" w:cs="Times New Roman"/>
          <w:lang w:val="de-DE"/>
        </w:rPr>
        <w:t>-</w:t>
      </w:r>
      <w:r w:rsidRPr="009737B5">
        <w:rPr>
          <w:rFonts w:ascii="Times New Roman" w:hAnsi="Times New Roman" w:cs="Times New Roman"/>
          <w:lang w:val="de-DE"/>
        </w:rPr>
        <w:t>protokollspezifizierte Antitumortherapien, die einen Einfluss auf die Auswertung des Gesamtüberlebens gehabt haben können.</w:t>
      </w:r>
    </w:p>
    <w:p w14:paraId="362A80B9" w14:textId="77777777" w:rsidR="00010E8C" w:rsidRPr="009737B5" w:rsidRDefault="00010E8C" w:rsidP="005F4D08">
      <w:pPr>
        <w:suppressAutoHyphens/>
        <w:spacing w:after="0" w:line="240" w:lineRule="auto"/>
        <w:rPr>
          <w:rFonts w:ascii="Times New Roman" w:hAnsi="Times New Roman" w:cs="Times New Roman"/>
          <w:lang w:val="de-DE"/>
        </w:rPr>
      </w:pPr>
    </w:p>
    <w:p w14:paraId="17990F01" w14:textId="4DCD8C00"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Wirksamkeitsergebnisse werden in Tabelle</w:t>
      </w:r>
      <w:r w:rsidR="000E4AA1">
        <w:rPr>
          <w:rFonts w:ascii="Times New Roman" w:hAnsi="Times New Roman" w:cs="Times New Roman"/>
          <w:lang w:val="de-DE"/>
        </w:rPr>
        <w:t> </w:t>
      </w:r>
      <w:r w:rsidR="00A93A12" w:rsidRPr="009737B5">
        <w:rPr>
          <w:rFonts w:ascii="Times New Roman" w:hAnsi="Times New Roman" w:cs="Times New Roman"/>
          <w:lang w:val="de-DE"/>
        </w:rPr>
        <w:t>1</w:t>
      </w:r>
      <w:r w:rsidR="00A93A12">
        <w:rPr>
          <w:rFonts w:ascii="Times New Roman" w:hAnsi="Times New Roman" w:cs="Times New Roman"/>
          <w:lang w:val="de-DE"/>
        </w:rPr>
        <w:t>3</w:t>
      </w:r>
      <w:r w:rsidR="00A93A12" w:rsidRPr="009737B5">
        <w:rPr>
          <w:rFonts w:ascii="Times New Roman" w:hAnsi="Times New Roman" w:cs="Times New Roman"/>
          <w:lang w:val="de-DE"/>
        </w:rPr>
        <w:t xml:space="preserve"> </w:t>
      </w:r>
      <w:r w:rsidRPr="009737B5">
        <w:rPr>
          <w:rFonts w:ascii="Times New Roman" w:hAnsi="Times New Roman" w:cs="Times New Roman"/>
          <w:lang w:val="de-DE"/>
        </w:rPr>
        <w:t>dargestellt.</w:t>
      </w:r>
    </w:p>
    <w:p w14:paraId="65E14C03" w14:textId="77777777" w:rsidR="00010E8C" w:rsidRPr="009737B5" w:rsidRDefault="00010E8C" w:rsidP="005F4D08">
      <w:pPr>
        <w:suppressAutoHyphens/>
        <w:spacing w:after="0" w:line="240" w:lineRule="auto"/>
        <w:rPr>
          <w:rFonts w:ascii="Times New Roman" w:hAnsi="Times New Roman" w:cs="Times New Roman"/>
          <w:lang w:val="de-DE"/>
        </w:rPr>
      </w:pPr>
    </w:p>
    <w:p w14:paraId="0F2E0734" w14:textId="130B0B60" w:rsidR="00010E8C" w:rsidRPr="009737B5" w:rsidRDefault="006D1AE9" w:rsidP="006D1AE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0E4AA1">
        <w:rPr>
          <w:rFonts w:ascii="Times New Roman" w:hAnsi="Times New Roman" w:cs="Times New Roman"/>
          <w:b/>
          <w:lang w:val="de-DE"/>
        </w:rPr>
        <w:t> </w:t>
      </w:r>
      <w:r w:rsidR="007F77FC" w:rsidRPr="009737B5">
        <w:rPr>
          <w:rFonts w:ascii="Times New Roman" w:hAnsi="Times New Roman" w:cs="Times New Roman"/>
          <w:b/>
          <w:lang w:val="de-DE"/>
        </w:rPr>
        <w:t>1</w:t>
      </w:r>
      <w:r w:rsidR="007F77FC">
        <w:rPr>
          <w:rFonts w:ascii="Times New Roman" w:hAnsi="Times New Roman" w:cs="Times New Roman"/>
          <w:b/>
          <w:lang w:val="de-DE"/>
        </w:rPr>
        <w:t>3</w:t>
      </w:r>
      <w:r w:rsidRPr="009737B5">
        <w:rPr>
          <w:rFonts w:ascii="Times New Roman" w:hAnsi="Times New Roman" w:cs="Times New Roman"/>
          <w:b/>
          <w:lang w:val="de-DE"/>
        </w:rPr>
        <w:t>.</w:t>
      </w:r>
      <w:r w:rsidR="00010E8C" w:rsidRPr="009737B5">
        <w:rPr>
          <w:rFonts w:ascii="Times New Roman" w:hAnsi="Times New Roman" w:cs="Times New Roman"/>
          <w:b/>
          <w:lang w:val="de-DE"/>
        </w:rPr>
        <w:t xml:space="preserve"> Wirksamkeitsergebnisse der Studie</w:t>
      </w:r>
      <w:r w:rsidR="00E244D1">
        <w:rPr>
          <w:rFonts w:ascii="Times New Roman" w:hAnsi="Times New Roman" w:cs="Times New Roman"/>
          <w:b/>
          <w:lang w:val="de-DE"/>
        </w:rPr>
        <w:t> </w:t>
      </w:r>
      <w:r w:rsidR="00010E8C" w:rsidRPr="009737B5">
        <w:rPr>
          <w:rFonts w:ascii="Times New Roman" w:hAnsi="Times New Roman" w:cs="Times New Roman"/>
          <w:b/>
          <w:lang w:val="de-DE"/>
        </w:rPr>
        <w:t>BO17704</w:t>
      </w:r>
    </w:p>
    <w:p w14:paraId="73D70FE2" w14:textId="77777777" w:rsidR="00010E8C" w:rsidRPr="009737B5" w:rsidRDefault="00010E8C" w:rsidP="006D1AE9">
      <w:pPr>
        <w:keepNext/>
        <w:suppressAutoHyphens/>
        <w:spacing w:after="0" w:line="240" w:lineRule="auto"/>
        <w:rPr>
          <w:rFonts w:ascii="Times New Roman" w:hAnsi="Times New Roman" w:cs="Times New Roman"/>
          <w:lang w:val="de-DE"/>
        </w:rPr>
      </w:pPr>
    </w:p>
    <w:tbl>
      <w:tblPr>
        <w:tblW w:w="9072" w:type="dxa"/>
        <w:tblInd w:w="-5" w:type="dxa"/>
        <w:tblCellMar>
          <w:top w:w="27" w:type="dxa"/>
          <w:left w:w="58" w:type="dxa"/>
          <w:bottom w:w="7" w:type="dxa"/>
          <w:right w:w="53" w:type="dxa"/>
        </w:tblCellMar>
        <w:tblLook w:val="04A0" w:firstRow="1" w:lastRow="0" w:firstColumn="1" w:lastColumn="0" w:noHBand="0" w:noVBand="1"/>
      </w:tblPr>
      <w:tblGrid>
        <w:gridCol w:w="2184"/>
        <w:gridCol w:w="2114"/>
        <w:gridCol w:w="2347"/>
        <w:gridCol w:w="2427"/>
      </w:tblGrid>
      <w:tr w:rsidR="00962F01" w:rsidRPr="00DA11F8" w14:paraId="41F9E1DC" w14:textId="77777777" w:rsidTr="00477A77">
        <w:trPr>
          <w:trHeight w:val="20"/>
          <w:tblHeader/>
        </w:trPr>
        <w:tc>
          <w:tcPr>
            <w:tcW w:w="2184" w:type="dxa"/>
            <w:tcBorders>
              <w:top w:val="single" w:sz="4" w:space="0" w:color="000000"/>
              <w:left w:val="single" w:sz="4" w:space="0" w:color="000000"/>
              <w:bottom w:val="single" w:sz="4" w:space="0" w:color="000000"/>
              <w:right w:val="single" w:sz="4" w:space="0" w:color="000000"/>
            </w:tcBorders>
          </w:tcPr>
          <w:p w14:paraId="1C894192" w14:textId="77777777" w:rsidR="00962F01" w:rsidRPr="00402720" w:rsidRDefault="00962F01" w:rsidP="0093659D">
            <w:pPr>
              <w:keepNext/>
              <w:spacing w:after="0" w:line="240" w:lineRule="auto"/>
              <w:jc w:val="center"/>
              <w:rPr>
                <w:rFonts w:ascii="Times New Roman" w:hAnsi="Times New Roman" w:cs="Times New Roman"/>
                <w:b/>
                <w:lang w:val="de-DE"/>
              </w:rPr>
            </w:pPr>
          </w:p>
        </w:tc>
        <w:tc>
          <w:tcPr>
            <w:tcW w:w="2114" w:type="dxa"/>
            <w:tcBorders>
              <w:top w:val="single" w:sz="4" w:space="0" w:color="000000"/>
              <w:left w:val="single" w:sz="4" w:space="0" w:color="000000"/>
              <w:bottom w:val="single" w:sz="4" w:space="0" w:color="000000"/>
              <w:right w:val="single" w:sz="4" w:space="0" w:color="000000"/>
            </w:tcBorders>
          </w:tcPr>
          <w:p w14:paraId="58A54A3D" w14:textId="77777777" w:rsidR="00962F01" w:rsidRPr="00402720" w:rsidRDefault="00962F01" w:rsidP="0093659D">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Cisplatin/</w:t>
            </w:r>
          </w:p>
          <w:p w14:paraId="581DFBF2" w14:textId="77777777" w:rsidR="00962F01" w:rsidRPr="00402720" w:rsidRDefault="00962F01" w:rsidP="0093659D">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Gemcitabin</w:t>
            </w:r>
          </w:p>
          <w:p w14:paraId="11576170" w14:textId="77777777" w:rsidR="00962F01" w:rsidRPr="00402720" w:rsidRDefault="00962F01" w:rsidP="0093659D">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 Placebo</w:t>
            </w:r>
          </w:p>
        </w:tc>
        <w:tc>
          <w:tcPr>
            <w:tcW w:w="2347" w:type="dxa"/>
            <w:tcBorders>
              <w:top w:val="single" w:sz="4" w:space="0" w:color="000000"/>
              <w:left w:val="single" w:sz="4" w:space="0" w:color="000000"/>
              <w:bottom w:val="single" w:sz="4" w:space="0" w:color="000000"/>
              <w:right w:val="single" w:sz="4" w:space="0" w:color="000000"/>
            </w:tcBorders>
          </w:tcPr>
          <w:p w14:paraId="6041B617" w14:textId="77777777" w:rsidR="00962F01" w:rsidRPr="00402720" w:rsidRDefault="00962F01" w:rsidP="0093659D">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Cisplatin/Gemcitabin</w:t>
            </w:r>
          </w:p>
          <w:p w14:paraId="53F3773B" w14:textId="29C01FFE" w:rsidR="00962F01" w:rsidRPr="00402720" w:rsidRDefault="00962F01" w:rsidP="0093659D">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 xml:space="preserve">+ </w:t>
            </w:r>
            <w:r w:rsidR="00A15C0A" w:rsidRPr="00402720">
              <w:rPr>
                <w:rFonts w:ascii="Times New Roman" w:hAnsi="Times New Roman" w:cs="Times New Roman"/>
                <w:b/>
                <w:lang w:val="de-DE"/>
              </w:rPr>
              <w:t>Bevacizumab</w:t>
            </w:r>
            <w:r w:rsidRPr="00402720">
              <w:rPr>
                <w:rFonts w:ascii="Times New Roman" w:hAnsi="Times New Roman" w:cs="Times New Roman"/>
                <w:b/>
                <w:lang w:val="de-DE"/>
              </w:rPr>
              <w:t xml:space="preserve"> 7,5</w:t>
            </w:r>
            <w:r w:rsidR="00AB26B9" w:rsidRPr="00402720">
              <w:rPr>
                <w:rFonts w:ascii="Times New Roman" w:hAnsi="Times New Roman" w:cs="Times New Roman"/>
                <w:b/>
                <w:lang w:val="de-DE"/>
              </w:rPr>
              <w:t> mg</w:t>
            </w:r>
            <w:r w:rsidRPr="00402720">
              <w:rPr>
                <w:rFonts w:ascii="Times New Roman" w:hAnsi="Times New Roman" w:cs="Times New Roman"/>
                <w:b/>
                <w:lang w:val="de-DE"/>
              </w:rPr>
              <w:t>/kg alle 3</w:t>
            </w:r>
            <w:r w:rsidR="00D5199D">
              <w:rPr>
                <w:rFonts w:ascii="Times New Roman" w:hAnsi="Times New Roman" w:cs="Times New Roman"/>
                <w:b/>
                <w:lang w:val="de-DE"/>
              </w:rPr>
              <w:t> </w:t>
            </w:r>
            <w:r w:rsidRPr="00402720">
              <w:rPr>
                <w:rFonts w:ascii="Times New Roman" w:hAnsi="Times New Roman" w:cs="Times New Roman"/>
                <w:b/>
                <w:lang w:val="de-DE"/>
              </w:rPr>
              <w:t>Wochen</w:t>
            </w:r>
          </w:p>
        </w:tc>
        <w:tc>
          <w:tcPr>
            <w:tcW w:w="2427" w:type="dxa"/>
            <w:tcBorders>
              <w:top w:val="single" w:sz="4" w:space="0" w:color="000000"/>
              <w:left w:val="single" w:sz="4" w:space="0" w:color="000000"/>
              <w:bottom w:val="single" w:sz="4" w:space="0" w:color="000000"/>
              <w:right w:val="single" w:sz="4" w:space="0" w:color="000000"/>
            </w:tcBorders>
          </w:tcPr>
          <w:p w14:paraId="3E31FB55" w14:textId="77777777" w:rsidR="00962F01" w:rsidRPr="00402720" w:rsidRDefault="00962F01" w:rsidP="0093659D">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Cisplatin/Gemcitabin</w:t>
            </w:r>
          </w:p>
          <w:p w14:paraId="1E83D11C" w14:textId="4A981D01" w:rsidR="00962F01" w:rsidRPr="00402720" w:rsidRDefault="00962F01" w:rsidP="0093659D">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 xml:space="preserve">+ </w:t>
            </w:r>
            <w:r w:rsidR="00A15C0A" w:rsidRPr="00402720">
              <w:rPr>
                <w:rFonts w:ascii="Times New Roman" w:hAnsi="Times New Roman" w:cs="Times New Roman"/>
                <w:b/>
                <w:lang w:val="de-DE"/>
              </w:rPr>
              <w:t>Bevacizumab</w:t>
            </w:r>
            <w:r w:rsidRPr="00402720">
              <w:rPr>
                <w:rFonts w:ascii="Times New Roman" w:hAnsi="Times New Roman" w:cs="Times New Roman"/>
                <w:b/>
                <w:lang w:val="de-DE"/>
              </w:rPr>
              <w:t xml:space="preserve"> 15</w:t>
            </w:r>
            <w:r w:rsidR="00AB26B9" w:rsidRPr="00402720">
              <w:rPr>
                <w:rFonts w:ascii="Times New Roman" w:hAnsi="Times New Roman" w:cs="Times New Roman"/>
                <w:b/>
                <w:lang w:val="de-DE"/>
              </w:rPr>
              <w:t> mg</w:t>
            </w:r>
            <w:r w:rsidRPr="00402720">
              <w:rPr>
                <w:rFonts w:ascii="Times New Roman" w:hAnsi="Times New Roman" w:cs="Times New Roman"/>
                <w:b/>
                <w:lang w:val="de-DE"/>
              </w:rPr>
              <w:t>/kg alle 3</w:t>
            </w:r>
            <w:r w:rsidR="00D5199D">
              <w:rPr>
                <w:rFonts w:ascii="Times New Roman" w:hAnsi="Times New Roman" w:cs="Times New Roman"/>
                <w:b/>
                <w:lang w:val="de-DE"/>
              </w:rPr>
              <w:t> </w:t>
            </w:r>
            <w:r w:rsidRPr="00402720">
              <w:rPr>
                <w:rFonts w:ascii="Times New Roman" w:hAnsi="Times New Roman" w:cs="Times New Roman"/>
                <w:b/>
                <w:lang w:val="de-DE"/>
              </w:rPr>
              <w:t>Wochen</w:t>
            </w:r>
          </w:p>
        </w:tc>
      </w:tr>
      <w:tr w:rsidR="00962F01" w:rsidRPr="00402720" w14:paraId="2443CE91" w14:textId="77777777" w:rsidTr="00DC3274">
        <w:trPr>
          <w:trHeight w:val="20"/>
        </w:trPr>
        <w:tc>
          <w:tcPr>
            <w:tcW w:w="2184" w:type="dxa"/>
            <w:tcBorders>
              <w:top w:val="single" w:sz="4" w:space="0" w:color="000000"/>
              <w:left w:val="single" w:sz="4" w:space="0" w:color="000000"/>
              <w:bottom w:val="single" w:sz="4" w:space="0" w:color="000000"/>
              <w:right w:val="single" w:sz="4" w:space="0" w:color="000000"/>
            </w:tcBorders>
          </w:tcPr>
          <w:p w14:paraId="2A5A81BA" w14:textId="77777777" w:rsidR="00962F01" w:rsidRPr="00402720" w:rsidRDefault="00962F01" w:rsidP="000B6CC4">
            <w:pPr>
              <w:spacing w:after="0" w:line="240" w:lineRule="auto"/>
              <w:ind w:firstLine="84"/>
              <w:rPr>
                <w:rFonts w:ascii="Times New Roman" w:hAnsi="Times New Roman" w:cs="Times New Roman"/>
                <w:lang w:val="de-DE"/>
              </w:rPr>
            </w:pPr>
            <w:r w:rsidRPr="00402720">
              <w:rPr>
                <w:rFonts w:ascii="Times New Roman" w:hAnsi="Times New Roman" w:cs="Times New Roman"/>
                <w:lang w:val="de-DE"/>
              </w:rPr>
              <w:t>Anzahl Patienten</w:t>
            </w:r>
          </w:p>
        </w:tc>
        <w:tc>
          <w:tcPr>
            <w:tcW w:w="2114" w:type="dxa"/>
            <w:tcBorders>
              <w:top w:val="single" w:sz="4" w:space="0" w:color="000000"/>
              <w:left w:val="single" w:sz="4" w:space="0" w:color="000000"/>
              <w:bottom w:val="single" w:sz="4" w:space="0" w:color="000000"/>
              <w:right w:val="single" w:sz="4" w:space="0" w:color="000000"/>
            </w:tcBorders>
          </w:tcPr>
          <w:p w14:paraId="6D2F7703"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347</w:t>
            </w:r>
          </w:p>
        </w:tc>
        <w:tc>
          <w:tcPr>
            <w:tcW w:w="2347" w:type="dxa"/>
            <w:tcBorders>
              <w:top w:val="single" w:sz="4" w:space="0" w:color="000000"/>
              <w:left w:val="single" w:sz="4" w:space="0" w:color="000000"/>
              <w:bottom w:val="single" w:sz="4" w:space="0" w:color="000000"/>
              <w:right w:val="single" w:sz="4" w:space="0" w:color="000000"/>
            </w:tcBorders>
          </w:tcPr>
          <w:p w14:paraId="50F5A201"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345</w:t>
            </w:r>
          </w:p>
        </w:tc>
        <w:tc>
          <w:tcPr>
            <w:tcW w:w="2427" w:type="dxa"/>
            <w:tcBorders>
              <w:top w:val="single" w:sz="4" w:space="0" w:color="000000"/>
              <w:left w:val="single" w:sz="4" w:space="0" w:color="000000"/>
              <w:bottom w:val="single" w:sz="4" w:space="0" w:color="000000"/>
              <w:right w:val="single" w:sz="4" w:space="0" w:color="000000"/>
            </w:tcBorders>
          </w:tcPr>
          <w:p w14:paraId="7A54DA33"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351</w:t>
            </w:r>
          </w:p>
        </w:tc>
      </w:tr>
      <w:tr w:rsidR="001B3701" w:rsidRPr="00402720" w14:paraId="1108A590" w14:textId="77777777" w:rsidTr="00DC3274">
        <w:trPr>
          <w:trHeight w:val="20"/>
        </w:trPr>
        <w:tc>
          <w:tcPr>
            <w:tcW w:w="2184" w:type="dxa"/>
            <w:tcBorders>
              <w:top w:val="single" w:sz="4" w:space="0" w:color="000000"/>
              <w:left w:val="single" w:sz="4" w:space="0" w:color="000000"/>
              <w:bottom w:val="nil"/>
              <w:right w:val="single" w:sz="4" w:space="0" w:color="000000"/>
            </w:tcBorders>
          </w:tcPr>
          <w:p w14:paraId="585843DA" w14:textId="77777777" w:rsidR="001B3701" w:rsidRPr="00402720" w:rsidRDefault="001B3701" w:rsidP="001B3701">
            <w:pPr>
              <w:spacing w:after="0" w:line="240" w:lineRule="auto"/>
              <w:ind w:left="84"/>
              <w:rPr>
                <w:rFonts w:ascii="Times New Roman" w:hAnsi="Times New Roman" w:cs="Times New Roman"/>
                <w:lang w:val="de-DE"/>
              </w:rPr>
            </w:pPr>
            <w:r w:rsidRPr="00402720">
              <w:rPr>
                <w:rFonts w:ascii="Times New Roman" w:hAnsi="Times New Roman" w:cs="Times New Roman"/>
                <w:lang w:val="de-DE"/>
              </w:rPr>
              <w:t>Progressionsfreies Überleben</w:t>
            </w:r>
          </w:p>
          <w:p w14:paraId="4D2FDE5B" w14:textId="77777777" w:rsidR="001B3701" w:rsidRPr="00402720" w:rsidRDefault="001B3701" w:rsidP="00773A58">
            <w:pPr>
              <w:spacing w:after="0" w:line="240" w:lineRule="auto"/>
              <w:rPr>
                <w:rFonts w:ascii="Times New Roman" w:hAnsi="Times New Roman" w:cs="Times New Roman"/>
                <w:lang w:val="de-DE"/>
              </w:rPr>
            </w:pPr>
          </w:p>
        </w:tc>
        <w:tc>
          <w:tcPr>
            <w:tcW w:w="2114" w:type="dxa"/>
            <w:tcBorders>
              <w:top w:val="single" w:sz="4" w:space="0" w:color="000000"/>
              <w:left w:val="single" w:sz="4" w:space="0" w:color="000000"/>
              <w:bottom w:val="nil"/>
              <w:right w:val="single" w:sz="4" w:space="0" w:color="000000"/>
            </w:tcBorders>
          </w:tcPr>
          <w:p w14:paraId="407232EF" w14:textId="77777777" w:rsidR="001B3701" w:rsidRPr="00402720" w:rsidRDefault="001B3701" w:rsidP="006D1AE9">
            <w:pPr>
              <w:spacing w:after="0" w:line="240" w:lineRule="auto"/>
              <w:jc w:val="center"/>
              <w:rPr>
                <w:rFonts w:ascii="Times New Roman" w:hAnsi="Times New Roman" w:cs="Times New Roman"/>
                <w:lang w:val="de-DE"/>
              </w:rPr>
            </w:pPr>
          </w:p>
        </w:tc>
        <w:tc>
          <w:tcPr>
            <w:tcW w:w="2347" w:type="dxa"/>
            <w:tcBorders>
              <w:top w:val="single" w:sz="4" w:space="0" w:color="000000"/>
              <w:left w:val="single" w:sz="4" w:space="0" w:color="000000"/>
              <w:bottom w:val="nil"/>
              <w:right w:val="single" w:sz="4" w:space="0" w:color="000000"/>
            </w:tcBorders>
          </w:tcPr>
          <w:p w14:paraId="7818C78C" w14:textId="77777777" w:rsidR="001B3701" w:rsidRPr="00402720" w:rsidRDefault="001B3701" w:rsidP="006D1AE9">
            <w:pPr>
              <w:spacing w:after="0" w:line="240" w:lineRule="auto"/>
              <w:jc w:val="center"/>
              <w:rPr>
                <w:rFonts w:ascii="Times New Roman" w:hAnsi="Times New Roman" w:cs="Times New Roman"/>
                <w:lang w:val="de-DE"/>
              </w:rPr>
            </w:pPr>
          </w:p>
        </w:tc>
        <w:tc>
          <w:tcPr>
            <w:tcW w:w="2427" w:type="dxa"/>
            <w:tcBorders>
              <w:top w:val="single" w:sz="4" w:space="0" w:color="000000"/>
              <w:left w:val="single" w:sz="4" w:space="0" w:color="000000"/>
              <w:bottom w:val="nil"/>
              <w:right w:val="single" w:sz="4" w:space="0" w:color="000000"/>
            </w:tcBorders>
          </w:tcPr>
          <w:p w14:paraId="69AC460F" w14:textId="77777777" w:rsidR="001B3701" w:rsidRPr="00402720" w:rsidRDefault="001B3701" w:rsidP="006D1AE9">
            <w:pPr>
              <w:spacing w:after="0" w:line="240" w:lineRule="auto"/>
              <w:jc w:val="center"/>
              <w:rPr>
                <w:rFonts w:ascii="Times New Roman" w:hAnsi="Times New Roman" w:cs="Times New Roman"/>
                <w:lang w:val="de-DE"/>
              </w:rPr>
            </w:pPr>
          </w:p>
        </w:tc>
      </w:tr>
      <w:tr w:rsidR="00962F01" w:rsidRPr="00402720" w14:paraId="246FC412" w14:textId="77777777" w:rsidTr="000B6CC4">
        <w:trPr>
          <w:trHeight w:val="20"/>
        </w:trPr>
        <w:tc>
          <w:tcPr>
            <w:tcW w:w="2184" w:type="dxa"/>
            <w:tcBorders>
              <w:top w:val="single" w:sz="4" w:space="0" w:color="000000"/>
              <w:left w:val="single" w:sz="4" w:space="0" w:color="000000"/>
              <w:bottom w:val="single" w:sz="4" w:space="0" w:color="auto"/>
              <w:right w:val="single" w:sz="4" w:space="0" w:color="000000"/>
            </w:tcBorders>
          </w:tcPr>
          <w:p w14:paraId="13C43F4F" w14:textId="77777777" w:rsidR="00962F01" w:rsidRPr="00402720" w:rsidRDefault="006D1AE9" w:rsidP="00C84E0C">
            <w:pPr>
              <w:spacing w:after="0" w:line="240" w:lineRule="auto"/>
              <w:ind w:left="284"/>
              <w:rPr>
                <w:rFonts w:ascii="Times New Roman" w:hAnsi="Times New Roman" w:cs="Times New Roman"/>
                <w:lang w:val="de-DE"/>
              </w:rPr>
            </w:pPr>
            <w:r w:rsidRPr="00402720">
              <w:rPr>
                <w:rFonts w:ascii="Times New Roman" w:hAnsi="Times New Roman" w:cs="Times New Roman"/>
                <w:lang w:val="de-DE"/>
              </w:rPr>
              <w:t>Median (Monate)</w:t>
            </w:r>
          </w:p>
          <w:p w14:paraId="6ABD83CD" w14:textId="77777777" w:rsidR="006D1AE9" w:rsidRPr="00402720" w:rsidRDefault="006D1AE9" w:rsidP="006D1AE9">
            <w:pPr>
              <w:spacing w:after="0" w:line="240" w:lineRule="auto"/>
              <w:ind w:left="567"/>
              <w:rPr>
                <w:rFonts w:ascii="Times New Roman" w:hAnsi="Times New Roman" w:cs="Times New Roman"/>
                <w:lang w:val="de-DE"/>
              </w:rPr>
            </w:pPr>
          </w:p>
        </w:tc>
        <w:tc>
          <w:tcPr>
            <w:tcW w:w="2114" w:type="dxa"/>
            <w:tcBorders>
              <w:top w:val="single" w:sz="4" w:space="0" w:color="000000"/>
              <w:left w:val="single" w:sz="4" w:space="0" w:color="000000"/>
              <w:bottom w:val="single" w:sz="4" w:space="0" w:color="auto"/>
              <w:right w:val="single" w:sz="4" w:space="0" w:color="000000"/>
            </w:tcBorders>
          </w:tcPr>
          <w:p w14:paraId="037641F8"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6,1</w:t>
            </w:r>
          </w:p>
        </w:tc>
        <w:tc>
          <w:tcPr>
            <w:tcW w:w="2347" w:type="dxa"/>
            <w:tcBorders>
              <w:top w:val="single" w:sz="4" w:space="0" w:color="000000"/>
              <w:left w:val="single" w:sz="4" w:space="0" w:color="000000"/>
              <w:bottom w:val="single" w:sz="4" w:space="0" w:color="auto"/>
              <w:right w:val="single" w:sz="4" w:space="0" w:color="000000"/>
            </w:tcBorders>
          </w:tcPr>
          <w:p w14:paraId="6ACD692F"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6,7</w:t>
            </w:r>
          </w:p>
          <w:p w14:paraId="654922B6"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 = 0,0026)</w:t>
            </w:r>
          </w:p>
        </w:tc>
        <w:tc>
          <w:tcPr>
            <w:tcW w:w="2427" w:type="dxa"/>
            <w:tcBorders>
              <w:top w:val="single" w:sz="4" w:space="0" w:color="000000"/>
              <w:left w:val="single" w:sz="4" w:space="0" w:color="000000"/>
              <w:bottom w:val="single" w:sz="4" w:space="0" w:color="auto"/>
              <w:right w:val="single" w:sz="4" w:space="0" w:color="000000"/>
            </w:tcBorders>
          </w:tcPr>
          <w:p w14:paraId="41C59D06"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6,5</w:t>
            </w:r>
          </w:p>
          <w:p w14:paraId="5525C126"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 = 0,0301)</w:t>
            </w:r>
          </w:p>
        </w:tc>
      </w:tr>
      <w:tr w:rsidR="00962F01" w:rsidRPr="00402720" w14:paraId="62ADFF2A" w14:textId="77777777" w:rsidTr="000B6CC4">
        <w:trPr>
          <w:trHeight w:val="20"/>
        </w:trPr>
        <w:tc>
          <w:tcPr>
            <w:tcW w:w="2184" w:type="dxa"/>
            <w:tcBorders>
              <w:top w:val="single" w:sz="4" w:space="0" w:color="auto"/>
              <w:left w:val="single" w:sz="4" w:space="0" w:color="000000"/>
              <w:bottom w:val="single" w:sz="4" w:space="0" w:color="000000"/>
              <w:right w:val="single" w:sz="4" w:space="0" w:color="000000"/>
            </w:tcBorders>
          </w:tcPr>
          <w:p w14:paraId="6EC1A447" w14:textId="77777777" w:rsidR="00962F01" w:rsidRPr="00402720" w:rsidRDefault="005E6F63" w:rsidP="00C84E0C">
            <w:pPr>
              <w:spacing w:after="0" w:line="240" w:lineRule="auto"/>
              <w:ind w:left="284"/>
              <w:rPr>
                <w:rFonts w:ascii="Times New Roman" w:hAnsi="Times New Roman" w:cs="Times New Roman"/>
                <w:lang w:val="de-DE"/>
              </w:rPr>
            </w:pPr>
            <w:r w:rsidRPr="00402720">
              <w:rPr>
                <w:rFonts w:ascii="Times New Roman" w:hAnsi="Times New Roman" w:cs="Times New Roman"/>
                <w:lang w:val="de-DE"/>
              </w:rPr>
              <w:t>Hazard Ratio</w:t>
            </w:r>
          </w:p>
        </w:tc>
        <w:tc>
          <w:tcPr>
            <w:tcW w:w="2114" w:type="dxa"/>
            <w:tcBorders>
              <w:top w:val="single" w:sz="4" w:space="0" w:color="auto"/>
              <w:left w:val="single" w:sz="4" w:space="0" w:color="000000"/>
              <w:bottom w:val="single" w:sz="4" w:space="0" w:color="000000"/>
              <w:right w:val="single" w:sz="4" w:space="0" w:color="000000"/>
            </w:tcBorders>
          </w:tcPr>
          <w:p w14:paraId="15C82B69" w14:textId="77777777" w:rsidR="00962F01" w:rsidRPr="00402720" w:rsidRDefault="00962F01" w:rsidP="006D1AE9">
            <w:pPr>
              <w:spacing w:after="0" w:line="240" w:lineRule="auto"/>
              <w:jc w:val="center"/>
              <w:rPr>
                <w:rFonts w:ascii="Times New Roman" w:hAnsi="Times New Roman" w:cs="Times New Roman"/>
                <w:lang w:val="de-DE"/>
              </w:rPr>
            </w:pPr>
          </w:p>
        </w:tc>
        <w:tc>
          <w:tcPr>
            <w:tcW w:w="2347" w:type="dxa"/>
            <w:tcBorders>
              <w:top w:val="single" w:sz="4" w:space="0" w:color="auto"/>
              <w:left w:val="single" w:sz="4" w:space="0" w:color="000000"/>
              <w:bottom w:val="single" w:sz="4" w:space="0" w:color="000000"/>
              <w:right w:val="single" w:sz="4" w:space="0" w:color="000000"/>
            </w:tcBorders>
          </w:tcPr>
          <w:p w14:paraId="3B36191C"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0,75</w:t>
            </w:r>
          </w:p>
          <w:p w14:paraId="256E2954"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[0,62; 0,91]</w:t>
            </w:r>
          </w:p>
        </w:tc>
        <w:tc>
          <w:tcPr>
            <w:tcW w:w="2427" w:type="dxa"/>
            <w:tcBorders>
              <w:top w:val="single" w:sz="4" w:space="0" w:color="auto"/>
              <w:left w:val="single" w:sz="4" w:space="0" w:color="000000"/>
              <w:bottom w:val="single" w:sz="4" w:space="0" w:color="000000"/>
              <w:right w:val="single" w:sz="4" w:space="0" w:color="000000"/>
            </w:tcBorders>
          </w:tcPr>
          <w:p w14:paraId="0E345369"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0,82</w:t>
            </w:r>
          </w:p>
          <w:p w14:paraId="08709919"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[0,68; 0,98]</w:t>
            </w:r>
          </w:p>
        </w:tc>
      </w:tr>
      <w:tr w:rsidR="00962F01" w:rsidRPr="00402720" w14:paraId="7E36057D" w14:textId="77777777" w:rsidTr="00DC3274">
        <w:trPr>
          <w:trHeight w:val="20"/>
        </w:trPr>
        <w:tc>
          <w:tcPr>
            <w:tcW w:w="2184" w:type="dxa"/>
            <w:tcBorders>
              <w:top w:val="single" w:sz="4" w:space="0" w:color="000000"/>
              <w:left w:val="single" w:sz="4" w:space="0" w:color="000000"/>
              <w:bottom w:val="single" w:sz="4" w:space="0" w:color="000000"/>
              <w:right w:val="single" w:sz="4" w:space="0" w:color="000000"/>
            </w:tcBorders>
          </w:tcPr>
          <w:p w14:paraId="4822D91B" w14:textId="77777777" w:rsidR="00962F01" w:rsidRPr="00402720" w:rsidRDefault="00962F01" w:rsidP="00D87918">
            <w:pPr>
              <w:spacing w:after="0" w:line="240" w:lineRule="auto"/>
              <w:ind w:left="84"/>
              <w:rPr>
                <w:rFonts w:ascii="Times New Roman" w:hAnsi="Times New Roman" w:cs="Times New Roman"/>
                <w:lang w:val="de-DE"/>
              </w:rPr>
            </w:pPr>
            <w:r w:rsidRPr="00402720">
              <w:rPr>
                <w:rFonts w:ascii="Times New Roman" w:hAnsi="Times New Roman" w:cs="Times New Roman"/>
                <w:lang w:val="de-DE"/>
              </w:rPr>
              <w:t>Gesamtansprechrate</w:t>
            </w:r>
            <w:r w:rsidRPr="00402720">
              <w:rPr>
                <w:rFonts w:ascii="Times New Roman" w:hAnsi="Times New Roman" w:cs="Times New Roman"/>
                <w:vertAlign w:val="superscript"/>
                <w:lang w:val="de-DE"/>
              </w:rPr>
              <w:t>a</w:t>
            </w:r>
          </w:p>
        </w:tc>
        <w:tc>
          <w:tcPr>
            <w:tcW w:w="2114" w:type="dxa"/>
            <w:tcBorders>
              <w:top w:val="single" w:sz="4" w:space="0" w:color="000000"/>
              <w:left w:val="single" w:sz="4" w:space="0" w:color="000000"/>
              <w:bottom w:val="single" w:sz="4" w:space="0" w:color="000000"/>
              <w:right w:val="single" w:sz="4" w:space="0" w:color="000000"/>
            </w:tcBorders>
          </w:tcPr>
          <w:p w14:paraId="7BEFBB65"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20,1</w:t>
            </w:r>
            <w:r w:rsidR="004B1BD9"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tc>
        <w:tc>
          <w:tcPr>
            <w:tcW w:w="2347" w:type="dxa"/>
            <w:tcBorders>
              <w:top w:val="single" w:sz="4" w:space="0" w:color="000000"/>
              <w:left w:val="single" w:sz="4" w:space="0" w:color="000000"/>
              <w:bottom w:val="single" w:sz="4" w:space="0" w:color="000000"/>
              <w:right w:val="single" w:sz="4" w:space="0" w:color="000000"/>
            </w:tcBorders>
          </w:tcPr>
          <w:p w14:paraId="36F502AF"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34,1</w:t>
            </w:r>
            <w:r w:rsidR="004B1BD9"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p w14:paraId="7074CA1D"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(p </w:t>
            </w:r>
            <w:r w:rsidR="00E32D5C" w:rsidRPr="00402720">
              <w:rPr>
                <w:rFonts w:ascii="Times New Roman" w:hAnsi="Times New Roman" w:cs="Times New Roman"/>
                <w:lang w:val="de-DE"/>
              </w:rPr>
              <w:t>&lt; </w:t>
            </w:r>
            <w:r w:rsidRPr="00402720">
              <w:rPr>
                <w:rFonts w:ascii="Times New Roman" w:hAnsi="Times New Roman" w:cs="Times New Roman"/>
                <w:lang w:val="de-DE"/>
              </w:rPr>
              <w:t>0,0001)</w:t>
            </w:r>
          </w:p>
        </w:tc>
        <w:tc>
          <w:tcPr>
            <w:tcW w:w="2427" w:type="dxa"/>
            <w:tcBorders>
              <w:top w:val="single" w:sz="4" w:space="0" w:color="000000"/>
              <w:left w:val="single" w:sz="4" w:space="0" w:color="000000"/>
              <w:bottom w:val="single" w:sz="4" w:space="0" w:color="000000"/>
              <w:right w:val="single" w:sz="4" w:space="0" w:color="000000"/>
            </w:tcBorders>
          </w:tcPr>
          <w:p w14:paraId="4B7AB2DF"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30,4</w:t>
            </w:r>
            <w:r w:rsidR="004B1BD9"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p w14:paraId="3D2CE410" w14:textId="77777777" w:rsidR="00962F01" w:rsidRPr="00402720" w:rsidRDefault="00962F01" w:rsidP="006D1AE9">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 = 0,0023)</w:t>
            </w:r>
          </w:p>
        </w:tc>
      </w:tr>
    </w:tbl>
    <w:p w14:paraId="797D77C7" w14:textId="77777777" w:rsidR="00010E8C" w:rsidRPr="009737B5" w:rsidRDefault="00071EB8" w:rsidP="006D1AE9">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a</w:t>
      </w:r>
      <w:r w:rsidRPr="009737B5">
        <w:rPr>
          <w:rFonts w:ascii="Times New Roman" w:hAnsi="Times New Roman" w:cs="Times New Roman"/>
          <w:sz w:val="20"/>
          <w:szCs w:val="20"/>
          <w:lang w:val="de-DE"/>
        </w:rPr>
        <w:tab/>
        <w:t>Patienten mit messbarer Erkrankung zu Behandlungsbeginn.</w:t>
      </w:r>
    </w:p>
    <w:p w14:paraId="5D6918BC" w14:textId="77777777" w:rsidR="00071EB8" w:rsidRPr="009737B5" w:rsidRDefault="00071EB8" w:rsidP="003331EC">
      <w:pPr>
        <w:keepNext/>
        <w:keepLines/>
        <w:suppressAutoHyphens/>
        <w:spacing w:after="0" w:line="240" w:lineRule="auto"/>
        <w:rPr>
          <w:rFonts w:ascii="Times New Roman" w:hAnsi="Times New Roman" w:cs="Times New Roman"/>
          <w:szCs w:val="20"/>
          <w:lang w:val="de-DE"/>
        </w:rPr>
      </w:pPr>
    </w:p>
    <w:tbl>
      <w:tblPr>
        <w:tblW w:w="9072" w:type="dxa"/>
        <w:tblInd w:w="-5" w:type="dxa"/>
        <w:tblCellMar>
          <w:top w:w="51" w:type="dxa"/>
          <w:left w:w="58" w:type="dxa"/>
          <w:right w:w="115" w:type="dxa"/>
        </w:tblCellMar>
        <w:tblLook w:val="04A0" w:firstRow="1" w:lastRow="0" w:firstColumn="1" w:lastColumn="0" w:noHBand="0" w:noVBand="1"/>
      </w:tblPr>
      <w:tblGrid>
        <w:gridCol w:w="2184"/>
        <w:gridCol w:w="2114"/>
        <w:gridCol w:w="2347"/>
        <w:gridCol w:w="2427"/>
      </w:tblGrid>
      <w:tr w:rsidR="00250882" w:rsidRPr="00402720" w14:paraId="664CD40F" w14:textId="77777777" w:rsidTr="00DC3274">
        <w:trPr>
          <w:trHeight w:val="20"/>
        </w:trPr>
        <w:tc>
          <w:tcPr>
            <w:tcW w:w="9072" w:type="dxa"/>
            <w:gridSpan w:val="4"/>
            <w:tcBorders>
              <w:top w:val="single" w:sz="4" w:space="0" w:color="000000"/>
              <w:left w:val="single" w:sz="4" w:space="0" w:color="000000"/>
              <w:bottom w:val="single" w:sz="4" w:space="0" w:color="auto"/>
              <w:right w:val="single" w:sz="4" w:space="0" w:color="000000"/>
            </w:tcBorders>
          </w:tcPr>
          <w:p w14:paraId="23E6BF7D" w14:textId="77777777" w:rsidR="00250882" w:rsidRPr="00402720" w:rsidRDefault="00250882" w:rsidP="003331EC">
            <w:pPr>
              <w:keepNext/>
              <w:keepLines/>
              <w:spacing w:after="0" w:line="240" w:lineRule="auto"/>
              <w:rPr>
                <w:rFonts w:ascii="Times New Roman" w:hAnsi="Times New Roman" w:cs="Times New Roman"/>
                <w:lang w:val="de-DE"/>
              </w:rPr>
            </w:pPr>
            <w:r w:rsidRPr="00402720">
              <w:rPr>
                <w:rFonts w:ascii="Times New Roman" w:hAnsi="Times New Roman" w:cs="Times New Roman"/>
                <w:lang w:val="de-DE"/>
              </w:rPr>
              <w:t>Gesamtüberleben</w:t>
            </w:r>
          </w:p>
        </w:tc>
      </w:tr>
      <w:tr w:rsidR="00250882" w:rsidRPr="00402720" w14:paraId="4CE91424" w14:textId="77777777" w:rsidTr="000B6CC4">
        <w:trPr>
          <w:trHeight w:val="20"/>
        </w:trPr>
        <w:tc>
          <w:tcPr>
            <w:tcW w:w="2184" w:type="dxa"/>
            <w:tcBorders>
              <w:top w:val="single" w:sz="4" w:space="0" w:color="auto"/>
              <w:left w:val="single" w:sz="4" w:space="0" w:color="000000"/>
              <w:bottom w:val="single" w:sz="4" w:space="0" w:color="auto"/>
              <w:right w:val="single" w:sz="4" w:space="0" w:color="000000"/>
            </w:tcBorders>
          </w:tcPr>
          <w:p w14:paraId="2C701F63" w14:textId="77777777" w:rsidR="00250882" w:rsidRPr="00402720" w:rsidRDefault="00250882" w:rsidP="003331EC">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Median (Monate)</w:t>
            </w:r>
          </w:p>
        </w:tc>
        <w:tc>
          <w:tcPr>
            <w:tcW w:w="2114" w:type="dxa"/>
            <w:tcBorders>
              <w:top w:val="single" w:sz="4" w:space="0" w:color="auto"/>
              <w:left w:val="single" w:sz="4" w:space="0" w:color="000000"/>
              <w:bottom w:val="single" w:sz="4" w:space="0" w:color="auto"/>
              <w:right w:val="single" w:sz="4" w:space="0" w:color="000000"/>
            </w:tcBorders>
          </w:tcPr>
          <w:p w14:paraId="6470EDEE" w14:textId="77777777" w:rsidR="00250882" w:rsidRPr="00402720" w:rsidRDefault="00250882" w:rsidP="003331EC">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13,1</w:t>
            </w:r>
          </w:p>
        </w:tc>
        <w:tc>
          <w:tcPr>
            <w:tcW w:w="2347" w:type="dxa"/>
            <w:tcBorders>
              <w:top w:val="single" w:sz="4" w:space="0" w:color="auto"/>
              <w:left w:val="single" w:sz="4" w:space="0" w:color="000000"/>
              <w:bottom w:val="single" w:sz="4" w:space="0" w:color="auto"/>
              <w:right w:val="single" w:sz="4" w:space="0" w:color="000000"/>
            </w:tcBorders>
          </w:tcPr>
          <w:p w14:paraId="5B64C2EA" w14:textId="77777777" w:rsidR="00250882" w:rsidRPr="00402720" w:rsidRDefault="00250882" w:rsidP="003331EC">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13,6</w:t>
            </w:r>
          </w:p>
          <w:p w14:paraId="439663B9" w14:textId="77777777" w:rsidR="00250882" w:rsidRPr="00402720" w:rsidRDefault="00250882" w:rsidP="003331EC">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(p = 0,4203)</w:t>
            </w:r>
          </w:p>
        </w:tc>
        <w:tc>
          <w:tcPr>
            <w:tcW w:w="2427" w:type="dxa"/>
            <w:tcBorders>
              <w:top w:val="single" w:sz="4" w:space="0" w:color="auto"/>
              <w:left w:val="single" w:sz="4" w:space="0" w:color="000000"/>
              <w:bottom w:val="single" w:sz="4" w:space="0" w:color="auto"/>
              <w:right w:val="single" w:sz="4" w:space="0" w:color="000000"/>
            </w:tcBorders>
          </w:tcPr>
          <w:p w14:paraId="7B7C8C71" w14:textId="77777777" w:rsidR="00250882" w:rsidRPr="00402720" w:rsidRDefault="00250882" w:rsidP="003331EC">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13,4</w:t>
            </w:r>
          </w:p>
          <w:p w14:paraId="7424BBE4" w14:textId="77777777" w:rsidR="00250882" w:rsidRPr="00402720" w:rsidRDefault="00250882" w:rsidP="003331EC">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(p</w:t>
            </w:r>
            <w:r w:rsidR="009D2FDE" w:rsidRPr="00402720">
              <w:rPr>
                <w:rFonts w:ascii="Times New Roman" w:hAnsi="Times New Roman" w:cs="Times New Roman"/>
                <w:lang w:val="de-DE"/>
              </w:rPr>
              <w:t xml:space="preserve"> </w:t>
            </w:r>
            <w:r w:rsidRPr="00402720">
              <w:rPr>
                <w:rFonts w:ascii="Times New Roman" w:hAnsi="Times New Roman" w:cs="Times New Roman"/>
                <w:lang w:val="de-DE"/>
              </w:rPr>
              <w:t>= 0,7613)</w:t>
            </w:r>
          </w:p>
          <w:p w14:paraId="404908F2" w14:textId="77777777" w:rsidR="005D490E" w:rsidRPr="00402720" w:rsidRDefault="005D490E" w:rsidP="003331EC">
            <w:pPr>
              <w:keepNext/>
              <w:keepLines/>
              <w:spacing w:after="0" w:line="240" w:lineRule="auto"/>
              <w:jc w:val="center"/>
              <w:rPr>
                <w:rFonts w:ascii="Times New Roman" w:hAnsi="Times New Roman" w:cs="Times New Roman"/>
                <w:lang w:val="de-DE"/>
              </w:rPr>
            </w:pPr>
          </w:p>
        </w:tc>
      </w:tr>
      <w:tr w:rsidR="00071EB8" w:rsidRPr="00402720" w14:paraId="2715E67A" w14:textId="77777777" w:rsidTr="000B6CC4">
        <w:trPr>
          <w:trHeight w:val="341"/>
        </w:trPr>
        <w:tc>
          <w:tcPr>
            <w:tcW w:w="2184" w:type="dxa"/>
            <w:tcBorders>
              <w:top w:val="single" w:sz="4" w:space="0" w:color="auto"/>
              <w:left w:val="single" w:sz="4" w:space="0" w:color="000000"/>
              <w:bottom w:val="single" w:sz="4" w:space="0" w:color="000000"/>
              <w:right w:val="single" w:sz="4" w:space="0" w:color="000000"/>
            </w:tcBorders>
          </w:tcPr>
          <w:p w14:paraId="24B675F5" w14:textId="77777777" w:rsidR="00071EB8" w:rsidRPr="00402720" w:rsidRDefault="00071EB8" w:rsidP="00F26821">
            <w:pPr>
              <w:spacing w:after="0" w:line="240" w:lineRule="auto"/>
              <w:ind w:left="284"/>
              <w:rPr>
                <w:rFonts w:ascii="Times New Roman" w:hAnsi="Times New Roman" w:cs="Times New Roman"/>
                <w:lang w:val="de-DE"/>
              </w:rPr>
            </w:pPr>
            <w:r w:rsidRPr="00402720">
              <w:rPr>
                <w:rFonts w:ascii="Times New Roman" w:hAnsi="Times New Roman" w:cs="Times New Roman"/>
                <w:lang w:val="de-DE"/>
              </w:rPr>
              <w:t>Hazard Ratio</w:t>
            </w:r>
          </w:p>
        </w:tc>
        <w:tc>
          <w:tcPr>
            <w:tcW w:w="2114" w:type="dxa"/>
            <w:tcBorders>
              <w:top w:val="single" w:sz="4" w:space="0" w:color="auto"/>
              <w:left w:val="single" w:sz="4" w:space="0" w:color="000000"/>
              <w:bottom w:val="single" w:sz="4" w:space="0" w:color="000000"/>
              <w:right w:val="single" w:sz="4" w:space="0" w:color="000000"/>
            </w:tcBorders>
          </w:tcPr>
          <w:p w14:paraId="06D7F96C" w14:textId="77777777" w:rsidR="00071EB8" w:rsidRPr="00402720" w:rsidRDefault="00071EB8" w:rsidP="00250882">
            <w:pPr>
              <w:spacing w:after="0" w:line="240" w:lineRule="auto"/>
              <w:jc w:val="center"/>
              <w:rPr>
                <w:rFonts w:ascii="Times New Roman" w:hAnsi="Times New Roman" w:cs="Times New Roman"/>
                <w:lang w:val="de-DE"/>
              </w:rPr>
            </w:pPr>
          </w:p>
        </w:tc>
        <w:tc>
          <w:tcPr>
            <w:tcW w:w="2347" w:type="dxa"/>
            <w:tcBorders>
              <w:top w:val="single" w:sz="4" w:space="0" w:color="auto"/>
              <w:left w:val="single" w:sz="4" w:space="0" w:color="000000"/>
              <w:bottom w:val="single" w:sz="4" w:space="0" w:color="000000"/>
              <w:right w:val="single" w:sz="4" w:space="0" w:color="000000"/>
            </w:tcBorders>
          </w:tcPr>
          <w:p w14:paraId="2688474D" w14:textId="77777777" w:rsidR="00071EB8" w:rsidRPr="00402720" w:rsidRDefault="00071EB8" w:rsidP="00250882">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0,93</w:t>
            </w:r>
          </w:p>
          <w:p w14:paraId="55242F1C" w14:textId="77777777" w:rsidR="00071EB8" w:rsidRPr="00402720" w:rsidRDefault="00071EB8" w:rsidP="00250882">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[0,78; 1,11]</w:t>
            </w:r>
          </w:p>
        </w:tc>
        <w:tc>
          <w:tcPr>
            <w:tcW w:w="2427" w:type="dxa"/>
            <w:tcBorders>
              <w:top w:val="single" w:sz="4" w:space="0" w:color="auto"/>
              <w:left w:val="single" w:sz="4" w:space="0" w:color="000000"/>
              <w:bottom w:val="single" w:sz="4" w:space="0" w:color="000000"/>
              <w:right w:val="single" w:sz="4" w:space="0" w:color="000000"/>
            </w:tcBorders>
          </w:tcPr>
          <w:p w14:paraId="683032B7" w14:textId="77777777" w:rsidR="00071EB8" w:rsidRPr="00402720" w:rsidRDefault="00071EB8" w:rsidP="00250882">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1,03</w:t>
            </w:r>
          </w:p>
          <w:p w14:paraId="1C1685C0" w14:textId="77777777" w:rsidR="00071EB8" w:rsidRPr="00402720" w:rsidRDefault="00071EB8" w:rsidP="00250882">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[0,86; 1,23]</w:t>
            </w:r>
          </w:p>
        </w:tc>
      </w:tr>
    </w:tbl>
    <w:p w14:paraId="7216CE14" w14:textId="77777777" w:rsidR="00A93A12" w:rsidRPr="00A93A12" w:rsidRDefault="00A93A12" w:rsidP="00A93A12">
      <w:pPr>
        <w:suppressAutoHyphens/>
        <w:spacing w:after="0" w:line="240" w:lineRule="auto"/>
        <w:rPr>
          <w:rFonts w:ascii="Times New Roman" w:hAnsi="Times New Roman" w:cs="Times New Roman"/>
          <w:i/>
          <w:iCs/>
          <w:lang w:val="en-GB"/>
        </w:rPr>
      </w:pPr>
    </w:p>
    <w:p w14:paraId="6FECC701" w14:textId="51404631" w:rsidR="00A93A12" w:rsidRPr="001661A9" w:rsidRDefault="00A93A12" w:rsidP="00D87918">
      <w:pPr>
        <w:keepNext/>
        <w:suppressAutoHyphens/>
        <w:spacing w:after="0" w:line="240" w:lineRule="auto"/>
        <w:rPr>
          <w:rFonts w:ascii="Times New Roman" w:hAnsi="Times New Roman" w:cs="Times New Roman"/>
          <w:i/>
          <w:iCs/>
          <w:lang w:val="de-DE"/>
        </w:rPr>
      </w:pPr>
      <w:r w:rsidRPr="001661A9">
        <w:rPr>
          <w:rFonts w:ascii="Times New Roman" w:hAnsi="Times New Roman" w:cs="Times New Roman"/>
          <w:i/>
          <w:iCs/>
          <w:lang w:val="de-DE"/>
        </w:rPr>
        <w:t>First-Line-Behandlung des nicht-kleinzelligen Nicht-Plattenepithel-Bronchialkarzinoms mit EGFR-aktivierenden Mutationen in Kombination mit Erlotinib</w:t>
      </w:r>
    </w:p>
    <w:p w14:paraId="699B6760" w14:textId="77777777" w:rsidR="00A93A12" w:rsidRPr="001661A9" w:rsidRDefault="00A93A12" w:rsidP="00D87918">
      <w:pPr>
        <w:keepNext/>
        <w:suppressAutoHyphens/>
        <w:spacing w:after="0" w:line="240" w:lineRule="auto"/>
        <w:rPr>
          <w:rFonts w:ascii="Times New Roman" w:hAnsi="Times New Roman" w:cs="Times New Roman"/>
          <w:i/>
          <w:iCs/>
          <w:lang w:val="de-DE"/>
        </w:rPr>
      </w:pPr>
    </w:p>
    <w:p w14:paraId="09D9AB04" w14:textId="77777777" w:rsidR="00A93A12" w:rsidRPr="001661A9" w:rsidRDefault="00A93A12" w:rsidP="00E244D1">
      <w:pPr>
        <w:keepNext/>
        <w:suppressAutoHyphens/>
        <w:spacing w:after="0" w:line="240" w:lineRule="auto"/>
        <w:rPr>
          <w:rFonts w:ascii="Times New Roman" w:hAnsi="Times New Roman" w:cs="Times New Roman"/>
          <w:i/>
          <w:iCs/>
          <w:lang w:val="de-DE"/>
        </w:rPr>
      </w:pPr>
      <w:r w:rsidRPr="001661A9">
        <w:rPr>
          <w:rFonts w:ascii="Times New Roman" w:hAnsi="Times New Roman" w:cs="Times New Roman"/>
          <w:i/>
          <w:iCs/>
          <w:lang w:val="de-DE"/>
        </w:rPr>
        <w:t>JO25567</w:t>
      </w:r>
    </w:p>
    <w:p w14:paraId="6B2E89BF" w14:textId="74346992" w:rsidR="00A93A12" w:rsidRDefault="00A93A12" w:rsidP="00D87918">
      <w:pPr>
        <w:keepNext/>
        <w:suppressAutoHyphens/>
        <w:spacing w:after="0" w:line="240" w:lineRule="auto"/>
        <w:rPr>
          <w:rFonts w:ascii="Times New Roman" w:hAnsi="Times New Roman" w:cs="Times New Roman"/>
          <w:iCs/>
          <w:lang w:val="de-DE"/>
        </w:rPr>
      </w:pPr>
      <w:r w:rsidRPr="001661A9">
        <w:rPr>
          <w:rFonts w:ascii="Times New Roman" w:hAnsi="Times New Roman" w:cs="Times New Roman"/>
          <w:iCs/>
          <w:lang w:val="de-DE"/>
        </w:rPr>
        <w:t>Bei der Studie JO25567 handelt es sich um eine randomisierte, offene, multizentrische Studie</w:t>
      </w:r>
      <w:r w:rsidR="008C6B6B" w:rsidRPr="001661A9">
        <w:rPr>
          <w:rFonts w:ascii="Times New Roman" w:hAnsi="Times New Roman" w:cs="Times New Roman"/>
          <w:iCs/>
          <w:lang w:val="de-DE"/>
        </w:rPr>
        <w:t xml:space="preserve"> der Phase</w:t>
      </w:r>
      <w:r w:rsidR="0028416A">
        <w:rPr>
          <w:rFonts w:ascii="Times New Roman" w:hAnsi="Times New Roman" w:cs="Times New Roman"/>
          <w:iCs/>
          <w:lang w:val="de-DE"/>
        </w:rPr>
        <w:t> </w:t>
      </w:r>
      <w:r w:rsidR="008C6B6B" w:rsidRPr="001661A9">
        <w:rPr>
          <w:rFonts w:ascii="Times New Roman" w:hAnsi="Times New Roman" w:cs="Times New Roman"/>
          <w:iCs/>
          <w:lang w:val="de-DE"/>
        </w:rPr>
        <w:t>II</w:t>
      </w:r>
      <w:r w:rsidRPr="001661A9">
        <w:rPr>
          <w:rFonts w:ascii="Times New Roman" w:hAnsi="Times New Roman" w:cs="Times New Roman"/>
          <w:iCs/>
          <w:lang w:val="de-DE"/>
        </w:rPr>
        <w:t>, die in Japan zur Bewertung der Wirksamkeit und Sicherheit von Bevacizumab zusätzlich zu Erlotinib bei Patienten mit nicht-kleinzelligem Nicht-Plattenepithel-Bronchialkarzinom mit EGFR-aktivierenden Mutationen (Exon</w:t>
      </w:r>
      <w:r w:rsidR="00E244D1">
        <w:rPr>
          <w:rFonts w:ascii="Times New Roman" w:hAnsi="Times New Roman" w:cs="Times New Roman"/>
          <w:iCs/>
          <w:lang w:val="de-DE"/>
        </w:rPr>
        <w:t> </w:t>
      </w:r>
      <w:r w:rsidRPr="001661A9">
        <w:rPr>
          <w:rFonts w:ascii="Times New Roman" w:hAnsi="Times New Roman" w:cs="Times New Roman"/>
          <w:iCs/>
          <w:lang w:val="de-DE"/>
        </w:rPr>
        <w:t>19 Deletion oder Exon</w:t>
      </w:r>
      <w:r w:rsidR="00E244D1">
        <w:rPr>
          <w:rFonts w:ascii="Times New Roman" w:hAnsi="Times New Roman" w:cs="Times New Roman"/>
          <w:iCs/>
          <w:lang w:val="de-DE"/>
        </w:rPr>
        <w:t> </w:t>
      </w:r>
      <w:r w:rsidRPr="001661A9">
        <w:rPr>
          <w:rFonts w:ascii="Times New Roman" w:hAnsi="Times New Roman" w:cs="Times New Roman"/>
          <w:iCs/>
          <w:lang w:val="de-DE"/>
        </w:rPr>
        <w:t>21 L858R Mutation) durchgeführt wurde, die keine vorherige systemische Behandlung gegen Stadium</w:t>
      </w:r>
      <w:r w:rsidR="00E244D1">
        <w:rPr>
          <w:rFonts w:ascii="Times New Roman" w:hAnsi="Times New Roman" w:cs="Times New Roman"/>
          <w:iCs/>
          <w:lang w:val="de-DE"/>
        </w:rPr>
        <w:t> </w:t>
      </w:r>
      <w:r w:rsidRPr="001661A9">
        <w:rPr>
          <w:rFonts w:ascii="Times New Roman" w:hAnsi="Times New Roman" w:cs="Times New Roman"/>
          <w:iCs/>
          <w:lang w:val="de-DE"/>
        </w:rPr>
        <w:t>IIIB/IV oder eine rezidivierende Erkrankung erhalten haben.</w:t>
      </w:r>
    </w:p>
    <w:p w14:paraId="6091F693" w14:textId="77777777" w:rsidR="0066044E" w:rsidRPr="001661A9" w:rsidRDefault="0066044E" w:rsidP="00A93A12">
      <w:pPr>
        <w:suppressAutoHyphens/>
        <w:spacing w:after="0" w:line="240" w:lineRule="auto"/>
        <w:rPr>
          <w:rFonts w:ascii="Times New Roman" w:hAnsi="Times New Roman" w:cs="Times New Roman"/>
          <w:iCs/>
          <w:lang w:val="de-DE"/>
        </w:rPr>
      </w:pPr>
    </w:p>
    <w:p w14:paraId="7367432B" w14:textId="61468F12" w:rsidR="00A93A12" w:rsidRPr="001661A9" w:rsidRDefault="00A93A12" w:rsidP="00A93A12">
      <w:pPr>
        <w:suppressAutoHyphens/>
        <w:spacing w:after="0" w:line="240" w:lineRule="auto"/>
        <w:rPr>
          <w:rFonts w:ascii="Times New Roman" w:hAnsi="Times New Roman" w:cs="Times New Roman"/>
          <w:iCs/>
          <w:lang w:val="de-DE"/>
        </w:rPr>
      </w:pPr>
      <w:r w:rsidRPr="001661A9">
        <w:rPr>
          <w:rFonts w:ascii="Times New Roman" w:hAnsi="Times New Roman" w:cs="Times New Roman"/>
          <w:iCs/>
          <w:lang w:val="de-DE"/>
        </w:rPr>
        <w:lastRenderedPageBreak/>
        <w:t xml:space="preserve">Der primäre Endpunkt war progressionsfreies Überleben (PFS) basierend auf einer unabhängigen Review-Bewertung. </w:t>
      </w:r>
      <w:r w:rsidR="0060056D" w:rsidRPr="001661A9">
        <w:rPr>
          <w:rFonts w:ascii="Times New Roman" w:hAnsi="Times New Roman" w:cs="Times New Roman"/>
          <w:iCs/>
          <w:lang w:val="de-DE"/>
        </w:rPr>
        <w:t>S</w:t>
      </w:r>
      <w:r w:rsidRPr="001661A9">
        <w:rPr>
          <w:rFonts w:ascii="Times New Roman" w:hAnsi="Times New Roman" w:cs="Times New Roman"/>
          <w:iCs/>
          <w:lang w:val="de-DE"/>
        </w:rPr>
        <w:t>ekundäre Endpunkte umfassten Gesamtüberleben, Ansprechrate, Krankheitskontrollrate, Ansprechdauer und Sicherheit.</w:t>
      </w:r>
    </w:p>
    <w:p w14:paraId="5B88C048" w14:textId="77777777" w:rsidR="00A93A12" w:rsidRPr="001661A9" w:rsidRDefault="00A93A12" w:rsidP="00A93A12">
      <w:pPr>
        <w:suppressAutoHyphens/>
        <w:spacing w:after="0" w:line="240" w:lineRule="auto"/>
        <w:rPr>
          <w:rFonts w:ascii="Times New Roman" w:hAnsi="Times New Roman" w:cs="Times New Roman"/>
          <w:iCs/>
          <w:lang w:val="de-DE"/>
        </w:rPr>
      </w:pPr>
    </w:p>
    <w:p w14:paraId="28456725" w14:textId="65FE94D5" w:rsidR="00A93A12" w:rsidRPr="001661A9" w:rsidRDefault="001B0948" w:rsidP="00A93A12">
      <w:pPr>
        <w:suppressAutoHyphens/>
        <w:spacing w:after="0" w:line="240" w:lineRule="auto"/>
        <w:rPr>
          <w:rFonts w:ascii="Times New Roman" w:hAnsi="Times New Roman" w:cs="Times New Roman"/>
          <w:iCs/>
          <w:lang w:val="de-DE"/>
        </w:rPr>
      </w:pPr>
      <w:r w:rsidRPr="001661A9">
        <w:rPr>
          <w:rFonts w:ascii="Times New Roman" w:hAnsi="Times New Roman" w:cs="Times New Roman"/>
          <w:iCs/>
          <w:lang w:val="de-DE"/>
        </w:rPr>
        <w:t>Der EGFR-Mutationsstatus wurde bei jedem Patienten vor dem Screening bestimmt, und 154</w:t>
      </w:r>
      <w:r w:rsidR="0028416A">
        <w:rPr>
          <w:rFonts w:ascii="Times New Roman" w:hAnsi="Times New Roman" w:cs="Times New Roman"/>
          <w:iCs/>
          <w:lang w:val="de-DE"/>
        </w:rPr>
        <w:t> </w:t>
      </w:r>
      <w:r w:rsidRPr="001661A9">
        <w:rPr>
          <w:rFonts w:ascii="Times New Roman" w:hAnsi="Times New Roman" w:cs="Times New Roman"/>
          <w:iCs/>
          <w:lang w:val="de-DE"/>
        </w:rPr>
        <w:t>Patienten wurden randomisiert und erhielten entweder Erlotinib + Bevacizumab (Erlotinib 150</w:t>
      </w:r>
      <w:r w:rsidR="0028416A">
        <w:rPr>
          <w:rFonts w:ascii="Times New Roman" w:hAnsi="Times New Roman" w:cs="Times New Roman"/>
          <w:iCs/>
          <w:lang w:val="de-DE"/>
        </w:rPr>
        <w:t> </w:t>
      </w:r>
      <w:r w:rsidRPr="001661A9">
        <w:rPr>
          <w:rFonts w:ascii="Times New Roman" w:hAnsi="Times New Roman" w:cs="Times New Roman"/>
          <w:iCs/>
          <w:lang w:val="de-DE"/>
        </w:rPr>
        <w:t>mg täglich oral + Bevacizumab [15</w:t>
      </w:r>
      <w:r w:rsidR="0028416A">
        <w:rPr>
          <w:rFonts w:ascii="Times New Roman" w:hAnsi="Times New Roman" w:cs="Times New Roman"/>
          <w:iCs/>
          <w:lang w:val="de-DE"/>
        </w:rPr>
        <w:t> </w:t>
      </w:r>
      <w:r w:rsidRPr="001661A9">
        <w:rPr>
          <w:rFonts w:ascii="Times New Roman" w:hAnsi="Times New Roman" w:cs="Times New Roman"/>
          <w:iCs/>
          <w:lang w:val="de-DE"/>
        </w:rPr>
        <w:t>mg/kg alle drei Wochen als intravenöse Infusion]) oder Erlotinib als Monotherapie (150</w:t>
      </w:r>
      <w:r w:rsidR="0028416A">
        <w:rPr>
          <w:rFonts w:ascii="Times New Roman" w:hAnsi="Times New Roman" w:cs="Times New Roman"/>
          <w:iCs/>
          <w:lang w:val="de-DE"/>
        </w:rPr>
        <w:t> </w:t>
      </w:r>
      <w:r w:rsidRPr="001661A9">
        <w:rPr>
          <w:rFonts w:ascii="Times New Roman" w:hAnsi="Times New Roman" w:cs="Times New Roman"/>
          <w:iCs/>
          <w:lang w:val="de-DE"/>
        </w:rPr>
        <w:t>mg täglich oral) bis zur Krankheitsprogression (PD) oder bis zum Auftreten nicht mehr tolerierbarer Nebenwirkungen. Bei nicht fortschreitender Erkrankung führte das Absetzen einer Komponente der Studienbehandlung im Arm mit Erlotinib + Bevacizumab nicht zum Absetzen der anderen Komponente der Studienbehandlung, wie im Studienprotokoll dargelegt.</w:t>
      </w:r>
    </w:p>
    <w:p w14:paraId="0992B9E1" w14:textId="77777777" w:rsidR="00A93A12" w:rsidRPr="001661A9" w:rsidRDefault="00A93A12" w:rsidP="00A93A12">
      <w:pPr>
        <w:suppressAutoHyphens/>
        <w:spacing w:after="0" w:line="240" w:lineRule="auto"/>
        <w:rPr>
          <w:rFonts w:ascii="Times New Roman" w:hAnsi="Times New Roman" w:cs="Times New Roman"/>
          <w:iCs/>
          <w:lang w:val="de-DE"/>
        </w:rPr>
      </w:pPr>
    </w:p>
    <w:p w14:paraId="5CF1B27F" w14:textId="34B652CA" w:rsidR="00A93A12" w:rsidRPr="001661A9" w:rsidRDefault="00112498" w:rsidP="00A93A12">
      <w:pPr>
        <w:suppressAutoHyphens/>
        <w:spacing w:after="0" w:line="240" w:lineRule="auto"/>
        <w:rPr>
          <w:rFonts w:ascii="Times New Roman" w:hAnsi="Times New Roman" w:cs="Times New Roman"/>
          <w:iCs/>
          <w:lang w:val="de-DE"/>
        </w:rPr>
      </w:pPr>
      <w:r w:rsidRPr="001661A9">
        <w:rPr>
          <w:rFonts w:ascii="Times New Roman" w:hAnsi="Times New Roman" w:cs="Times New Roman"/>
          <w:iCs/>
          <w:lang w:val="de-DE"/>
        </w:rPr>
        <w:t>Die Wirksamkeitsergebnisse der Studie sind in Tabelle</w:t>
      </w:r>
      <w:r w:rsidR="0028416A">
        <w:rPr>
          <w:rFonts w:ascii="Times New Roman" w:hAnsi="Times New Roman" w:cs="Times New Roman"/>
          <w:iCs/>
          <w:lang w:val="de-DE"/>
        </w:rPr>
        <w:t> </w:t>
      </w:r>
      <w:r w:rsidR="00A93A12" w:rsidRPr="001661A9">
        <w:rPr>
          <w:rFonts w:ascii="Times New Roman" w:hAnsi="Times New Roman" w:cs="Times New Roman"/>
          <w:iCs/>
          <w:lang w:val="de-DE"/>
        </w:rPr>
        <w:t>14</w:t>
      </w:r>
      <w:r w:rsidRPr="001661A9">
        <w:rPr>
          <w:rFonts w:ascii="Times New Roman" w:hAnsi="Times New Roman" w:cs="Times New Roman"/>
          <w:iCs/>
          <w:lang w:val="de-DE"/>
        </w:rPr>
        <w:t xml:space="preserve"> dargestellt</w:t>
      </w:r>
      <w:r w:rsidR="00A93A12" w:rsidRPr="001661A9">
        <w:rPr>
          <w:rFonts w:ascii="Times New Roman" w:hAnsi="Times New Roman" w:cs="Times New Roman"/>
          <w:iCs/>
          <w:lang w:val="de-DE"/>
        </w:rPr>
        <w:t>.</w:t>
      </w:r>
    </w:p>
    <w:p w14:paraId="3F599019" w14:textId="77777777" w:rsidR="00A93A12" w:rsidRPr="001661A9" w:rsidRDefault="00A93A12" w:rsidP="00A93A12">
      <w:pPr>
        <w:suppressAutoHyphens/>
        <w:spacing w:after="0" w:line="240" w:lineRule="auto"/>
        <w:rPr>
          <w:rFonts w:ascii="Times New Roman" w:hAnsi="Times New Roman" w:cs="Times New Roman"/>
          <w:iCs/>
          <w:lang w:val="de-DE"/>
        </w:rPr>
      </w:pPr>
    </w:p>
    <w:p w14:paraId="69F9E061" w14:textId="19C2EE0B" w:rsidR="00A93A12" w:rsidRPr="00D87918" w:rsidRDefault="00A93A12" w:rsidP="001661A9">
      <w:pPr>
        <w:keepNext/>
        <w:suppressAutoHyphens/>
        <w:spacing w:after="0" w:line="240" w:lineRule="auto"/>
        <w:rPr>
          <w:rFonts w:ascii="Times New Roman" w:hAnsi="Times New Roman" w:cs="Times New Roman"/>
          <w:b/>
          <w:bCs/>
          <w:lang w:val="de-DE"/>
        </w:rPr>
      </w:pPr>
      <w:r w:rsidRPr="00D87918">
        <w:rPr>
          <w:rFonts w:ascii="Times New Roman" w:hAnsi="Times New Roman" w:cs="Times New Roman"/>
          <w:b/>
          <w:bCs/>
          <w:lang w:val="de-DE"/>
        </w:rPr>
        <w:t>Ta</w:t>
      </w:r>
      <w:r w:rsidR="00112498" w:rsidRPr="00D87918">
        <w:rPr>
          <w:rFonts w:ascii="Times New Roman" w:hAnsi="Times New Roman" w:cs="Times New Roman"/>
          <w:b/>
          <w:bCs/>
          <w:lang w:val="de-DE"/>
        </w:rPr>
        <w:t>belle</w:t>
      </w:r>
      <w:r w:rsidRPr="00D87918">
        <w:rPr>
          <w:rFonts w:ascii="Times New Roman" w:hAnsi="Times New Roman" w:cs="Times New Roman"/>
          <w:b/>
          <w:bCs/>
          <w:lang w:val="de-DE"/>
        </w:rPr>
        <w:t xml:space="preserve"> 14. </w:t>
      </w:r>
      <w:r w:rsidR="00112498" w:rsidRPr="00D87918">
        <w:rPr>
          <w:rFonts w:ascii="Times New Roman" w:hAnsi="Times New Roman" w:cs="Times New Roman"/>
          <w:b/>
          <w:bCs/>
          <w:lang w:val="de-DE"/>
        </w:rPr>
        <w:t>Wirksamkeitsergebnisse der Studie</w:t>
      </w:r>
      <w:r w:rsidR="00E244D1" w:rsidRPr="00D87918">
        <w:rPr>
          <w:rFonts w:ascii="Times New Roman" w:hAnsi="Times New Roman" w:cs="Times New Roman"/>
          <w:b/>
          <w:bCs/>
          <w:lang w:val="de-DE"/>
        </w:rPr>
        <w:t> </w:t>
      </w:r>
      <w:r w:rsidRPr="00D87918">
        <w:rPr>
          <w:rFonts w:ascii="Times New Roman" w:hAnsi="Times New Roman" w:cs="Times New Roman"/>
          <w:b/>
          <w:bCs/>
          <w:lang w:val="de-DE"/>
        </w:rPr>
        <w:t>JO25567</w:t>
      </w:r>
    </w:p>
    <w:p w14:paraId="3221C627" w14:textId="77777777" w:rsidR="00A93A12" w:rsidRPr="00D87918" w:rsidRDefault="00A93A12" w:rsidP="001661A9">
      <w:pPr>
        <w:keepNext/>
        <w:suppressAutoHyphens/>
        <w:spacing w:after="0" w:line="240" w:lineRule="auto"/>
        <w:rPr>
          <w:rFonts w:ascii="Times New Roman" w:hAnsi="Times New Roman" w:cs="Times New Roman"/>
          <w:b/>
          <w:bCs/>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1B0948" w:rsidRPr="00402720" w14:paraId="7F561B9A" w14:textId="77777777" w:rsidTr="00A93A12">
        <w:trPr>
          <w:tblHeader/>
        </w:trPr>
        <w:tc>
          <w:tcPr>
            <w:tcW w:w="3094" w:type="dxa"/>
            <w:tcBorders>
              <w:top w:val="single" w:sz="4" w:space="0" w:color="auto"/>
              <w:left w:val="single" w:sz="4" w:space="0" w:color="auto"/>
              <w:bottom w:val="single" w:sz="4" w:space="0" w:color="auto"/>
              <w:right w:val="single" w:sz="4" w:space="0" w:color="auto"/>
            </w:tcBorders>
          </w:tcPr>
          <w:p w14:paraId="54BB82A2" w14:textId="77777777" w:rsidR="00A93A12" w:rsidRPr="00D87918" w:rsidRDefault="00A93A12" w:rsidP="00A93A12">
            <w:pPr>
              <w:suppressAutoHyphens/>
              <w:spacing w:after="0" w:line="240" w:lineRule="auto"/>
              <w:rPr>
                <w:rFonts w:ascii="Times New Roman" w:hAnsi="Times New Roman" w:cs="Times New Roman"/>
                <w:b/>
                <w:bCs/>
                <w:lang w:val="de-DE"/>
              </w:rPr>
            </w:pPr>
          </w:p>
        </w:tc>
        <w:tc>
          <w:tcPr>
            <w:tcW w:w="3095" w:type="dxa"/>
            <w:tcBorders>
              <w:top w:val="single" w:sz="4" w:space="0" w:color="auto"/>
              <w:left w:val="single" w:sz="4" w:space="0" w:color="auto"/>
              <w:bottom w:val="single" w:sz="4" w:space="0" w:color="auto"/>
              <w:right w:val="single" w:sz="4" w:space="0" w:color="auto"/>
            </w:tcBorders>
            <w:hideMark/>
          </w:tcPr>
          <w:p w14:paraId="388F7118" w14:textId="77777777" w:rsidR="00A93A12" w:rsidRPr="00402720" w:rsidRDefault="00A93A12" w:rsidP="001661A9">
            <w:pPr>
              <w:suppressAutoHyphens/>
              <w:spacing w:after="0" w:line="240" w:lineRule="auto"/>
              <w:jc w:val="center"/>
              <w:rPr>
                <w:rFonts w:ascii="Times New Roman" w:hAnsi="Times New Roman" w:cs="Times New Roman"/>
                <w:b/>
                <w:bCs/>
                <w:lang w:val="en-GB"/>
              </w:rPr>
            </w:pPr>
            <w:r w:rsidRPr="00402720">
              <w:rPr>
                <w:rFonts w:ascii="Times New Roman" w:hAnsi="Times New Roman" w:cs="Times New Roman"/>
                <w:b/>
                <w:bCs/>
                <w:lang w:val="en-GB"/>
              </w:rPr>
              <w:t>Erlotinib</w:t>
            </w:r>
          </w:p>
          <w:p w14:paraId="71F2834D" w14:textId="21540358" w:rsidR="00A93A12" w:rsidRPr="00402720" w:rsidRDefault="0028416A" w:rsidP="001661A9">
            <w:pPr>
              <w:suppressAutoHyphens/>
              <w:spacing w:after="0" w:line="240" w:lineRule="auto"/>
              <w:jc w:val="center"/>
              <w:rPr>
                <w:rFonts w:ascii="Times New Roman" w:hAnsi="Times New Roman" w:cs="Times New Roman"/>
                <w:b/>
                <w:bCs/>
                <w:lang w:val="en-GB"/>
              </w:rPr>
            </w:pPr>
            <w:r w:rsidRPr="00402720">
              <w:rPr>
                <w:rFonts w:ascii="Times New Roman" w:hAnsi="Times New Roman" w:cs="Times New Roman"/>
                <w:b/>
                <w:bCs/>
                <w:lang w:val="en-GB"/>
              </w:rPr>
              <w:t>n</w:t>
            </w:r>
            <w:r w:rsidR="00A93A12" w:rsidRPr="00402720">
              <w:rPr>
                <w:rFonts w:ascii="Times New Roman" w:hAnsi="Times New Roman" w:cs="Times New Roman"/>
                <w:b/>
                <w:bCs/>
                <w:lang w:val="en-GB"/>
              </w:rPr>
              <w:t> = 77</w:t>
            </w:r>
            <w:r w:rsidR="00A93A12" w:rsidRPr="00402720">
              <w:rPr>
                <w:rFonts w:ascii="Times New Roman" w:hAnsi="Times New Roman" w:cs="Times New Roman"/>
                <w:b/>
                <w:bCs/>
                <w:vertAlign w:val="superscript"/>
                <w:lang w:val="en-GB"/>
              </w:rPr>
              <w:t>#</w:t>
            </w:r>
          </w:p>
        </w:tc>
        <w:tc>
          <w:tcPr>
            <w:tcW w:w="3095" w:type="dxa"/>
            <w:tcBorders>
              <w:top w:val="single" w:sz="4" w:space="0" w:color="auto"/>
              <w:left w:val="single" w:sz="4" w:space="0" w:color="auto"/>
              <w:bottom w:val="single" w:sz="4" w:space="0" w:color="auto"/>
              <w:right w:val="single" w:sz="4" w:space="0" w:color="auto"/>
            </w:tcBorders>
            <w:hideMark/>
          </w:tcPr>
          <w:p w14:paraId="7FA41C27" w14:textId="3B0701DE" w:rsidR="00A93A12" w:rsidRPr="00402720" w:rsidRDefault="00A93A12" w:rsidP="001661A9">
            <w:pPr>
              <w:suppressAutoHyphens/>
              <w:spacing w:after="0" w:line="240" w:lineRule="auto"/>
              <w:jc w:val="center"/>
              <w:rPr>
                <w:rFonts w:ascii="Times New Roman" w:hAnsi="Times New Roman" w:cs="Times New Roman"/>
                <w:b/>
                <w:bCs/>
                <w:lang w:val="en-GB"/>
              </w:rPr>
            </w:pPr>
            <w:r w:rsidRPr="00402720">
              <w:rPr>
                <w:rFonts w:ascii="Times New Roman" w:hAnsi="Times New Roman" w:cs="Times New Roman"/>
                <w:b/>
                <w:bCs/>
                <w:lang w:val="en-GB"/>
              </w:rPr>
              <w:t>Erlotinib +</w:t>
            </w:r>
            <w:r w:rsidR="00112498" w:rsidRPr="00402720">
              <w:rPr>
                <w:rFonts w:ascii="Times New Roman" w:hAnsi="Times New Roman" w:cs="Times New Roman"/>
                <w:b/>
                <w:bCs/>
                <w:lang w:val="en-GB"/>
              </w:rPr>
              <w:t xml:space="preserve"> B</w:t>
            </w:r>
            <w:r w:rsidRPr="00402720">
              <w:rPr>
                <w:rFonts w:ascii="Times New Roman" w:hAnsi="Times New Roman" w:cs="Times New Roman"/>
                <w:b/>
                <w:bCs/>
                <w:lang w:val="en-GB"/>
              </w:rPr>
              <w:t>evacizumab</w:t>
            </w:r>
          </w:p>
          <w:p w14:paraId="55D8F5AF" w14:textId="2F10FC8B" w:rsidR="00A93A12" w:rsidRPr="00402720" w:rsidRDefault="0028416A" w:rsidP="001661A9">
            <w:pPr>
              <w:suppressAutoHyphens/>
              <w:spacing w:after="0" w:line="240" w:lineRule="auto"/>
              <w:jc w:val="center"/>
              <w:rPr>
                <w:rFonts w:ascii="Times New Roman" w:hAnsi="Times New Roman" w:cs="Times New Roman"/>
                <w:b/>
                <w:bCs/>
                <w:lang w:val="en-GB"/>
              </w:rPr>
            </w:pPr>
            <w:r w:rsidRPr="00402720">
              <w:rPr>
                <w:rFonts w:ascii="Times New Roman" w:hAnsi="Times New Roman" w:cs="Times New Roman"/>
                <w:b/>
                <w:bCs/>
                <w:lang w:val="en-GB"/>
              </w:rPr>
              <w:t>n</w:t>
            </w:r>
            <w:r w:rsidR="00A93A12" w:rsidRPr="00402720">
              <w:rPr>
                <w:rFonts w:ascii="Times New Roman" w:hAnsi="Times New Roman" w:cs="Times New Roman"/>
                <w:b/>
                <w:bCs/>
                <w:lang w:val="en-GB"/>
              </w:rPr>
              <w:t> = 75</w:t>
            </w:r>
            <w:r w:rsidR="00A93A12" w:rsidRPr="00402720">
              <w:rPr>
                <w:rFonts w:ascii="Times New Roman" w:hAnsi="Times New Roman" w:cs="Times New Roman"/>
                <w:b/>
                <w:bCs/>
                <w:vertAlign w:val="superscript"/>
                <w:lang w:val="en-GB"/>
              </w:rPr>
              <w:t>#</w:t>
            </w:r>
          </w:p>
        </w:tc>
      </w:tr>
      <w:tr w:rsidR="001B0948" w:rsidRPr="00402720" w14:paraId="42EF3671" w14:textId="77777777" w:rsidTr="00A93A12">
        <w:tc>
          <w:tcPr>
            <w:tcW w:w="3094" w:type="dxa"/>
            <w:tcBorders>
              <w:top w:val="single" w:sz="4" w:space="0" w:color="auto"/>
              <w:left w:val="single" w:sz="4" w:space="0" w:color="auto"/>
              <w:bottom w:val="single" w:sz="4" w:space="0" w:color="auto"/>
              <w:right w:val="single" w:sz="4" w:space="0" w:color="auto"/>
            </w:tcBorders>
            <w:hideMark/>
          </w:tcPr>
          <w:p w14:paraId="256DEBC4" w14:textId="63FE4114" w:rsidR="00A93A12" w:rsidRPr="00402720" w:rsidRDefault="00A93A12" w:rsidP="00A93A12">
            <w:pPr>
              <w:suppressAutoHyphens/>
              <w:spacing w:after="0" w:line="240" w:lineRule="auto"/>
              <w:rPr>
                <w:rFonts w:ascii="Times New Roman" w:hAnsi="Times New Roman" w:cs="Times New Roman"/>
                <w:b/>
                <w:lang w:val="en-GB"/>
              </w:rPr>
            </w:pPr>
            <w:r w:rsidRPr="00D87918">
              <w:rPr>
                <w:rFonts w:ascii="Times New Roman" w:hAnsi="Times New Roman" w:cs="Times New Roman"/>
                <w:bCs/>
                <w:lang w:val="en-GB"/>
              </w:rPr>
              <w:t>PFS</w:t>
            </w:r>
            <w:r w:rsidRPr="00402720">
              <w:rPr>
                <w:rFonts w:ascii="Times New Roman" w:hAnsi="Times New Roman" w:cs="Times New Roman"/>
                <w:bCs/>
                <w:lang w:val="en-GB"/>
              </w:rPr>
              <w:t>^ (</w:t>
            </w:r>
            <w:r w:rsidR="001B0948" w:rsidRPr="00402720">
              <w:rPr>
                <w:rFonts w:ascii="Times New Roman" w:hAnsi="Times New Roman" w:cs="Times New Roman"/>
                <w:bCs/>
                <w:lang w:val="en-GB"/>
              </w:rPr>
              <w:t>Monate</w:t>
            </w:r>
            <w:r w:rsidRPr="00402720">
              <w:rPr>
                <w:rFonts w:ascii="Times New Roman" w:hAnsi="Times New Roman" w:cs="Times New Roman"/>
                <w:bCs/>
                <w:lang w:val="en-GB"/>
              </w:rPr>
              <w:t>)</w:t>
            </w:r>
          </w:p>
        </w:tc>
        <w:tc>
          <w:tcPr>
            <w:tcW w:w="3095" w:type="dxa"/>
            <w:tcBorders>
              <w:top w:val="single" w:sz="4" w:space="0" w:color="auto"/>
              <w:left w:val="single" w:sz="4" w:space="0" w:color="auto"/>
              <w:bottom w:val="single" w:sz="4" w:space="0" w:color="auto"/>
              <w:right w:val="single" w:sz="4" w:space="0" w:color="auto"/>
            </w:tcBorders>
          </w:tcPr>
          <w:p w14:paraId="04FA8BC2" w14:textId="77777777" w:rsidR="00A93A12" w:rsidRPr="00402720" w:rsidRDefault="00A93A12" w:rsidP="001661A9">
            <w:pPr>
              <w:suppressAutoHyphens/>
              <w:spacing w:after="0" w:line="240" w:lineRule="auto"/>
              <w:jc w:val="center"/>
              <w:rPr>
                <w:rFonts w:ascii="Times New Roman" w:hAnsi="Times New Roman" w:cs="Times New Roman"/>
                <w:b/>
                <w:bCs/>
                <w:lang w:val="en-GB"/>
              </w:rPr>
            </w:pPr>
          </w:p>
        </w:tc>
        <w:tc>
          <w:tcPr>
            <w:tcW w:w="3095" w:type="dxa"/>
            <w:tcBorders>
              <w:top w:val="single" w:sz="4" w:space="0" w:color="auto"/>
              <w:left w:val="single" w:sz="4" w:space="0" w:color="auto"/>
              <w:bottom w:val="single" w:sz="4" w:space="0" w:color="auto"/>
              <w:right w:val="single" w:sz="4" w:space="0" w:color="auto"/>
            </w:tcBorders>
          </w:tcPr>
          <w:p w14:paraId="1AD044E1" w14:textId="77777777" w:rsidR="00A93A12" w:rsidRPr="00402720" w:rsidRDefault="00A93A12" w:rsidP="001661A9">
            <w:pPr>
              <w:suppressAutoHyphens/>
              <w:spacing w:after="0" w:line="240" w:lineRule="auto"/>
              <w:jc w:val="center"/>
              <w:rPr>
                <w:rFonts w:ascii="Times New Roman" w:hAnsi="Times New Roman" w:cs="Times New Roman"/>
                <w:b/>
                <w:bCs/>
                <w:lang w:val="en-GB"/>
              </w:rPr>
            </w:pPr>
          </w:p>
        </w:tc>
      </w:tr>
      <w:tr w:rsidR="001B0948" w:rsidRPr="00402720" w14:paraId="2C4397DC" w14:textId="77777777" w:rsidTr="00A93A12">
        <w:tc>
          <w:tcPr>
            <w:tcW w:w="3094" w:type="dxa"/>
            <w:tcBorders>
              <w:top w:val="single" w:sz="4" w:space="0" w:color="auto"/>
              <w:left w:val="single" w:sz="4" w:space="0" w:color="auto"/>
              <w:bottom w:val="single" w:sz="4" w:space="0" w:color="auto"/>
              <w:right w:val="single" w:sz="4" w:space="0" w:color="auto"/>
            </w:tcBorders>
            <w:hideMark/>
          </w:tcPr>
          <w:p w14:paraId="6E086A8F" w14:textId="77777777" w:rsidR="00A93A12" w:rsidRPr="00402720" w:rsidRDefault="00A93A12" w:rsidP="001661A9">
            <w:pPr>
              <w:suppressAutoHyphens/>
              <w:spacing w:after="0" w:line="240" w:lineRule="auto"/>
              <w:ind w:left="567"/>
              <w:rPr>
                <w:rFonts w:ascii="Times New Roman" w:hAnsi="Times New Roman" w:cs="Times New Roman"/>
                <w:bCs/>
                <w:lang w:val="en-GB"/>
              </w:rPr>
            </w:pPr>
            <w:r w:rsidRPr="00402720">
              <w:rPr>
                <w:rFonts w:ascii="Times New Roman" w:hAnsi="Times New Roman" w:cs="Times New Roman"/>
                <w:bCs/>
                <w:lang w:val="en-GB"/>
              </w:rPr>
              <w:t>Median</w:t>
            </w:r>
          </w:p>
        </w:tc>
        <w:tc>
          <w:tcPr>
            <w:tcW w:w="3095" w:type="dxa"/>
            <w:tcBorders>
              <w:top w:val="single" w:sz="4" w:space="0" w:color="auto"/>
              <w:left w:val="single" w:sz="4" w:space="0" w:color="auto"/>
              <w:bottom w:val="single" w:sz="4" w:space="0" w:color="auto"/>
              <w:right w:val="single" w:sz="4" w:space="0" w:color="auto"/>
            </w:tcBorders>
            <w:hideMark/>
          </w:tcPr>
          <w:p w14:paraId="53ECE42A" w14:textId="493C0D5E" w:rsidR="00A93A12" w:rsidRPr="00402720" w:rsidRDefault="00A93A12" w:rsidP="001661A9">
            <w:pPr>
              <w:suppressAutoHyphens/>
              <w:spacing w:after="0" w:line="240" w:lineRule="auto"/>
              <w:jc w:val="center"/>
              <w:rPr>
                <w:rFonts w:ascii="Times New Roman" w:hAnsi="Times New Roman" w:cs="Times New Roman"/>
                <w:bCs/>
                <w:lang w:val="en-GB"/>
              </w:rPr>
            </w:pPr>
            <w:r w:rsidRPr="00402720">
              <w:rPr>
                <w:rFonts w:ascii="Times New Roman" w:hAnsi="Times New Roman" w:cs="Times New Roman"/>
                <w:bCs/>
                <w:lang w:val="en-GB"/>
              </w:rPr>
              <w:t>9</w:t>
            </w:r>
            <w:r w:rsidR="001B0948" w:rsidRPr="00402720">
              <w:rPr>
                <w:rFonts w:ascii="Times New Roman" w:hAnsi="Times New Roman" w:cs="Times New Roman"/>
                <w:bCs/>
                <w:lang w:val="en-GB"/>
              </w:rPr>
              <w:t>,</w:t>
            </w:r>
            <w:r w:rsidRPr="00402720">
              <w:rPr>
                <w:rFonts w:ascii="Times New Roman" w:hAnsi="Times New Roman" w:cs="Times New Roman"/>
                <w:bCs/>
                <w:lang w:val="en-GB"/>
              </w:rPr>
              <w:t>7</w:t>
            </w:r>
          </w:p>
        </w:tc>
        <w:tc>
          <w:tcPr>
            <w:tcW w:w="3095" w:type="dxa"/>
            <w:tcBorders>
              <w:top w:val="single" w:sz="4" w:space="0" w:color="auto"/>
              <w:left w:val="single" w:sz="4" w:space="0" w:color="auto"/>
              <w:bottom w:val="single" w:sz="4" w:space="0" w:color="auto"/>
              <w:right w:val="single" w:sz="4" w:space="0" w:color="auto"/>
            </w:tcBorders>
            <w:hideMark/>
          </w:tcPr>
          <w:p w14:paraId="41F9EE9B" w14:textId="7AC4D422" w:rsidR="00A93A12" w:rsidRPr="00402720" w:rsidRDefault="00A93A12" w:rsidP="001661A9">
            <w:pPr>
              <w:suppressAutoHyphens/>
              <w:spacing w:after="0" w:line="240" w:lineRule="auto"/>
              <w:jc w:val="center"/>
              <w:rPr>
                <w:rFonts w:ascii="Times New Roman" w:hAnsi="Times New Roman" w:cs="Times New Roman"/>
                <w:bCs/>
                <w:lang w:val="en-GB"/>
              </w:rPr>
            </w:pPr>
            <w:r w:rsidRPr="00402720">
              <w:rPr>
                <w:rFonts w:ascii="Times New Roman" w:hAnsi="Times New Roman" w:cs="Times New Roman"/>
                <w:bCs/>
                <w:lang w:val="en-GB"/>
              </w:rPr>
              <w:t>16</w:t>
            </w:r>
            <w:r w:rsidR="001B0948" w:rsidRPr="00402720">
              <w:rPr>
                <w:rFonts w:ascii="Times New Roman" w:hAnsi="Times New Roman" w:cs="Times New Roman"/>
                <w:bCs/>
                <w:lang w:val="en-GB"/>
              </w:rPr>
              <w:t>,</w:t>
            </w:r>
            <w:r w:rsidRPr="00402720">
              <w:rPr>
                <w:rFonts w:ascii="Times New Roman" w:hAnsi="Times New Roman" w:cs="Times New Roman"/>
                <w:bCs/>
                <w:lang w:val="en-GB"/>
              </w:rPr>
              <w:t>0</w:t>
            </w:r>
          </w:p>
        </w:tc>
      </w:tr>
      <w:tr w:rsidR="00A93A12" w:rsidRPr="00402720" w14:paraId="784BF372" w14:textId="77777777" w:rsidTr="00A93A12">
        <w:tc>
          <w:tcPr>
            <w:tcW w:w="3094" w:type="dxa"/>
            <w:tcBorders>
              <w:top w:val="single" w:sz="4" w:space="0" w:color="auto"/>
              <w:left w:val="single" w:sz="4" w:space="0" w:color="auto"/>
              <w:bottom w:val="single" w:sz="4" w:space="0" w:color="auto"/>
              <w:right w:val="single" w:sz="4" w:space="0" w:color="auto"/>
            </w:tcBorders>
            <w:hideMark/>
          </w:tcPr>
          <w:p w14:paraId="3825ADD0" w14:textId="6632D3F7" w:rsidR="00A93A12" w:rsidRPr="00402720" w:rsidRDefault="00A93A12" w:rsidP="001661A9">
            <w:pPr>
              <w:suppressAutoHyphens/>
              <w:spacing w:after="0" w:line="240" w:lineRule="auto"/>
              <w:ind w:left="567"/>
              <w:rPr>
                <w:rFonts w:ascii="Times New Roman" w:hAnsi="Times New Roman" w:cs="Times New Roman"/>
                <w:bCs/>
                <w:lang w:val="en-GB"/>
              </w:rPr>
            </w:pPr>
            <w:r w:rsidRPr="00402720">
              <w:rPr>
                <w:rFonts w:ascii="Times New Roman" w:hAnsi="Times New Roman" w:cs="Times New Roman"/>
                <w:bCs/>
                <w:lang w:val="en-GB"/>
              </w:rPr>
              <w:t>HR (95</w:t>
            </w:r>
            <w:r w:rsidR="0028416A" w:rsidRPr="00402720">
              <w:rPr>
                <w:rFonts w:ascii="Times New Roman" w:hAnsi="Times New Roman" w:cs="Times New Roman"/>
                <w:bCs/>
                <w:lang w:val="en-GB"/>
              </w:rPr>
              <w:t> </w:t>
            </w:r>
            <w:r w:rsidRPr="00402720">
              <w:rPr>
                <w:rFonts w:ascii="Times New Roman" w:hAnsi="Times New Roman" w:cs="Times New Roman"/>
                <w:bCs/>
                <w:lang w:val="en-GB"/>
              </w:rPr>
              <w:t>%</w:t>
            </w:r>
            <w:r w:rsidR="00905FDC">
              <w:rPr>
                <w:rFonts w:ascii="Times New Roman" w:hAnsi="Times New Roman" w:cs="Times New Roman"/>
                <w:bCs/>
                <w:lang w:val="en-GB"/>
              </w:rPr>
              <w:t> </w:t>
            </w:r>
            <w:r w:rsidR="001B0948" w:rsidRPr="00402720">
              <w:rPr>
                <w:rFonts w:ascii="Times New Roman" w:hAnsi="Times New Roman" w:cs="Times New Roman"/>
                <w:bCs/>
                <w:lang w:val="en-GB"/>
              </w:rPr>
              <w:t>K</w:t>
            </w:r>
            <w:r w:rsidRPr="00402720">
              <w:rPr>
                <w:rFonts w:ascii="Times New Roman" w:hAnsi="Times New Roman" w:cs="Times New Roman"/>
                <w:bCs/>
                <w:lang w:val="en-GB"/>
              </w:rPr>
              <w:t>I)</w:t>
            </w:r>
          </w:p>
        </w:tc>
        <w:tc>
          <w:tcPr>
            <w:tcW w:w="6190" w:type="dxa"/>
            <w:gridSpan w:val="2"/>
            <w:tcBorders>
              <w:top w:val="single" w:sz="4" w:space="0" w:color="auto"/>
              <w:left w:val="single" w:sz="4" w:space="0" w:color="auto"/>
              <w:bottom w:val="single" w:sz="4" w:space="0" w:color="auto"/>
              <w:right w:val="single" w:sz="4" w:space="0" w:color="auto"/>
            </w:tcBorders>
            <w:hideMark/>
          </w:tcPr>
          <w:p w14:paraId="1889C4B4" w14:textId="15CE3878" w:rsidR="00A93A12" w:rsidRPr="00402720" w:rsidRDefault="00A93A12" w:rsidP="001661A9">
            <w:pPr>
              <w:suppressAutoHyphens/>
              <w:spacing w:after="0" w:line="240" w:lineRule="auto"/>
              <w:jc w:val="center"/>
              <w:rPr>
                <w:rFonts w:ascii="Times New Roman" w:hAnsi="Times New Roman" w:cs="Times New Roman"/>
                <w:bCs/>
                <w:lang w:val="en-GB"/>
              </w:rPr>
            </w:pPr>
            <w:r w:rsidRPr="00402720">
              <w:rPr>
                <w:rFonts w:ascii="Times New Roman" w:hAnsi="Times New Roman" w:cs="Times New Roman"/>
                <w:bCs/>
                <w:lang w:val="en-GB"/>
              </w:rPr>
              <w:t>0</w:t>
            </w:r>
            <w:r w:rsidR="001B0948" w:rsidRPr="00402720">
              <w:rPr>
                <w:rFonts w:ascii="Times New Roman" w:hAnsi="Times New Roman" w:cs="Times New Roman"/>
                <w:bCs/>
                <w:lang w:val="en-GB"/>
              </w:rPr>
              <w:t>,</w:t>
            </w:r>
            <w:r w:rsidRPr="00402720">
              <w:rPr>
                <w:rFonts w:ascii="Times New Roman" w:hAnsi="Times New Roman" w:cs="Times New Roman"/>
                <w:bCs/>
                <w:lang w:val="en-GB"/>
              </w:rPr>
              <w:t>54 (0</w:t>
            </w:r>
            <w:r w:rsidR="001B0948" w:rsidRPr="00402720">
              <w:rPr>
                <w:rFonts w:ascii="Times New Roman" w:hAnsi="Times New Roman" w:cs="Times New Roman"/>
                <w:bCs/>
                <w:lang w:val="en-GB"/>
              </w:rPr>
              <w:t>,</w:t>
            </w:r>
            <w:r w:rsidRPr="00402720">
              <w:rPr>
                <w:rFonts w:ascii="Times New Roman" w:hAnsi="Times New Roman" w:cs="Times New Roman"/>
                <w:bCs/>
                <w:lang w:val="en-GB"/>
              </w:rPr>
              <w:t>36; 0</w:t>
            </w:r>
            <w:r w:rsidR="001B0948" w:rsidRPr="00402720">
              <w:rPr>
                <w:rFonts w:ascii="Times New Roman" w:hAnsi="Times New Roman" w:cs="Times New Roman"/>
                <w:bCs/>
                <w:lang w:val="en-GB"/>
              </w:rPr>
              <w:t>,</w:t>
            </w:r>
            <w:r w:rsidRPr="00402720">
              <w:rPr>
                <w:rFonts w:ascii="Times New Roman" w:hAnsi="Times New Roman" w:cs="Times New Roman"/>
                <w:bCs/>
                <w:lang w:val="en-GB"/>
              </w:rPr>
              <w:t>79)</w:t>
            </w:r>
          </w:p>
        </w:tc>
      </w:tr>
      <w:tr w:rsidR="00A93A12" w:rsidRPr="00402720" w14:paraId="684381F6" w14:textId="77777777" w:rsidTr="00A93A12">
        <w:tc>
          <w:tcPr>
            <w:tcW w:w="3094" w:type="dxa"/>
            <w:tcBorders>
              <w:top w:val="single" w:sz="4" w:space="0" w:color="auto"/>
              <w:left w:val="single" w:sz="4" w:space="0" w:color="auto"/>
              <w:bottom w:val="single" w:sz="4" w:space="0" w:color="auto"/>
              <w:right w:val="single" w:sz="4" w:space="0" w:color="auto"/>
            </w:tcBorders>
            <w:hideMark/>
          </w:tcPr>
          <w:p w14:paraId="14C75640" w14:textId="07ABCF07" w:rsidR="00A93A12" w:rsidRPr="00402720" w:rsidRDefault="00A93A12" w:rsidP="001661A9">
            <w:pPr>
              <w:suppressAutoHyphens/>
              <w:spacing w:after="0" w:line="240" w:lineRule="auto"/>
              <w:ind w:left="567"/>
              <w:rPr>
                <w:rFonts w:ascii="Times New Roman" w:hAnsi="Times New Roman" w:cs="Times New Roman"/>
                <w:bCs/>
                <w:lang w:val="en-GB"/>
              </w:rPr>
            </w:pPr>
            <w:r w:rsidRPr="00402720">
              <w:rPr>
                <w:rFonts w:ascii="Times New Roman" w:hAnsi="Times New Roman" w:cs="Times New Roman"/>
                <w:bCs/>
                <w:lang w:val="en-GB"/>
              </w:rPr>
              <w:t>p-</w:t>
            </w:r>
            <w:r w:rsidR="001B0948" w:rsidRPr="00402720">
              <w:rPr>
                <w:rFonts w:ascii="Times New Roman" w:hAnsi="Times New Roman" w:cs="Times New Roman"/>
                <w:bCs/>
                <w:lang w:val="en-GB"/>
              </w:rPr>
              <w:t>Wert</w:t>
            </w:r>
          </w:p>
        </w:tc>
        <w:tc>
          <w:tcPr>
            <w:tcW w:w="6190" w:type="dxa"/>
            <w:gridSpan w:val="2"/>
            <w:tcBorders>
              <w:top w:val="single" w:sz="4" w:space="0" w:color="auto"/>
              <w:left w:val="single" w:sz="4" w:space="0" w:color="auto"/>
              <w:bottom w:val="single" w:sz="4" w:space="0" w:color="auto"/>
              <w:right w:val="single" w:sz="4" w:space="0" w:color="auto"/>
            </w:tcBorders>
            <w:hideMark/>
          </w:tcPr>
          <w:p w14:paraId="3E449637" w14:textId="29938DA9" w:rsidR="00A93A12" w:rsidRPr="00402720" w:rsidRDefault="00A93A12" w:rsidP="001661A9">
            <w:pPr>
              <w:suppressAutoHyphens/>
              <w:spacing w:after="0" w:line="240" w:lineRule="auto"/>
              <w:jc w:val="center"/>
              <w:rPr>
                <w:rFonts w:ascii="Times New Roman" w:hAnsi="Times New Roman" w:cs="Times New Roman"/>
                <w:bCs/>
                <w:lang w:val="en-GB"/>
              </w:rPr>
            </w:pPr>
            <w:r w:rsidRPr="00402720">
              <w:rPr>
                <w:rFonts w:ascii="Times New Roman" w:hAnsi="Times New Roman" w:cs="Times New Roman"/>
                <w:bCs/>
                <w:lang w:val="en-GB"/>
              </w:rPr>
              <w:t>0</w:t>
            </w:r>
            <w:r w:rsidR="001B0948" w:rsidRPr="00402720">
              <w:rPr>
                <w:rFonts w:ascii="Times New Roman" w:hAnsi="Times New Roman" w:cs="Times New Roman"/>
                <w:bCs/>
                <w:lang w:val="en-GB"/>
              </w:rPr>
              <w:t>,</w:t>
            </w:r>
            <w:r w:rsidRPr="00402720">
              <w:rPr>
                <w:rFonts w:ascii="Times New Roman" w:hAnsi="Times New Roman" w:cs="Times New Roman"/>
                <w:bCs/>
                <w:lang w:val="en-GB"/>
              </w:rPr>
              <w:t>0015</w:t>
            </w:r>
          </w:p>
        </w:tc>
      </w:tr>
      <w:tr w:rsidR="001B0948" w:rsidRPr="00402720" w14:paraId="678A37D2" w14:textId="77777777" w:rsidTr="00A93A12">
        <w:tc>
          <w:tcPr>
            <w:tcW w:w="3094" w:type="dxa"/>
            <w:tcBorders>
              <w:top w:val="single" w:sz="4" w:space="0" w:color="auto"/>
              <w:left w:val="single" w:sz="4" w:space="0" w:color="auto"/>
              <w:bottom w:val="single" w:sz="4" w:space="0" w:color="auto"/>
              <w:right w:val="single" w:sz="4" w:space="0" w:color="auto"/>
            </w:tcBorders>
            <w:hideMark/>
          </w:tcPr>
          <w:p w14:paraId="00DDAD3D" w14:textId="3DE455E6" w:rsidR="00A93A12" w:rsidRPr="00D87918" w:rsidRDefault="001B0948" w:rsidP="00A93A12">
            <w:pPr>
              <w:suppressAutoHyphens/>
              <w:spacing w:after="0" w:line="240" w:lineRule="auto"/>
              <w:rPr>
                <w:rFonts w:ascii="Times New Roman" w:hAnsi="Times New Roman" w:cs="Times New Roman"/>
                <w:bCs/>
                <w:lang w:val="en-GB"/>
              </w:rPr>
            </w:pPr>
            <w:r w:rsidRPr="00D87918">
              <w:rPr>
                <w:rFonts w:ascii="Times New Roman" w:hAnsi="Times New Roman" w:cs="Times New Roman"/>
                <w:bCs/>
                <w:lang w:val="en-GB"/>
              </w:rPr>
              <w:t>Gesamtansprechrate</w:t>
            </w:r>
          </w:p>
        </w:tc>
        <w:tc>
          <w:tcPr>
            <w:tcW w:w="3095" w:type="dxa"/>
            <w:tcBorders>
              <w:top w:val="single" w:sz="4" w:space="0" w:color="auto"/>
              <w:left w:val="single" w:sz="4" w:space="0" w:color="auto"/>
              <w:bottom w:val="single" w:sz="4" w:space="0" w:color="auto"/>
              <w:right w:val="single" w:sz="4" w:space="0" w:color="auto"/>
            </w:tcBorders>
          </w:tcPr>
          <w:p w14:paraId="534B9BBB" w14:textId="77777777" w:rsidR="00A93A12" w:rsidRPr="00402720" w:rsidRDefault="00A93A12" w:rsidP="001661A9">
            <w:pPr>
              <w:suppressAutoHyphens/>
              <w:spacing w:after="0" w:line="240" w:lineRule="auto"/>
              <w:jc w:val="center"/>
              <w:rPr>
                <w:rFonts w:ascii="Times New Roman" w:hAnsi="Times New Roman" w:cs="Times New Roman"/>
                <w:b/>
                <w:bCs/>
                <w:lang w:val="en-GB"/>
              </w:rPr>
            </w:pPr>
          </w:p>
        </w:tc>
        <w:tc>
          <w:tcPr>
            <w:tcW w:w="3095" w:type="dxa"/>
            <w:tcBorders>
              <w:top w:val="single" w:sz="4" w:space="0" w:color="auto"/>
              <w:left w:val="single" w:sz="4" w:space="0" w:color="auto"/>
              <w:bottom w:val="single" w:sz="4" w:space="0" w:color="auto"/>
              <w:right w:val="single" w:sz="4" w:space="0" w:color="auto"/>
            </w:tcBorders>
          </w:tcPr>
          <w:p w14:paraId="16A232F9" w14:textId="77777777" w:rsidR="00A93A12" w:rsidRPr="00402720" w:rsidRDefault="00A93A12" w:rsidP="001661A9">
            <w:pPr>
              <w:suppressAutoHyphens/>
              <w:spacing w:after="0" w:line="240" w:lineRule="auto"/>
              <w:jc w:val="center"/>
              <w:rPr>
                <w:rFonts w:ascii="Times New Roman" w:hAnsi="Times New Roman" w:cs="Times New Roman"/>
                <w:b/>
                <w:bCs/>
                <w:lang w:val="en-GB"/>
              </w:rPr>
            </w:pPr>
          </w:p>
        </w:tc>
      </w:tr>
      <w:tr w:rsidR="001B0948" w:rsidRPr="00402720" w14:paraId="48EE0487" w14:textId="77777777" w:rsidTr="00A93A12">
        <w:tc>
          <w:tcPr>
            <w:tcW w:w="3094" w:type="dxa"/>
            <w:tcBorders>
              <w:top w:val="single" w:sz="4" w:space="0" w:color="auto"/>
              <w:left w:val="single" w:sz="4" w:space="0" w:color="auto"/>
              <w:bottom w:val="single" w:sz="4" w:space="0" w:color="auto"/>
              <w:right w:val="single" w:sz="4" w:space="0" w:color="auto"/>
            </w:tcBorders>
            <w:hideMark/>
          </w:tcPr>
          <w:p w14:paraId="3C8C6A6D" w14:textId="77777777" w:rsidR="00A93A12" w:rsidRPr="00402720" w:rsidRDefault="00A93A12" w:rsidP="001661A9">
            <w:pPr>
              <w:suppressAutoHyphens/>
              <w:spacing w:after="0" w:line="240" w:lineRule="auto"/>
              <w:ind w:left="567"/>
              <w:rPr>
                <w:rFonts w:ascii="Times New Roman" w:hAnsi="Times New Roman" w:cs="Times New Roman"/>
                <w:bCs/>
                <w:lang w:val="en-GB"/>
              </w:rPr>
            </w:pPr>
            <w:r w:rsidRPr="00402720">
              <w:rPr>
                <w:rFonts w:ascii="Times New Roman" w:hAnsi="Times New Roman" w:cs="Times New Roman"/>
                <w:bCs/>
                <w:lang w:val="en-GB"/>
              </w:rPr>
              <w:t>Rate (n)</w:t>
            </w:r>
          </w:p>
        </w:tc>
        <w:tc>
          <w:tcPr>
            <w:tcW w:w="3095" w:type="dxa"/>
            <w:tcBorders>
              <w:top w:val="single" w:sz="4" w:space="0" w:color="auto"/>
              <w:left w:val="single" w:sz="4" w:space="0" w:color="auto"/>
              <w:bottom w:val="single" w:sz="4" w:space="0" w:color="auto"/>
              <w:right w:val="single" w:sz="4" w:space="0" w:color="auto"/>
            </w:tcBorders>
            <w:hideMark/>
          </w:tcPr>
          <w:p w14:paraId="71DBAA17" w14:textId="3515E9B5" w:rsidR="00A93A12" w:rsidRPr="00402720" w:rsidRDefault="00A93A12" w:rsidP="001661A9">
            <w:pPr>
              <w:suppressAutoHyphens/>
              <w:spacing w:after="0" w:line="240" w:lineRule="auto"/>
              <w:jc w:val="center"/>
              <w:rPr>
                <w:rFonts w:ascii="Times New Roman" w:hAnsi="Times New Roman" w:cs="Times New Roman"/>
                <w:bCs/>
                <w:lang w:val="en-GB"/>
              </w:rPr>
            </w:pPr>
            <w:r w:rsidRPr="00402720">
              <w:rPr>
                <w:rFonts w:ascii="Times New Roman" w:hAnsi="Times New Roman" w:cs="Times New Roman"/>
                <w:bCs/>
                <w:lang w:val="en-GB"/>
              </w:rPr>
              <w:t>63</w:t>
            </w:r>
            <w:r w:rsidR="001B0948" w:rsidRPr="00402720">
              <w:rPr>
                <w:rFonts w:ascii="Times New Roman" w:hAnsi="Times New Roman" w:cs="Times New Roman"/>
                <w:bCs/>
                <w:lang w:val="en-GB"/>
              </w:rPr>
              <w:t>,</w:t>
            </w:r>
            <w:r w:rsidRPr="00402720">
              <w:rPr>
                <w:rFonts w:ascii="Times New Roman" w:hAnsi="Times New Roman" w:cs="Times New Roman"/>
                <w:bCs/>
                <w:lang w:val="en-GB"/>
              </w:rPr>
              <w:t>6</w:t>
            </w:r>
            <w:r w:rsidR="00DE0CB6" w:rsidRPr="00402720">
              <w:rPr>
                <w:rFonts w:ascii="Times New Roman" w:hAnsi="Times New Roman" w:cs="Times New Roman"/>
                <w:bCs/>
                <w:lang w:val="en-GB"/>
              </w:rPr>
              <w:t> </w:t>
            </w:r>
            <w:r w:rsidRPr="00402720">
              <w:rPr>
                <w:rFonts w:ascii="Times New Roman" w:hAnsi="Times New Roman" w:cs="Times New Roman"/>
                <w:bCs/>
                <w:lang w:val="en-GB"/>
              </w:rPr>
              <w:t>% (49)</w:t>
            </w:r>
          </w:p>
        </w:tc>
        <w:tc>
          <w:tcPr>
            <w:tcW w:w="3095" w:type="dxa"/>
            <w:tcBorders>
              <w:top w:val="single" w:sz="4" w:space="0" w:color="auto"/>
              <w:left w:val="single" w:sz="4" w:space="0" w:color="auto"/>
              <w:bottom w:val="single" w:sz="4" w:space="0" w:color="auto"/>
              <w:right w:val="single" w:sz="4" w:space="0" w:color="auto"/>
            </w:tcBorders>
            <w:hideMark/>
          </w:tcPr>
          <w:p w14:paraId="13193409" w14:textId="3D64CC5A" w:rsidR="00A93A12" w:rsidRPr="00402720" w:rsidRDefault="00A93A12" w:rsidP="001661A9">
            <w:pPr>
              <w:suppressAutoHyphens/>
              <w:spacing w:after="0" w:line="240" w:lineRule="auto"/>
              <w:jc w:val="center"/>
              <w:rPr>
                <w:rFonts w:ascii="Times New Roman" w:hAnsi="Times New Roman" w:cs="Times New Roman"/>
                <w:bCs/>
                <w:lang w:val="en-GB"/>
              </w:rPr>
            </w:pPr>
            <w:r w:rsidRPr="00402720">
              <w:rPr>
                <w:rFonts w:ascii="Times New Roman" w:hAnsi="Times New Roman" w:cs="Times New Roman"/>
                <w:bCs/>
                <w:lang w:val="en-GB"/>
              </w:rPr>
              <w:t>69</w:t>
            </w:r>
            <w:r w:rsidR="001B0948" w:rsidRPr="00402720">
              <w:rPr>
                <w:rFonts w:ascii="Times New Roman" w:hAnsi="Times New Roman" w:cs="Times New Roman"/>
                <w:bCs/>
                <w:lang w:val="en-GB"/>
              </w:rPr>
              <w:t>,</w:t>
            </w:r>
            <w:r w:rsidRPr="00402720">
              <w:rPr>
                <w:rFonts w:ascii="Times New Roman" w:hAnsi="Times New Roman" w:cs="Times New Roman"/>
                <w:bCs/>
                <w:lang w:val="en-GB"/>
              </w:rPr>
              <w:t>3</w:t>
            </w:r>
            <w:r w:rsidR="00DE0CB6" w:rsidRPr="00402720">
              <w:rPr>
                <w:rFonts w:ascii="Times New Roman" w:hAnsi="Times New Roman" w:cs="Times New Roman"/>
                <w:bCs/>
                <w:lang w:val="en-GB"/>
              </w:rPr>
              <w:t> </w:t>
            </w:r>
            <w:r w:rsidRPr="00402720">
              <w:rPr>
                <w:rFonts w:ascii="Times New Roman" w:hAnsi="Times New Roman" w:cs="Times New Roman"/>
                <w:bCs/>
                <w:lang w:val="en-GB"/>
              </w:rPr>
              <w:t>% (52)</w:t>
            </w:r>
          </w:p>
        </w:tc>
      </w:tr>
      <w:tr w:rsidR="00A93A12" w:rsidRPr="00402720" w14:paraId="6F07DCEF" w14:textId="77777777" w:rsidTr="00A93A12">
        <w:tc>
          <w:tcPr>
            <w:tcW w:w="3094" w:type="dxa"/>
            <w:tcBorders>
              <w:top w:val="single" w:sz="4" w:space="0" w:color="auto"/>
              <w:left w:val="single" w:sz="4" w:space="0" w:color="auto"/>
              <w:bottom w:val="single" w:sz="4" w:space="0" w:color="auto"/>
              <w:right w:val="single" w:sz="4" w:space="0" w:color="auto"/>
            </w:tcBorders>
            <w:hideMark/>
          </w:tcPr>
          <w:p w14:paraId="6E307EEA" w14:textId="147C658B" w:rsidR="00A93A12" w:rsidRPr="00402720" w:rsidRDefault="00A93A12" w:rsidP="001661A9">
            <w:pPr>
              <w:suppressAutoHyphens/>
              <w:spacing w:after="0" w:line="240" w:lineRule="auto"/>
              <w:ind w:left="567"/>
              <w:rPr>
                <w:rFonts w:ascii="Times New Roman" w:hAnsi="Times New Roman" w:cs="Times New Roman"/>
                <w:bCs/>
                <w:lang w:val="en-GB"/>
              </w:rPr>
            </w:pPr>
            <w:r w:rsidRPr="00402720">
              <w:rPr>
                <w:rFonts w:ascii="Times New Roman" w:hAnsi="Times New Roman" w:cs="Times New Roman"/>
                <w:bCs/>
                <w:lang w:val="en-GB"/>
              </w:rPr>
              <w:t>p-</w:t>
            </w:r>
            <w:r w:rsidR="001B0948" w:rsidRPr="00402720">
              <w:rPr>
                <w:rFonts w:ascii="Times New Roman" w:hAnsi="Times New Roman" w:cs="Times New Roman"/>
                <w:bCs/>
                <w:lang w:val="en-GB"/>
              </w:rPr>
              <w:t>Wert</w:t>
            </w:r>
          </w:p>
        </w:tc>
        <w:tc>
          <w:tcPr>
            <w:tcW w:w="6190" w:type="dxa"/>
            <w:gridSpan w:val="2"/>
            <w:tcBorders>
              <w:top w:val="single" w:sz="4" w:space="0" w:color="auto"/>
              <w:left w:val="single" w:sz="4" w:space="0" w:color="auto"/>
              <w:bottom w:val="single" w:sz="4" w:space="0" w:color="auto"/>
              <w:right w:val="single" w:sz="4" w:space="0" w:color="auto"/>
            </w:tcBorders>
            <w:hideMark/>
          </w:tcPr>
          <w:p w14:paraId="5581C8F9" w14:textId="5445E890" w:rsidR="00A93A12" w:rsidRPr="00402720" w:rsidRDefault="00A93A12" w:rsidP="001661A9">
            <w:pPr>
              <w:suppressAutoHyphens/>
              <w:spacing w:after="0" w:line="240" w:lineRule="auto"/>
              <w:jc w:val="center"/>
              <w:rPr>
                <w:rFonts w:ascii="Times New Roman" w:hAnsi="Times New Roman" w:cs="Times New Roman"/>
                <w:bCs/>
                <w:lang w:val="en-GB"/>
              </w:rPr>
            </w:pPr>
            <w:r w:rsidRPr="00402720">
              <w:rPr>
                <w:rFonts w:ascii="Times New Roman" w:hAnsi="Times New Roman" w:cs="Times New Roman"/>
                <w:bCs/>
                <w:lang w:val="en-GB"/>
              </w:rPr>
              <w:t>0</w:t>
            </w:r>
            <w:r w:rsidR="001B0948" w:rsidRPr="00402720">
              <w:rPr>
                <w:rFonts w:ascii="Times New Roman" w:hAnsi="Times New Roman" w:cs="Times New Roman"/>
                <w:bCs/>
                <w:lang w:val="en-GB"/>
              </w:rPr>
              <w:t>,</w:t>
            </w:r>
            <w:r w:rsidRPr="00402720">
              <w:rPr>
                <w:rFonts w:ascii="Times New Roman" w:hAnsi="Times New Roman" w:cs="Times New Roman"/>
                <w:bCs/>
                <w:lang w:val="en-GB"/>
              </w:rPr>
              <w:t>4951</w:t>
            </w:r>
          </w:p>
        </w:tc>
      </w:tr>
      <w:tr w:rsidR="001B0948" w:rsidRPr="00402720" w14:paraId="280B0925" w14:textId="77777777" w:rsidTr="00A93A12">
        <w:tc>
          <w:tcPr>
            <w:tcW w:w="3094" w:type="dxa"/>
            <w:tcBorders>
              <w:top w:val="single" w:sz="4" w:space="0" w:color="auto"/>
              <w:left w:val="single" w:sz="4" w:space="0" w:color="auto"/>
              <w:bottom w:val="single" w:sz="4" w:space="0" w:color="auto"/>
              <w:right w:val="single" w:sz="4" w:space="0" w:color="auto"/>
            </w:tcBorders>
            <w:hideMark/>
          </w:tcPr>
          <w:p w14:paraId="1BB3ACEB" w14:textId="059B4770" w:rsidR="00A93A12" w:rsidRPr="00402720" w:rsidRDefault="001B0948" w:rsidP="00A93A12">
            <w:pPr>
              <w:suppressAutoHyphens/>
              <w:spacing w:after="0" w:line="240" w:lineRule="auto"/>
              <w:rPr>
                <w:rFonts w:ascii="Times New Roman" w:hAnsi="Times New Roman" w:cs="Times New Roman"/>
                <w:bCs/>
                <w:lang w:val="en-GB"/>
              </w:rPr>
            </w:pPr>
            <w:r w:rsidRPr="00D87918">
              <w:rPr>
                <w:rFonts w:ascii="Times New Roman" w:hAnsi="Times New Roman" w:cs="Times New Roman"/>
                <w:bCs/>
                <w:lang w:val="en-GB"/>
              </w:rPr>
              <w:t>Gesamtüberleben</w:t>
            </w:r>
            <w:r w:rsidR="00A93A12" w:rsidRPr="00D87918">
              <w:rPr>
                <w:rFonts w:ascii="Times New Roman" w:hAnsi="Times New Roman" w:cs="Times New Roman"/>
                <w:bCs/>
                <w:lang w:val="en-GB"/>
              </w:rPr>
              <w:t>*</w:t>
            </w:r>
            <w:r w:rsidR="00A93A12" w:rsidRPr="00402720">
              <w:rPr>
                <w:rFonts w:ascii="Times New Roman" w:hAnsi="Times New Roman" w:cs="Times New Roman"/>
                <w:bCs/>
                <w:lang w:val="en-GB"/>
              </w:rPr>
              <w:t xml:space="preserve"> (</w:t>
            </w:r>
            <w:r w:rsidRPr="00402720">
              <w:rPr>
                <w:rFonts w:ascii="Times New Roman" w:hAnsi="Times New Roman" w:cs="Times New Roman"/>
                <w:bCs/>
                <w:lang w:val="en-GB"/>
              </w:rPr>
              <w:t>Monate</w:t>
            </w:r>
            <w:r w:rsidR="00A93A12" w:rsidRPr="00402720">
              <w:rPr>
                <w:rFonts w:ascii="Times New Roman" w:hAnsi="Times New Roman" w:cs="Times New Roman"/>
                <w:bCs/>
                <w:lang w:val="en-GB"/>
              </w:rPr>
              <w:t>)</w:t>
            </w:r>
          </w:p>
        </w:tc>
        <w:tc>
          <w:tcPr>
            <w:tcW w:w="3095" w:type="dxa"/>
            <w:tcBorders>
              <w:top w:val="single" w:sz="4" w:space="0" w:color="auto"/>
              <w:left w:val="single" w:sz="4" w:space="0" w:color="auto"/>
              <w:bottom w:val="single" w:sz="4" w:space="0" w:color="auto"/>
              <w:right w:val="single" w:sz="4" w:space="0" w:color="auto"/>
            </w:tcBorders>
          </w:tcPr>
          <w:p w14:paraId="56FD8305" w14:textId="77777777" w:rsidR="00A93A12" w:rsidRPr="00402720" w:rsidRDefault="00A93A12" w:rsidP="001661A9">
            <w:pPr>
              <w:suppressAutoHyphens/>
              <w:spacing w:after="0" w:line="240" w:lineRule="auto"/>
              <w:jc w:val="center"/>
              <w:rPr>
                <w:rFonts w:ascii="Times New Roman" w:hAnsi="Times New Roman" w:cs="Times New Roman"/>
                <w:b/>
                <w:bCs/>
                <w:lang w:val="en-GB"/>
              </w:rPr>
            </w:pPr>
          </w:p>
        </w:tc>
        <w:tc>
          <w:tcPr>
            <w:tcW w:w="3095" w:type="dxa"/>
            <w:tcBorders>
              <w:top w:val="single" w:sz="4" w:space="0" w:color="auto"/>
              <w:left w:val="single" w:sz="4" w:space="0" w:color="auto"/>
              <w:bottom w:val="single" w:sz="4" w:space="0" w:color="auto"/>
              <w:right w:val="single" w:sz="4" w:space="0" w:color="auto"/>
            </w:tcBorders>
          </w:tcPr>
          <w:p w14:paraId="569833E0" w14:textId="77777777" w:rsidR="00A93A12" w:rsidRPr="00402720" w:rsidRDefault="00A93A12" w:rsidP="001661A9">
            <w:pPr>
              <w:suppressAutoHyphens/>
              <w:spacing w:after="0" w:line="240" w:lineRule="auto"/>
              <w:jc w:val="center"/>
              <w:rPr>
                <w:rFonts w:ascii="Times New Roman" w:hAnsi="Times New Roman" w:cs="Times New Roman"/>
                <w:b/>
                <w:bCs/>
                <w:lang w:val="en-GB"/>
              </w:rPr>
            </w:pPr>
          </w:p>
        </w:tc>
      </w:tr>
      <w:tr w:rsidR="001B0948" w:rsidRPr="00402720" w14:paraId="2F599DAA" w14:textId="77777777" w:rsidTr="00A93A12">
        <w:tc>
          <w:tcPr>
            <w:tcW w:w="3094" w:type="dxa"/>
            <w:tcBorders>
              <w:top w:val="single" w:sz="4" w:space="0" w:color="auto"/>
              <w:left w:val="single" w:sz="4" w:space="0" w:color="auto"/>
              <w:bottom w:val="single" w:sz="4" w:space="0" w:color="auto"/>
              <w:right w:val="single" w:sz="4" w:space="0" w:color="auto"/>
            </w:tcBorders>
            <w:hideMark/>
          </w:tcPr>
          <w:p w14:paraId="4A6A9214" w14:textId="77777777" w:rsidR="00A93A12" w:rsidRPr="00402720" w:rsidRDefault="00A93A12" w:rsidP="001661A9">
            <w:pPr>
              <w:suppressAutoHyphens/>
              <w:spacing w:after="0" w:line="240" w:lineRule="auto"/>
              <w:ind w:left="567"/>
              <w:rPr>
                <w:rFonts w:ascii="Times New Roman" w:hAnsi="Times New Roman" w:cs="Times New Roman"/>
                <w:bCs/>
                <w:lang w:val="en-GB"/>
              </w:rPr>
            </w:pPr>
            <w:r w:rsidRPr="00402720">
              <w:rPr>
                <w:rFonts w:ascii="Times New Roman" w:hAnsi="Times New Roman" w:cs="Times New Roman"/>
                <w:bCs/>
                <w:lang w:val="en-GB"/>
              </w:rPr>
              <w:t>Median</w:t>
            </w:r>
          </w:p>
        </w:tc>
        <w:tc>
          <w:tcPr>
            <w:tcW w:w="3095" w:type="dxa"/>
            <w:tcBorders>
              <w:top w:val="single" w:sz="4" w:space="0" w:color="auto"/>
              <w:left w:val="single" w:sz="4" w:space="0" w:color="auto"/>
              <w:bottom w:val="single" w:sz="4" w:space="0" w:color="auto"/>
              <w:right w:val="single" w:sz="4" w:space="0" w:color="auto"/>
            </w:tcBorders>
            <w:hideMark/>
          </w:tcPr>
          <w:p w14:paraId="7572E799" w14:textId="0EA36985" w:rsidR="00A93A12" w:rsidRPr="00402720" w:rsidRDefault="00A93A12" w:rsidP="001661A9">
            <w:pPr>
              <w:suppressAutoHyphens/>
              <w:spacing w:after="0" w:line="240" w:lineRule="auto"/>
              <w:jc w:val="center"/>
              <w:rPr>
                <w:rFonts w:ascii="Times New Roman" w:hAnsi="Times New Roman" w:cs="Times New Roman"/>
                <w:bCs/>
                <w:lang w:val="en-GB"/>
              </w:rPr>
            </w:pPr>
            <w:r w:rsidRPr="00402720">
              <w:rPr>
                <w:rFonts w:ascii="Times New Roman" w:hAnsi="Times New Roman" w:cs="Times New Roman"/>
                <w:bCs/>
                <w:lang w:val="en-GB"/>
              </w:rPr>
              <w:t>47</w:t>
            </w:r>
            <w:r w:rsidR="001B0948" w:rsidRPr="00402720">
              <w:rPr>
                <w:rFonts w:ascii="Times New Roman" w:hAnsi="Times New Roman" w:cs="Times New Roman"/>
                <w:bCs/>
                <w:lang w:val="en-GB"/>
              </w:rPr>
              <w:t>,</w:t>
            </w:r>
            <w:r w:rsidRPr="00402720">
              <w:rPr>
                <w:rFonts w:ascii="Times New Roman" w:hAnsi="Times New Roman" w:cs="Times New Roman"/>
                <w:bCs/>
                <w:lang w:val="en-GB"/>
              </w:rPr>
              <w:t>4</w:t>
            </w:r>
          </w:p>
        </w:tc>
        <w:tc>
          <w:tcPr>
            <w:tcW w:w="3095" w:type="dxa"/>
            <w:tcBorders>
              <w:top w:val="single" w:sz="4" w:space="0" w:color="auto"/>
              <w:left w:val="single" w:sz="4" w:space="0" w:color="auto"/>
              <w:bottom w:val="single" w:sz="4" w:space="0" w:color="auto"/>
              <w:right w:val="single" w:sz="4" w:space="0" w:color="auto"/>
            </w:tcBorders>
            <w:hideMark/>
          </w:tcPr>
          <w:p w14:paraId="542BCCB8" w14:textId="4A0E50C7" w:rsidR="00A93A12" w:rsidRPr="00402720" w:rsidRDefault="00A93A12" w:rsidP="001661A9">
            <w:pPr>
              <w:suppressAutoHyphens/>
              <w:spacing w:after="0" w:line="240" w:lineRule="auto"/>
              <w:jc w:val="center"/>
              <w:rPr>
                <w:rFonts w:ascii="Times New Roman" w:hAnsi="Times New Roman" w:cs="Times New Roman"/>
                <w:bCs/>
                <w:lang w:val="en-GB"/>
              </w:rPr>
            </w:pPr>
            <w:r w:rsidRPr="00402720">
              <w:rPr>
                <w:rFonts w:ascii="Times New Roman" w:hAnsi="Times New Roman" w:cs="Times New Roman"/>
                <w:bCs/>
                <w:lang w:val="en-GB"/>
              </w:rPr>
              <w:t>47</w:t>
            </w:r>
            <w:r w:rsidR="001B0948" w:rsidRPr="00402720">
              <w:rPr>
                <w:rFonts w:ascii="Times New Roman" w:hAnsi="Times New Roman" w:cs="Times New Roman"/>
                <w:bCs/>
                <w:lang w:val="en-GB"/>
              </w:rPr>
              <w:t>,</w:t>
            </w:r>
            <w:r w:rsidRPr="00402720">
              <w:rPr>
                <w:rFonts w:ascii="Times New Roman" w:hAnsi="Times New Roman" w:cs="Times New Roman"/>
                <w:bCs/>
                <w:lang w:val="en-GB"/>
              </w:rPr>
              <w:t>0</w:t>
            </w:r>
          </w:p>
        </w:tc>
      </w:tr>
      <w:tr w:rsidR="00A93A12" w:rsidRPr="00402720" w14:paraId="2D6A57CB" w14:textId="77777777" w:rsidTr="00A93A12">
        <w:tc>
          <w:tcPr>
            <w:tcW w:w="3094" w:type="dxa"/>
            <w:tcBorders>
              <w:top w:val="single" w:sz="4" w:space="0" w:color="auto"/>
              <w:left w:val="single" w:sz="4" w:space="0" w:color="auto"/>
              <w:bottom w:val="single" w:sz="4" w:space="0" w:color="auto"/>
              <w:right w:val="single" w:sz="4" w:space="0" w:color="auto"/>
            </w:tcBorders>
            <w:hideMark/>
          </w:tcPr>
          <w:p w14:paraId="1C024F0A" w14:textId="46FA9EDF" w:rsidR="00A93A12" w:rsidRPr="00402720" w:rsidRDefault="00A93A12" w:rsidP="001661A9">
            <w:pPr>
              <w:suppressAutoHyphens/>
              <w:spacing w:after="0" w:line="240" w:lineRule="auto"/>
              <w:ind w:left="567"/>
              <w:rPr>
                <w:rFonts w:ascii="Times New Roman" w:hAnsi="Times New Roman" w:cs="Times New Roman"/>
                <w:bCs/>
                <w:lang w:val="en-GB"/>
              </w:rPr>
            </w:pPr>
            <w:r w:rsidRPr="00402720">
              <w:rPr>
                <w:rFonts w:ascii="Times New Roman" w:hAnsi="Times New Roman" w:cs="Times New Roman"/>
                <w:bCs/>
                <w:lang w:val="en-GB"/>
              </w:rPr>
              <w:t>HR (95</w:t>
            </w:r>
            <w:r w:rsidR="00DE0CB6" w:rsidRPr="00402720">
              <w:rPr>
                <w:rFonts w:ascii="Times New Roman" w:hAnsi="Times New Roman" w:cs="Times New Roman"/>
                <w:bCs/>
                <w:lang w:val="en-GB"/>
              </w:rPr>
              <w:t> </w:t>
            </w:r>
            <w:r w:rsidRPr="00402720">
              <w:rPr>
                <w:rFonts w:ascii="Times New Roman" w:hAnsi="Times New Roman" w:cs="Times New Roman"/>
                <w:bCs/>
                <w:lang w:val="en-GB"/>
              </w:rPr>
              <w:t>%</w:t>
            </w:r>
            <w:r w:rsidR="00905FDC">
              <w:rPr>
                <w:rFonts w:ascii="Times New Roman" w:hAnsi="Times New Roman" w:cs="Times New Roman"/>
                <w:bCs/>
                <w:lang w:val="en-GB"/>
              </w:rPr>
              <w:t> </w:t>
            </w:r>
            <w:r w:rsidR="001B0948" w:rsidRPr="00402720">
              <w:rPr>
                <w:rFonts w:ascii="Times New Roman" w:hAnsi="Times New Roman" w:cs="Times New Roman"/>
                <w:bCs/>
                <w:lang w:val="en-GB"/>
              </w:rPr>
              <w:t>K</w:t>
            </w:r>
            <w:r w:rsidRPr="00402720">
              <w:rPr>
                <w:rFonts w:ascii="Times New Roman" w:hAnsi="Times New Roman" w:cs="Times New Roman"/>
                <w:bCs/>
                <w:lang w:val="en-GB"/>
              </w:rPr>
              <w:t>I)</w:t>
            </w:r>
          </w:p>
        </w:tc>
        <w:tc>
          <w:tcPr>
            <w:tcW w:w="6190" w:type="dxa"/>
            <w:gridSpan w:val="2"/>
            <w:tcBorders>
              <w:top w:val="single" w:sz="4" w:space="0" w:color="auto"/>
              <w:left w:val="single" w:sz="4" w:space="0" w:color="auto"/>
              <w:bottom w:val="single" w:sz="4" w:space="0" w:color="auto"/>
              <w:right w:val="single" w:sz="4" w:space="0" w:color="auto"/>
            </w:tcBorders>
            <w:hideMark/>
          </w:tcPr>
          <w:p w14:paraId="1F9EE2AA" w14:textId="0AECE1A0" w:rsidR="00A93A12" w:rsidRPr="00402720" w:rsidRDefault="00A93A12" w:rsidP="001661A9">
            <w:pPr>
              <w:suppressAutoHyphens/>
              <w:spacing w:after="0" w:line="240" w:lineRule="auto"/>
              <w:jc w:val="center"/>
              <w:rPr>
                <w:rFonts w:ascii="Times New Roman" w:hAnsi="Times New Roman" w:cs="Times New Roman"/>
                <w:bCs/>
                <w:lang w:val="en-GB"/>
              </w:rPr>
            </w:pPr>
            <w:r w:rsidRPr="00402720">
              <w:rPr>
                <w:rFonts w:ascii="Times New Roman" w:hAnsi="Times New Roman" w:cs="Times New Roman"/>
                <w:bCs/>
                <w:lang w:val="en-GB"/>
              </w:rPr>
              <w:t>0</w:t>
            </w:r>
            <w:r w:rsidR="001B0948" w:rsidRPr="00402720">
              <w:rPr>
                <w:rFonts w:ascii="Times New Roman" w:hAnsi="Times New Roman" w:cs="Times New Roman"/>
                <w:bCs/>
                <w:lang w:val="en-GB"/>
              </w:rPr>
              <w:t>,</w:t>
            </w:r>
            <w:r w:rsidRPr="00402720">
              <w:rPr>
                <w:rFonts w:ascii="Times New Roman" w:hAnsi="Times New Roman" w:cs="Times New Roman"/>
                <w:bCs/>
                <w:lang w:val="en-GB"/>
              </w:rPr>
              <w:t>81 (0</w:t>
            </w:r>
            <w:r w:rsidR="001B0948" w:rsidRPr="00402720">
              <w:rPr>
                <w:rFonts w:ascii="Times New Roman" w:hAnsi="Times New Roman" w:cs="Times New Roman"/>
                <w:bCs/>
                <w:lang w:val="en-GB"/>
              </w:rPr>
              <w:t>,</w:t>
            </w:r>
            <w:r w:rsidRPr="00402720">
              <w:rPr>
                <w:rFonts w:ascii="Times New Roman" w:hAnsi="Times New Roman" w:cs="Times New Roman"/>
                <w:bCs/>
                <w:lang w:val="en-GB"/>
              </w:rPr>
              <w:t>53; 1</w:t>
            </w:r>
            <w:r w:rsidR="001B0948" w:rsidRPr="00402720">
              <w:rPr>
                <w:rFonts w:ascii="Times New Roman" w:hAnsi="Times New Roman" w:cs="Times New Roman"/>
                <w:bCs/>
                <w:lang w:val="en-GB"/>
              </w:rPr>
              <w:t>,</w:t>
            </w:r>
            <w:r w:rsidRPr="00402720">
              <w:rPr>
                <w:rFonts w:ascii="Times New Roman" w:hAnsi="Times New Roman" w:cs="Times New Roman"/>
                <w:bCs/>
                <w:lang w:val="en-GB"/>
              </w:rPr>
              <w:t>23)</w:t>
            </w:r>
          </w:p>
        </w:tc>
      </w:tr>
      <w:tr w:rsidR="00A93A12" w:rsidRPr="00402720" w14:paraId="203CBC96" w14:textId="77777777" w:rsidTr="00A93A12">
        <w:tc>
          <w:tcPr>
            <w:tcW w:w="3094" w:type="dxa"/>
            <w:tcBorders>
              <w:top w:val="single" w:sz="4" w:space="0" w:color="auto"/>
              <w:left w:val="single" w:sz="4" w:space="0" w:color="auto"/>
              <w:bottom w:val="single" w:sz="4" w:space="0" w:color="auto"/>
              <w:right w:val="single" w:sz="4" w:space="0" w:color="auto"/>
            </w:tcBorders>
            <w:hideMark/>
          </w:tcPr>
          <w:p w14:paraId="63B6DDE3" w14:textId="5637F53F" w:rsidR="00A93A12" w:rsidRPr="00402720" w:rsidRDefault="00A93A12" w:rsidP="001661A9">
            <w:pPr>
              <w:suppressAutoHyphens/>
              <w:spacing w:after="0" w:line="240" w:lineRule="auto"/>
              <w:ind w:left="567"/>
              <w:rPr>
                <w:rFonts w:ascii="Times New Roman" w:hAnsi="Times New Roman" w:cs="Times New Roman"/>
                <w:bCs/>
                <w:lang w:val="en-GB"/>
              </w:rPr>
            </w:pPr>
            <w:r w:rsidRPr="00402720">
              <w:rPr>
                <w:rFonts w:ascii="Times New Roman" w:hAnsi="Times New Roman" w:cs="Times New Roman"/>
                <w:bCs/>
                <w:lang w:val="en-GB"/>
              </w:rPr>
              <w:t>p-</w:t>
            </w:r>
            <w:r w:rsidR="001B0948" w:rsidRPr="00402720">
              <w:rPr>
                <w:rFonts w:ascii="Times New Roman" w:hAnsi="Times New Roman" w:cs="Times New Roman"/>
                <w:bCs/>
                <w:lang w:val="en-GB"/>
              </w:rPr>
              <w:t>Wert</w:t>
            </w:r>
          </w:p>
        </w:tc>
        <w:tc>
          <w:tcPr>
            <w:tcW w:w="6190" w:type="dxa"/>
            <w:gridSpan w:val="2"/>
            <w:tcBorders>
              <w:top w:val="single" w:sz="4" w:space="0" w:color="auto"/>
              <w:left w:val="single" w:sz="4" w:space="0" w:color="auto"/>
              <w:bottom w:val="single" w:sz="4" w:space="0" w:color="auto"/>
              <w:right w:val="single" w:sz="4" w:space="0" w:color="auto"/>
            </w:tcBorders>
            <w:hideMark/>
          </w:tcPr>
          <w:p w14:paraId="796B30D1" w14:textId="76EBE9A9" w:rsidR="00A93A12" w:rsidRPr="00402720" w:rsidRDefault="00A93A12" w:rsidP="001661A9">
            <w:pPr>
              <w:suppressAutoHyphens/>
              <w:spacing w:after="0" w:line="240" w:lineRule="auto"/>
              <w:jc w:val="center"/>
              <w:rPr>
                <w:rFonts w:ascii="Times New Roman" w:hAnsi="Times New Roman" w:cs="Times New Roman"/>
                <w:bCs/>
                <w:lang w:val="en-GB"/>
              </w:rPr>
            </w:pPr>
            <w:r w:rsidRPr="00402720">
              <w:rPr>
                <w:rFonts w:ascii="Times New Roman" w:hAnsi="Times New Roman" w:cs="Times New Roman"/>
                <w:bCs/>
                <w:lang w:val="en-GB"/>
              </w:rPr>
              <w:t>0</w:t>
            </w:r>
            <w:r w:rsidR="001B0948" w:rsidRPr="00402720">
              <w:rPr>
                <w:rFonts w:ascii="Times New Roman" w:hAnsi="Times New Roman" w:cs="Times New Roman"/>
                <w:bCs/>
                <w:lang w:val="en-GB"/>
              </w:rPr>
              <w:t>,</w:t>
            </w:r>
            <w:r w:rsidRPr="00402720">
              <w:rPr>
                <w:rFonts w:ascii="Times New Roman" w:hAnsi="Times New Roman" w:cs="Times New Roman"/>
                <w:bCs/>
                <w:lang w:val="en-GB"/>
              </w:rPr>
              <w:t>3267</w:t>
            </w:r>
          </w:p>
        </w:tc>
      </w:tr>
    </w:tbl>
    <w:p w14:paraId="551B874E" w14:textId="01AA8A04" w:rsidR="00A93A12" w:rsidRPr="00BD272D" w:rsidRDefault="00A93A12" w:rsidP="00BD272D">
      <w:pPr>
        <w:suppressAutoHyphens/>
        <w:spacing w:after="0" w:line="240" w:lineRule="auto"/>
        <w:ind w:left="720" w:hanging="720"/>
        <w:rPr>
          <w:rFonts w:ascii="Times New Roman" w:hAnsi="Times New Roman" w:cs="Times New Roman"/>
          <w:bCs/>
          <w:sz w:val="20"/>
          <w:szCs w:val="20"/>
          <w:lang w:val="de-DE"/>
        </w:rPr>
      </w:pPr>
      <w:r w:rsidRPr="00BD272D">
        <w:rPr>
          <w:rFonts w:ascii="Times New Roman" w:hAnsi="Times New Roman" w:cs="Times New Roman"/>
          <w:bCs/>
          <w:sz w:val="20"/>
          <w:szCs w:val="20"/>
          <w:vertAlign w:val="superscript"/>
          <w:lang w:val="de-DE"/>
        </w:rPr>
        <w:t>#</w:t>
      </w:r>
      <w:r w:rsidRPr="00BD272D">
        <w:rPr>
          <w:rFonts w:ascii="Times New Roman" w:hAnsi="Times New Roman" w:cs="Times New Roman"/>
          <w:bCs/>
          <w:sz w:val="20"/>
          <w:szCs w:val="20"/>
          <w:lang w:val="de-DE"/>
        </w:rPr>
        <w:tab/>
      </w:r>
      <w:r w:rsidR="00C667C8" w:rsidRPr="00BD272D">
        <w:rPr>
          <w:rFonts w:ascii="Times New Roman" w:hAnsi="Times New Roman" w:cs="Times New Roman"/>
          <w:bCs/>
          <w:sz w:val="20"/>
          <w:szCs w:val="20"/>
          <w:lang w:val="de-DE"/>
        </w:rPr>
        <w:t>Insgesamt wurden 154</w:t>
      </w:r>
      <w:r w:rsidR="00DE0CB6" w:rsidRPr="00BD272D">
        <w:rPr>
          <w:rFonts w:ascii="Times New Roman" w:hAnsi="Times New Roman" w:cs="Times New Roman"/>
          <w:bCs/>
          <w:sz w:val="20"/>
          <w:szCs w:val="20"/>
          <w:lang w:val="de-DE"/>
        </w:rPr>
        <w:t> </w:t>
      </w:r>
      <w:r w:rsidR="00C667C8" w:rsidRPr="00BD272D">
        <w:rPr>
          <w:rFonts w:ascii="Times New Roman" w:hAnsi="Times New Roman" w:cs="Times New Roman"/>
          <w:bCs/>
          <w:sz w:val="20"/>
          <w:szCs w:val="20"/>
          <w:lang w:val="de-DE"/>
        </w:rPr>
        <w:t>Patienten (ECOG-Performance-Status 0 oder 1) randomisiert. Zwei der randomisierten Patienten brachen die Studie jedoch ab, bevor sie eine Studienbehandlung erhalten hatten</w:t>
      </w:r>
      <w:r w:rsidRPr="00BD272D">
        <w:rPr>
          <w:rFonts w:ascii="Times New Roman" w:hAnsi="Times New Roman" w:cs="Times New Roman"/>
          <w:bCs/>
          <w:sz w:val="20"/>
          <w:szCs w:val="20"/>
          <w:lang w:val="de-DE"/>
        </w:rPr>
        <w:t>.</w:t>
      </w:r>
    </w:p>
    <w:p w14:paraId="1C2299C0" w14:textId="067D7F1E" w:rsidR="00A93A12" w:rsidRPr="00BD272D" w:rsidRDefault="00A93A12" w:rsidP="00A93A12">
      <w:pPr>
        <w:suppressAutoHyphens/>
        <w:spacing w:after="0" w:line="240" w:lineRule="auto"/>
        <w:rPr>
          <w:rFonts w:ascii="Times New Roman" w:hAnsi="Times New Roman" w:cs="Times New Roman"/>
          <w:bCs/>
          <w:sz w:val="20"/>
          <w:szCs w:val="20"/>
          <w:lang w:val="de-DE"/>
        </w:rPr>
      </w:pPr>
      <w:r w:rsidRPr="00BD272D">
        <w:rPr>
          <w:rFonts w:ascii="Times New Roman" w:hAnsi="Times New Roman" w:cs="Times New Roman"/>
          <w:bCs/>
          <w:sz w:val="20"/>
          <w:szCs w:val="20"/>
          <w:lang w:val="de-DE"/>
        </w:rPr>
        <w:t>^</w:t>
      </w:r>
      <w:r w:rsidRPr="00BD272D">
        <w:rPr>
          <w:rFonts w:ascii="Times New Roman" w:hAnsi="Times New Roman" w:cs="Times New Roman"/>
          <w:bCs/>
          <w:sz w:val="20"/>
          <w:szCs w:val="20"/>
          <w:lang w:val="de-DE"/>
        </w:rPr>
        <w:tab/>
      </w:r>
      <w:r w:rsidR="00C667C8" w:rsidRPr="00BD272D">
        <w:rPr>
          <w:rFonts w:ascii="Times New Roman" w:hAnsi="Times New Roman" w:cs="Times New Roman"/>
          <w:bCs/>
          <w:sz w:val="20"/>
          <w:szCs w:val="20"/>
          <w:lang w:val="de-DE"/>
        </w:rPr>
        <w:t>Verblindete, unabhängige Bewertung (Primäranalyse wie im Protokoll definiert)</w:t>
      </w:r>
      <w:r w:rsidRPr="00BD272D">
        <w:rPr>
          <w:rFonts w:ascii="Times New Roman" w:hAnsi="Times New Roman" w:cs="Times New Roman"/>
          <w:bCs/>
          <w:sz w:val="20"/>
          <w:szCs w:val="20"/>
          <w:lang w:val="de-DE"/>
        </w:rPr>
        <w:t>.</w:t>
      </w:r>
    </w:p>
    <w:p w14:paraId="76710921" w14:textId="17AD9952" w:rsidR="00A93A12" w:rsidRPr="00BD272D" w:rsidRDefault="00A93A12" w:rsidP="00BD272D">
      <w:pPr>
        <w:suppressAutoHyphens/>
        <w:spacing w:after="0" w:line="240" w:lineRule="auto"/>
        <w:ind w:left="720" w:hanging="720"/>
        <w:rPr>
          <w:rFonts w:ascii="Times New Roman" w:hAnsi="Times New Roman" w:cs="Times New Roman"/>
          <w:bCs/>
          <w:sz w:val="20"/>
          <w:szCs w:val="20"/>
          <w:lang w:val="de-DE"/>
        </w:rPr>
      </w:pPr>
      <w:r w:rsidRPr="00BD272D">
        <w:rPr>
          <w:rFonts w:ascii="Times New Roman" w:hAnsi="Times New Roman" w:cs="Times New Roman"/>
          <w:bCs/>
          <w:sz w:val="20"/>
          <w:szCs w:val="20"/>
          <w:lang w:val="de-DE"/>
        </w:rPr>
        <w:t>*</w:t>
      </w:r>
      <w:r w:rsidRPr="00BD272D">
        <w:rPr>
          <w:rFonts w:ascii="Times New Roman" w:hAnsi="Times New Roman" w:cs="Times New Roman"/>
          <w:bCs/>
          <w:sz w:val="20"/>
          <w:szCs w:val="20"/>
          <w:lang w:val="de-DE"/>
        </w:rPr>
        <w:tab/>
      </w:r>
      <w:r w:rsidR="00C667C8" w:rsidRPr="00BD272D">
        <w:rPr>
          <w:rFonts w:ascii="Times New Roman" w:hAnsi="Times New Roman" w:cs="Times New Roman"/>
          <w:bCs/>
          <w:sz w:val="20"/>
          <w:szCs w:val="20"/>
          <w:lang w:val="de-DE"/>
        </w:rPr>
        <w:t>Exploratorische Analyse: Zum Zeitpunkt des klinischen Stichtags am 31.</w:t>
      </w:r>
      <w:r w:rsidR="00E244D1">
        <w:rPr>
          <w:rFonts w:ascii="Times New Roman" w:hAnsi="Times New Roman" w:cs="Times New Roman"/>
          <w:bCs/>
          <w:sz w:val="20"/>
          <w:szCs w:val="20"/>
          <w:lang w:val="de-DE"/>
        </w:rPr>
        <w:t> </w:t>
      </w:r>
      <w:r w:rsidR="00C667C8" w:rsidRPr="00BD272D">
        <w:rPr>
          <w:rFonts w:ascii="Times New Roman" w:hAnsi="Times New Roman" w:cs="Times New Roman"/>
          <w:bCs/>
          <w:sz w:val="20"/>
          <w:szCs w:val="20"/>
          <w:lang w:val="de-DE"/>
        </w:rPr>
        <w:t>Oktober 2017 für die finale OS-Analyse waren ungefähr 59</w:t>
      </w:r>
      <w:r w:rsidR="00DE0CB6" w:rsidRPr="00BD272D">
        <w:rPr>
          <w:rFonts w:ascii="Times New Roman" w:hAnsi="Times New Roman" w:cs="Times New Roman"/>
          <w:bCs/>
          <w:sz w:val="20"/>
          <w:szCs w:val="20"/>
          <w:lang w:val="de-DE"/>
        </w:rPr>
        <w:t> </w:t>
      </w:r>
      <w:r w:rsidR="00C667C8" w:rsidRPr="00BD272D">
        <w:rPr>
          <w:rFonts w:ascii="Times New Roman" w:hAnsi="Times New Roman" w:cs="Times New Roman"/>
          <w:bCs/>
          <w:sz w:val="20"/>
          <w:szCs w:val="20"/>
          <w:lang w:val="de-DE"/>
        </w:rPr>
        <w:t>% der Patienten verstorben</w:t>
      </w:r>
      <w:r w:rsidRPr="00BD272D">
        <w:rPr>
          <w:rFonts w:ascii="Times New Roman" w:hAnsi="Times New Roman" w:cs="Times New Roman"/>
          <w:bCs/>
          <w:sz w:val="20"/>
          <w:szCs w:val="20"/>
          <w:lang w:val="de-DE"/>
        </w:rPr>
        <w:t>.</w:t>
      </w:r>
    </w:p>
    <w:p w14:paraId="69782189" w14:textId="77777777" w:rsidR="00A93A12" w:rsidRPr="001661A9" w:rsidRDefault="00A93A12" w:rsidP="00A93A12">
      <w:pPr>
        <w:suppressAutoHyphens/>
        <w:spacing w:after="0" w:line="240" w:lineRule="auto"/>
        <w:rPr>
          <w:rFonts w:ascii="Times New Roman" w:hAnsi="Times New Roman" w:cs="Times New Roman"/>
          <w:bCs/>
          <w:lang w:val="de-DE"/>
        </w:rPr>
      </w:pPr>
    </w:p>
    <w:p w14:paraId="40AB69FF" w14:textId="6ABC453E" w:rsidR="00A93A12" w:rsidRPr="00BD272D" w:rsidRDefault="00C667C8" w:rsidP="00A93A12">
      <w:pPr>
        <w:suppressAutoHyphens/>
        <w:spacing w:after="0" w:line="240" w:lineRule="auto"/>
        <w:rPr>
          <w:rFonts w:ascii="Times New Roman" w:hAnsi="Times New Roman" w:cs="Times New Roman"/>
          <w:bCs/>
          <w:sz w:val="20"/>
          <w:szCs w:val="20"/>
          <w:lang w:val="de-DE"/>
        </w:rPr>
      </w:pPr>
      <w:r w:rsidRPr="00BD272D">
        <w:rPr>
          <w:rFonts w:ascii="Times New Roman" w:hAnsi="Times New Roman" w:cs="Times New Roman"/>
          <w:bCs/>
          <w:sz w:val="20"/>
          <w:szCs w:val="20"/>
          <w:lang w:val="de-DE"/>
        </w:rPr>
        <w:t>KI, Konfidenzintervall; HR, Hazard Ratio aus der nicht stratifizierten Cox Regressionsanalyse; NE, nicht erreicht</w:t>
      </w:r>
      <w:r w:rsidR="00A93A12" w:rsidRPr="00BD272D">
        <w:rPr>
          <w:rFonts w:ascii="Times New Roman" w:hAnsi="Times New Roman" w:cs="Times New Roman"/>
          <w:bCs/>
          <w:sz w:val="20"/>
          <w:szCs w:val="20"/>
          <w:lang w:val="de-DE"/>
        </w:rPr>
        <w:t>.</w:t>
      </w:r>
    </w:p>
    <w:p w14:paraId="0E3793FD" w14:textId="77777777" w:rsidR="00010E8C" w:rsidRPr="009737B5" w:rsidRDefault="00010E8C" w:rsidP="005F4D08">
      <w:pPr>
        <w:suppressAutoHyphens/>
        <w:spacing w:after="0" w:line="240" w:lineRule="auto"/>
        <w:rPr>
          <w:rFonts w:ascii="Times New Roman" w:hAnsi="Times New Roman" w:cs="Times New Roman"/>
          <w:lang w:val="de-DE"/>
        </w:rPr>
      </w:pPr>
    </w:p>
    <w:p w14:paraId="13A1F494" w14:textId="77777777" w:rsidR="00010E8C" w:rsidRPr="009737B5" w:rsidRDefault="00010E8C" w:rsidP="008E2EA2">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Fortgeschrittenes und/oder metastasiertes Nierenzellkarzinom</w:t>
      </w:r>
    </w:p>
    <w:p w14:paraId="473098B9" w14:textId="77777777" w:rsidR="00010E8C" w:rsidRPr="009737B5" w:rsidRDefault="00010E8C" w:rsidP="008E2EA2">
      <w:pPr>
        <w:keepNext/>
        <w:suppressAutoHyphens/>
        <w:spacing w:after="0" w:line="240" w:lineRule="auto"/>
        <w:rPr>
          <w:rFonts w:ascii="Times New Roman" w:hAnsi="Times New Roman" w:cs="Times New Roman"/>
          <w:lang w:val="de-DE"/>
        </w:rPr>
      </w:pPr>
    </w:p>
    <w:p w14:paraId="2E5FCB92" w14:textId="77777777" w:rsidR="00010E8C" w:rsidRPr="009737B5" w:rsidRDefault="00A15C0A" w:rsidP="008E2EA2">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Bevacizumab</w:t>
      </w:r>
      <w:r w:rsidR="00010E8C" w:rsidRPr="009737B5">
        <w:rPr>
          <w:rFonts w:ascii="Times New Roman" w:hAnsi="Times New Roman" w:cs="Times New Roman"/>
          <w:i/>
          <w:lang w:val="de-DE"/>
        </w:rPr>
        <w:t xml:space="preserve"> in Kombination mit Interferon alfa-2a zur First-Line-Behandlung des fortgeschrittenen und/oder metastasierten Nierenzellkarzinoms (BO17705)</w:t>
      </w:r>
    </w:p>
    <w:p w14:paraId="2C117C21" w14:textId="77777777" w:rsidR="00010E8C" w:rsidRPr="009737B5" w:rsidRDefault="00010E8C" w:rsidP="008E2EA2">
      <w:pPr>
        <w:keepNext/>
        <w:suppressAutoHyphens/>
        <w:spacing w:after="0" w:line="240" w:lineRule="auto"/>
        <w:rPr>
          <w:rFonts w:ascii="Times New Roman" w:hAnsi="Times New Roman" w:cs="Times New Roman"/>
          <w:lang w:val="de-DE"/>
        </w:rPr>
      </w:pPr>
    </w:p>
    <w:p w14:paraId="35D3BA88" w14:textId="518682A9"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Hierbei handelte es sich um eine randomisierte Doppelblindstudie der Phase</w:t>
      </w:r>
      <w:r w:rsidR="00E244D1">
        <w:rPr>
          <w:rFonts w:ascii="Times New Roman" w:hAnsi="Times New Roman" w:cs="Times New Roman"/>
          <w:lang w:val="de-DE"/>
        </w:rPr>
        <w:t> </w:t>
      </w:r>
      <w:r w:rsidRPr="009737B5">
        <w:rPr>
          <w:rFonts w:ascii="Times New Roman" w:hAnsi="Times New Roman" w:cs="Times New Roman"/>
          <w:lang w:val="de-DE"/>
        </w:rPr>
        <w:t xml:space="preserve">III zur Prüfung der Sicherheit und Wirksamkeit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Interferon (IFN)</w:t>
      </w:r>
      <w:r w:rsidR="00CA2B95">
        <w:rPr>
          <w:rFonts w:ascii="Times New Roman" w:hAnsi="Times New Roman" w:cs="Times New Roman"/>
          <w:lang w:val="de-DE"/>
        </w:rPr>
        <w:t>-</w:t>
      </w:r>
      <w:r w:rsidRPr="009737B5">
        <w:rPr>
          <w:rFonts w:ascii="Times New Roman" w:hAnsi="Times New Roman" w:cs="Times New Roman"/>
          <w:lang w:val="de-DE"/>
        </w:rPr>
        <w:t>alfa-2a gegenüber IFN</w:t>
      </w:r>
      <w:r w:rsidR="00CA2B95">
        <w:rPr>
          <w:rFonts w:ascii="Times New Roman" w:hAnsi="Times New Roman" w:cs="Times New Roman"/>
          <w:lang w:val="de-DE"/>
        </w:rPr>
        <w:t>-</w:t>
      </w:r>
      <w:r w:rsidRPr="009737B5">
        <w:rPr>
          <w:rFonts w:ascii="Times New Roman" w:hAnsi="Times New Roman" w:cs="Times New Roman"/>
          <w:lang w:val="de-DE"/>
        </w:rPr>
        <w:t>alfa-2a allein zur First-Line-Behandlung des fortgeschrittenen und/oder metastasierten</w:t>
      </w:r>
      <w:r w:rsidR="004169C6" w:rsidRPr="009737B5">
        <w:rPr>
          <w:rFonts w:ascii="Times New Roman" w:hAnsi="Times New Roman" w:cs="Times New Roman"/>
          <w:lang w:val="de-DE"/>
        </w:rPr>
        <w:t xml:space="preserve"> </w:t>
      </w:r>
      <w:r w:rsidRPr="009737B5">
        <w:rPr>
          <w:rFonts w:ascii="Times New Roman" w:hAnsi="Times New Roman" w:cs="Times New Roman"/>
          <w:lang w:val="de-DE"/>
        </w:rPr>
        <w:t>Nierenzellkarzinoms. Die 649 in die Studie randomisierten Patienten (641</w:t>
      </w:r>
      <w:r w:rsidR="00E244D1">
        <w:rPr>
          <w:rFonts w:ascii="Times New Roman" w:hAnsi="Times New Roman" w:cs="Times New Roman"/>
          <w:lang w:val="de-DE"/>
        </w:rPr>
        <w:t> </w:t>
      </w:r>
      <w:r w:rsidRPr="009737B5">
        <w:rPr>
          <w:rFonts w:ascii="Times New Roman" w:hAnsi="Times New Roman" w:cs="Times New Roman"/>
          <w:lang w:val="de-DE"/>
        </w:rPr>
        <w:t xml:space="preserve">Patienten behandelt) hatten einen Karnofsky-Performance-Status (KPS) von </w:t>
      </w:r>
      <w:r w:rsidR="00E32D5C" w:rsidRPr="009737B5">
        <w:rPr>
          <w:rFonts w:ascii="Times New Roman" w:hAnsi="Times New Roman" w:cs="Times New Roman"/>
          <w:lang w:val="de-DE"/>
        </w:rPr>
        <w:t>≥ </w:t>
      </w:r>
      <w:r w:rsidRPr="009737B5">
        <w:rPr>
          <w:rFonts w:ascii="Times New Roman" w:hAnsi="Times New Roman" w:cs="Times New Roman"/>
          <w:lang w:val="de-DE"/>
        </w:rPr>
        <w:t>70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keine ZNS-Metastasen und eine angemessene Organfunktion. Die Patienten wurden hinsichtlich eines primären Nierenzellkarzinoms einer Nephrektomie unterzogen. Bis zum Fortschreiten der Erkrankung wurde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10</w:t>
      </w:r>
      <w:r w:rsidR="00AB26B9" w:rsidRPr="009737B5">
        <w:rPr>
          <w:rFonts w:ascii="Times New Roman" w:hAnsi="Times New Roman" w:cs="Times New Roman"/>
          <w:lang w:val="de-DE"/>
        </w:rPr>
        <w:t> mg</w:t>
      </w:r>
      <w:r w:rsidRPr="009737B5">
        <w:rPr>
          <w:rFonts w:ascii="Times New Roman" w:hAnsi="Times New Roman" w:cs="Times New Roman"/>
          <w:lang w:val="de-DE"/>
        </w:rPr>
        <w:t>/kg alle 2</w:t>
      </w:r>
      <w:r w:rsidR="00E244D1">
        <w:rPr>
          <w:rFonts w:ascii="Times New Roman" w:hAnsi="Times New Roman" w:cs="Times New Roman"/>
          <w:lang w:val="de-DE"/>
        </w:rPr>
        <w:t> </w:t>
      </w:r>
      <w:r w:rsidRPr="009737B5">
        <w:rPr>
          <w:rFonts w:ascii="Times New Roman" w:hAnsi="Times New Roman" w:cs="Times New Roman"/>
          <w:lang w:val="de-DE"/>
        </w:rPr>
        <w:t>Wochen gegeben. IFN</w:t>
      </w:r>
      <w:r w:rsidR="00CA2B95">
        <w:rPr>
          <w:rFonts w:ascii="Times New Roman" w:hAnsi="Times New Roman" w:cs="Times New Roman"/>
          <w:lang w:val="de-DE"/>
        </w:rPr>
        <w:t>-</w:t>
      </w:r>
      <w:r w:rsidRPr="009737B5">
        <w:rPr>
          <w:rFonts w:ascii="Times New Roman" w:hAnsi="Times New Roman" w:cs="Times New Roman"/>
          <w:lang w:val="de-DE"/>
        </w:rPr>
        <w:t>alfa-2a wurde bis zu 52</w:t>
      </w:r>
      <w:r w:rsidR="00E244D1">
        <w:rPr>
          <w:rFonts w:ascii="Times New Roman" w:hAnsi="Times New Roman" w:cs="Times New Roman"/>
          <w:lang w:val="de-DE"/>
        </w:rPr>
        <w:t> </w:t>
      </w:r>
      <w:r w:rsidRPr="009737B5">
        <w:rPr>
          <w:rFonts w:ascii="Times New Roman" w:hAnsi="Times New Roman" w:cs="Times New Roman"/>
          <w:lang w:val="de-DE"/>
        </w:rPr>
        <w:t>Wochen oder bis zum Fortschreiten der Erkrankung in einer empfohlenen Startdosis von 9</w:t>
      </w:r>
      <w:r w:rsidR="00E244D1">
        <w:rPr>
          <w:rFonts w:ascii="Times New Roman" w:hAnsi="Times New Roman" w:cs="Times New Roman"/>
          <w:lang w:val="de-DE"/>
        </w:rPr>
        <w:t> </w:t>
      </w:r>
      <w:r w:rsidRPr="009737B5">
        <w:rPr>
          <w:rFonts w:ascii="Times New Roman" w:hAnsi="Times New Roman" w:cs="Times New Roman"/>
          <w:lang w:val="de-DE"/>
        </w:rPr>
        <w:t>Mio.</w:t>
      </w:r>
      <w:r w:rsidR="00E244D1">
        <w:rPr>
          <w:rFonts w:ascii="Times New Roman" w:hAnsi="Times New Roman" w:cs="Times New Roman"/>
          <w:lang w:val="de-DE"/>
        </w:rPr>
        <w:t> </w:t>
      </w:r>
      <w:r w:rsidRPr="009737B5">
        <w:rPr>
          <w:rFonts w:ascii="Times New Roman" w:hAnsi="Times New Roman" w:cs="Times New Roman"/>
          <w:lang w:val="de-DE"/>
        </w:rPr>
        <w:t>I.E. dreimal wöchentlich gegeben, mit der Möglichkeit einer Dosisreduktion auf 3</w:t>
      </w:r>
      <w:r w:rsidR="00E244D1">
        <w:rPr>
          <w:rFonts w:ascii="Times New Roman" w:hAnsi="Times New Roman" w:cs="Times New Roman"/>
          <w:lang w:val="de-DE"/>
        </w:rPr>
        <w:t> </w:t>
      </w:r>
      <w:r w:rsidRPr="009737B5">
        <w:rPr>
          <w:rFonts w:ascii="Times New Roman" w:hAnsi="Times New Roman" w:cs="Times New Roman"/>
          <w:lang w:val="de-DE"/>
        </w:rPr>
        <w:t>Mio.</w:t>
      </w:r>
      <w:r w:rsidR="00E244D1">
        <w:rPr>
          <w:rFonts w:ascii="Times New Roman" w:hAnsi="Times New Roman" w:cs="Times New Roman"/>
          <w:lang w:val="de-DE"/>
        </w:rPr>
        <w:t> </w:t>
      </w:r>
      <w:r w:rsidRPr="009737B5">
        <w:rPr>
          <w:rFonts w:ascii="Times New Roman" w:hAnsi="Times New Roman" w:cs="Times New Roman"/>
          <w:lang w:val="de-DE"/>
        </w:rPr>
        <w:t>I.E. dreimal wöchentlich in zwei Schritten. Die Patienten wurden nach Land und Motzer-Score stratifiziert. Es konnte gezeigt werden, dass die Behandlungsarme hinsichtlich der prognostischen Faktoren ausgeglichen waren.</w:t>
      </w:r>
    </w:p>
    <w:p w14:paraId="16A7C442" w14:textId="77777777" w:rsidR="00010E8C" w:rsidRPr="009737B5" w:rsidRDefault="00010E8C" w:rsidP="005F4D08">
      <w:pPr>
        <w:suppressAutoHyphens/>
        <w:spacing w:after="0" w:line="240" w:lineRule="auto"/>
        <w:rPr>
          <w:rFonts w:ascii="Times New Roman" w:hAnsi="Times New Roman" w:cs="Times New Roman"/>
          <w:lang w:val="de-DE"/>
        </w:rPr>
      </w:pPr>
    </w:p>
    <w:p w14:paraId="3D20CB14" w14:textId="304F62E4"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lastRenderedPageBreak/>
        <w:t xml:space="preserve">Der primäre Studienendpunkt war das Gesamtüberleben. Die sekundären Studienendpunkte beinhalteten außerdem das progressionsfreie Überleben. Die zusätzliche Gabe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zu IFN</w:t>
      </w:r>
      <w:r w:rsidR="00CA2B95">
        <w:rPr>
          <w:rFonts w:ascii="Times New Roman" w:hAnsi="Times New Roman" w:cs="Times New Roman"/>
          <w:lang w:val="de-DE"/>
        </w:rPr>
        <w:t>-</w:t>
      </w:r>
      <w:r w:rsidRPr="009737B5">
        <w:rPr>
          <w:rFonts w:ascii="Times New Roman" w:hAnsi="Times New Roman" w:cs="Times New Roman"/>
          <w:lang w:val="de-DE"/>
        </w:rPr>
        <w:t>alfa-2a erhöhte signifikant das progressionsfreie Überleben und die objektive Tumoransprechrate.</w:t>
      </w:r>
      <w:r w:rsidR="008E2EA2" w:rsidRPr="009737B5">
        <w:rPr>
          <w:rFonts w:ascii="Times New Roman" w:hAnsi="Times New Roman" w:cs="Times New Roman"/>
          <w:lang w:val="de-DE"/>
        </w:rPr>
        <w:t xml:space="preserve"> </w:t>
      </w:r>
      <w:r w:rsidRPr="009737B5">
        <w:rPr>
          <w:rFonts w:ascii="Times New Roman" w:hAnsi="Times New Roman" w:cs="Times New Roman"/>
          <w:lang w:val="de-DE"/>
        </w:rPr>
        <w:t>Diese Ergebnisse wurden durch eine unabhängige radiologische Überprüfung bestätigt. Die Erhöhung des Gesamtüberlebens, d.</w:t>
      </w:r>
      <w:r w:rsidR="00E244D1">
        <w:rPr>
          <w:rFonts w:ascii="Times New Roman" w:hAnsi="Times New Roman" w:cs="Times New Roman"/>
          <w:lang w:val="de-DE"/>
        </w:rPr>
        <w:t> </w:t>
      </w:r>
      <w:r w:rsidRPr="009737B5">
        <w:rPr>
          <w:rFonts w:ascii="Times New Roman" w:hAnsi="Times New Roman" w:cs="Times New Roman"/>
          <w:lang w:val="de-DE"/>
        </w:rPr>
        <w:t>h. des primären Studienendpunktes, um 2</w:t>
      </w:r>
      <w:r w:rsidR="00E244D1">
        <w:rPr>
          <w:rFonts w:ascii="Times New Roman" w:hAnsi="Times New Roman" w:cs="Times New Roman"/>
          <w:lang w:val="de-DE"/>
        </w:rPr>
        <w:t> </w:t>
      </w:r>
      <w:r w:rsidRPr="009737B5">
        <w:rPr>
          <w:rFonts w:ascii="Times New Roman" w:hAnsi="Times New Roman" w:cs="Times New Roman"/>
          <w:lang w:val="de-DE"/>
        </w:rPr>
        <w:t>Monate war jedoch nicht signifikant (HR</w:t>
      </w:r>
      <w:r w:rsidR="00E244D1">
        <w:rPr>
          <w:rFonts w:ascii="Times New Roman" w:hAnsi="Times New Roman" w:cs="Times New Roman"/>
          <w:lang w:val="de-DE"/>
        </w:rPr>
        <w:t> </w:t>
      </w:r>
      <w:r w:rsidRPr="009737B5">
        <w:rPr>
          <w:rFonts w:ascii="Times New Roman" w:hAnsi="Times New Roman" w:cs="Times New Roman"/>
          <w:lang w:val="de-DE"/>
        </w:rPr>
        <w:t>=</w:t>
      </w:r>
      <w:r w:rsidR="00E244D1">
        <w:rPr>
          <w:rFonts w:ascii="Times New Roman" w:hAnsi="Times New Roman" w:cs="Times New Roman"/>
          <w:lang w:val="de-DE"/>
        </w:rPr>
        <w:t> </w:t>
      </w:r>
      <w:r w:rsidRPr="009737B5">
        <w:rPr>
          <w:rFonts w:ascii="Times New Roman" w:hAnsi="Times New Roman" w:cs="Times New Roman"/>
          <w:lang w:val="de-DE"/>
        </w:rPr>
        <w:t>0,91). Ein Großteil der Patienten (ca. 63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IFN + Placebo-Arm; 55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 IFN-Arm) erhielt nach Studienende ein breites Spektrum nicht</w:t>
      </w:r>
      <w:r w:rsidR="001B3701" w:rsidRPr="009737B5">
        <w:rPr>
          <w:rFonts w:ascii="Times New Roman" w:hAnsi="Times New Roman" w:cs="Times New Roman"/>
          <w:lang w:val="de-DE"/>
        </w:rPr>
        <w:t>-</w:t>
      </w:r>
      <w:r w:rsidRPr="009737B5">
        <w:rPr>
          <w:rFonts w:ascii="Times New Roman" w:hAnsi="Times New Roman" w:cs="Times New Roman"/>
          <w:lang w:val="de-DE"/>
        </w:rPr>
        <w:t>spezifizierter</w:t>
      </w:r>
    </w:p>
    <w:p w14:paraId="2E1B9376"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Tumortherapien, einschließlich zytostatischer Wirkstoffe, die die Bestimmung des Gesamtüberlebens beeinflusst haben könnten.</w:t>
      </w:r>
    </w:p>
    <w:p w14:paraId="72F4DD7F" w14:textId="77777777" w:rsidR="00010E8C" w:rsidRPr="009737B5" w:rsidRDefault="00010E8C" w:rsidP="005F4D08">
      <w:pPr>
        <w:suppressAutoHyphens/>
        <w:spacing w:after="0" w:line="240" w:lineRule="auto"/>
        <w:rPr>
          <w:rFonts w:ascii="Times New Roman" w:hAnsi="Times New Roman" w:cs="Times New Roman"/>
          <w:lang w:val="de-DE"/>
        </w:rPr>
      </w:pPr>
    </w:p>
    <w:p w14:paraId="36E243DA" w14:textId="517BE3EC"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Wirksamkeitsergebnisse sind in Tabelle</w:t>
      </w:r>
      <w:r w:rsidR="00DE0CB6">
        <w:rPr>
          <w:rFonts w:ascii="Times New Roman" w:hAnsi="Times New Roman" w:cs="Times New Roman"/>
          <w:lang w:val="de-DE"/>
        </w:rPr>
        <w:t> </w:t>
      </w:r>
      <w:r w:rsidR="008C6B6B">
        <w:rPr>
          <w:rFonts w:ascii="Times New Roman" w:hAnsi="Times New Roman" w:cs="Times New Roman"/>
          <w:lang w:val="de-DE"/>
        </w:rPr>
        <w:t>15</w:t>
      </w:r>
      <w:r w:rsidR="008C6B6B" w:rsidRPr="009737B5">
        <w:rPr>
          <w:rFonts w:ascii="Times New Roman" w:hAnsi="Times New Roman" w:cs="Times New Roman"/>
          <w:lang w:val="de-DE"/>
        </w:rPr>
        <w:t xml:space="preserve"> </w:t>
      </w:r>
      <w:r w:rsidRPr="009737B5">
        <w:rPr>
          <w:rFonts w:ascii="Times New Roman" w:hAnsi="Times New Roman" w:cs="Times New Roman"/>
          <w:lang w:val="de-DE"/>
        </w:rPr>
        <w:t>dargestellt.</w:t>
      </w:r>
    </w:p>
    <w:p w14:paraId="2151DFA2" w14:textId="77777777" w:rsidR="00010E8C" w:rsidRPr="009737B5" w:rsidRDefault="00010E8C" w:rsidP="005F4D08">
      <w:pPr>
        <w:suppressAutoHyphens/>
        <w:spacing w:after="0" w:line="240" w:lineRule="auto"/>
        <w:rPr>
          <w:rFonts w:ascii="Times New Roman" w:hAnsi="Times New Roman" w:cs="Times New Roman"/>
          <w:lang w:val="de-DE"/>
        </w:rPr>
      </w:pPr>
    </w:p>
    <w:p w14:paraId="5CFD10BB" w14:textId="0B88DF04" w:rsidR="00010E8C" w:rsidRPr="009737B5" w:rsidRDefault="00010E8C" w:rsidP="008E2EA2">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DE0CB6">
        <w:rPr>
          <w:rFonts w:ascii="Times New Roman" w:hAnsi="Times New Roman" w:cs="Times New Roman"/>
          <w:b/>
          <w:lang w:val="de-DE"/>
        </w:rPr>
        <w:t> </w:t>
      </w:r>
      <w:r w:rsidR="007F77FC">
        <w:rPr>
          <w:rFonts w:ascii="Times New Roman" w:hAnsi="Times New Roman" w:cs="Times New Roman"/>
          <w:b/>
          <w:lang w:val="de-DE"/>
        </w:rPr>
        <w:t>1</w:t>
      </w:r>
      <w:r w:rsidR="008C6B6B">
        <w:rPr>
          <w:rFonts w:ascii="Times New Roman" w:hAnsi="Times New Roman" w:cs="Times New Roman"/>
          <w:b/>
          <w:lang w:val="de-DE"/>
        </w:rPr>
        <w:t>5</w:t>
      </w:r>
      <w:r w:rsidR="008E2EA2" w:rsidRPr="009737B5">
        <w:rPr>
          <w:rFonts w:ascii="Times New Roman" w:hAnsi="Times New Roman" w:cs="Times New Roman"/>
          <w:b/>
          <w:lang w:val="de-DE"/>
        </w:rPr>
        <w:t>.</w:t>
      </w:r>
      <w:r w:rsidRPr="009737B5">
        <w:rPr>
          <w:rFonts w:ascii="Times New Roman" w:hAnsi="Times New Roman" w:cs="Times New Roman"/>
          <w:b/>
          <w:lang w:val="de-DE"/>
        </w:rPr>
        <w:t xml:space="preserve"> Wirksamkeitsergebnisse der Studie</w:t>
      </w:r>
      <w:r w:rsidR="00E244D1">
        <w:rPr>
          <w:rFonts w:ascii="Times New Roman" w:hAnsi="Times New Roman" w:cs="Times New Roman"/>
          <w:b/>
          <w:lang w:val="de-DE"/>
        </w:rPr>
        <w:t> </w:t>
      </w:r>
      <w:r w:rsidRPr="009737B5">
        <w:rPr>
          <w:rFonts w:ascii="Times New Roman" w:hAnsi="Times New Roman" w:cs="Times New Roman"/>
          <w:b/>
          <w:lang w:val="de-DE"/>
        </w:rPr>
        <w:t>BO17705</w:t>
      </w:r>
    </w:p>
    <w:p w14:paraId="7377CFB0" w14:textId="77777777" w:rsidR="00010E8C" w:rsidRPr="009737B5" w:rsidRDefault="00010E8C" w:rsidP="008E2EA2">
      <w:pPr>
        <w:keepNext/>
        <w:suppressAutoHyphens/>
        <w:spacing w:after="0" w:line="240" w:lineRule="auto"/>
        <w:rPr>
          <w:rFonts w:ascii="Times New Roman" w:hAnsi="Times New Roman" w:cs="Times New Roman"/>
          <w:lang w:val="de-D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9" w:type="dxa"/>
          <w:left w:w="0" w:type="dxa"/>
          <w:bottom w:w="55" w:type="dxa"/>
          <w:right w:w="0" w:type="dxa"/>
        </w:tblCellMar>
        <w:tblLook w:val="04A0" w:firstRow="1" w:lastRow="0" w:firstColumn="1" w:lastColumn="0" w:noHBand="0" w:noVBand="1"/>
      </w:tblPr>
      <w:tblGrid>
        <w:gridCol w:w="3686"/>
        <w:gridCol w:w="2693"/>
        <w:gridCol w:w="2693"/>
      </w:tblGrid>
      <w:tr w:rsidR="008E2EA2" w:rsidRPr="00402720" w14:paraId="3E05D0D9" w14:textId="77777777" w:rsidTr="00635D99">
        <w:trPr>
          <w:trHeight w:val="20"/>
          <w:tblHeader/>
        </w:trPr>
        <w:tc>
          <w:tcPr>
            <w:tcW w:w="3686" w:type="dxa"/>
            <w:vMerge w:val="restart"/>
          </w:tcPr>
          <w:p w14:paraId="56679982" w14:textId="77777777" w:rsidR="008E2EA2" w:rsidRPr="00402720" w:rsidRDefault="008E2EA2" w:rsidP="00FB3CF3">
            <w:pPr>
              <w:keepNext/>
              <w:spacing w:after="0" w:line="240" w:lineRule="auto"/>
              <w:rPr>
                <w:rFonts w:ascii="Times New Roman" w:hAnsi="Times New Roman" w:cs="Times New Roman"/>
                <w:b/>
                <w:lang w:val="de-DE"/>
              </w:rPr>
            </w:pPr>
          </w:p>
        </w:tc>
        <w:tc>
          <w:tcPr>
            <w:tcW w:w="5386" w:type="dxa"/>
            <w:gridSpan w:val="2"/>
          </w:tcPr>
          <w:p w14:paraId="5F78F2C1" w14:textId="77777777" w:rsidR="008E2EA2" w:rsidRPr="00402720" w:rsidRDefault="008E2EA2" w:rsidP="00FB3CF3">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BO17705</w:t>
            </w:r>
          </w:p>
        </w:tc>
      </w:tr>
      <w:tr w:rsidR="008E2EA2" w:rsidRPr="00402720" w14:paraId="43158247" w14:textId="77777777" w:rsidTr="00FB3CF3">
        <w:trPr>
          <w:trHeight w:val="20"/>
          <w:tblHeader/>
        </w:trPr>
        <w:tc>
          <w:tcPr>
            <w:tcW w:w="3686" w:type="dxa"/>
            <w:vMerge/>
          </w:tcPr>
          <w:p w14:paraId="0029DC8B" w14:textId="77777777" w:rsidR="008E2EA2" w:rsidRPr="00402720" w:rsidRDefault="008E2EA2" w:rsidP="00FB3CF3">
            <w:pPr>
              <w:keepNext/>
              <w:spacing w:after="0" w:line="240" w:lineRule="auto"/>
              <w:rPr>
                <w:rFonts w:ascii="Times New Roman" w:hAnsi="Times New Roman" w:cs="Times New Roman"/>
                <w:b/>
                <w:lang w:val="de-DE"/>
              </w:rPr>
            </w:pPr>
          </w:p>
        </w:tc>
        <w:tc>
          <w:tcPr>
            <w:tcW w:w="2693" w:type="dxa"/>
          </w:tcPr>
          <w:p w14:paraId="60FE6D74" w14:textId="77777777" w:rsidR="008E2EA2" w:rsidRPr="00402720" w:rsidRDefault="008E2EA2" w:rsidP="00FB3CF3">
            <w:pPr>
              <w:keepNext/>
              <w:tabs>
                <w:tab w:val="center" w:pos="1170"/>
                <w:tab w:val="center" w:pos="3420"/>
              </w:tabs>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Placebo + IFN</w:t>
            </w:r>
            <w:r w:rsidRPr="00402720">
              <w:rPr>
                <w:rFonts w:ascii="Times New Roman" w:hAnsi="Times New Roman" w:cs="Times New Roman"/>
                <w:b/>
                <w:vertAlign w:val="superscript"/>
                <w:lang w:val="de-DE"/>
              </w:rPr>
              <w:t>a</w:t>
            </w:r>
          </w:p>
        </w:tc>
        <w:tc>
          <w:tcPr>
            <w:tcW w:w="2693" w:type="dxa"/>
          </w:tcPr>
          <w:p w14:paraId="1BB9D462" w14:textId="77777777" w:rsidR="008E2EA2" w:rsidRPr="00402720" w:rsidRDefault="00033DAC">
            <w:pPr>
              <w:keepNext/>
              <w:tabs>
                <w:tab w:val="center" w:pos="1170"/>
                <w:tab w:val="center" w:pos="3420"/>
              </w:tabs>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BV</w:t>
            </w:r>
            <w:r w:rsidRPr="00402720">
              <w:rPr>
                <w:rFonts w:ascii="Times New Roman" w:hAnsi="Times New Roman" w:cs="Times New Roman"/>
                <w:b/>
                <w:vertAlign w:val="superscript"/>
                <w:lang w:val="de-DE"/>
              </w:rPr>
              <w:t>b</w:t>
            </w:r>
            <w:r w:rsidRPr="00402720">
              <w:rPr>
                <w:rFonts w:ascii="Times New Roman" w:hAnsi="Times New Roman" w:cs="Times New Roman"/>
                <w:b/>
                <w:lang w:val="de-DE"/>
              </w:rPr>
              <w:t xml:space="preserve"> </w:t>
            </w:r>
            <w:r w:rsidR="008E2EA2" w:rsidRPr="00402720">
              <w:rPr>
                <w:rFonts w:ascii="Times New Roman" w:hAnsi="Times New Roman" w:cs="Times New Roman"/>
                <w:b/>
                <w:lang w:val="de-DE"/>
              </w:rPr>
              <w:t>+ IFN</w:t>
            </w:r>
            <w:r w:rsidR="008E2EA2" w:rsidRPr="00402720">
              <w:rPr>
                <w:rFonts w:ascii="Times New Roman" w:hAnsi="Times New Roman" w:cs="Times New Roman"/>
                <w:b/>
                <w:vertAlign w:val="superscript"/>
                <w:lang w:val="de-DE"/>
              </w:rPr>
              <w:t>a</w:t>
            </w:r>
          </w:p>
        </w:tc>
      </w:tr>
      <w:tr w:rsidR="008E2EA2" w:rsidRPr="00402720" w14:paraId="33D7E50C" w14:textId="77777777" w:rsidTr="00FB3CF3">
        <w:trPr>
          <w:trHeight w:val="20"/>
        </w:trPr>
        <w:tc>
          <w:tcPr>
            <w:tcW w:w="3686" w:type="dxa"/>
          </w:tcPr>
          <w:p w14:paraId="2B33ACFE" w14:textId="77777777" w:rsidR="008E2EA2" w:rsidRPr="00402720" w:rsidRDefault="007D18D3" w:rsidP="00475777">
            <w:pPr>
              <w:spacing w:after="0" w:line="240" w:lineRule="auto"/>
              <w:ind w:left="57"/>
              <w:rPr>
                <w:rFonts w:ascii="Times New Roman" w:hAnsi="Times New Roman" w:cs="Times New Roman"/>
                <w:lang w:val="de-DE"/>
              </w:rPr>
            </w:pPr>
            <w:r w:rsidRPr="00402720">
              <w:rPr>
                <w:rFonts w:ascii="Times New Roman" w:hAnsi="Times New Roman" w:cs="Times New Roman"/>
                <w:lang w:val="de-DE"/>
              </w:rPr>
              <w:t>Patientenzahl</w:t>
            </w:r>
          </w:p>
        </w:tc>
        <w:tc>
          <w:tcPr>
            <w:tcW w:w="2693" w:type="dxa"/>
          </w:tcPr>
          <w:p w14:paraId="788065E2" w14:textId="77777777" w:rsidR="008E2EA2" w:rsidRPr="00402720" w:rsidRDefault="008E2EA2" w:rsidP="008E2EA2">
            <w:pPr>
              <w:tabs>
                <w:tab w:val="center" w:pos="1169"/>
                <w:tab w:val="center" w:pos="3420"/>
              </w:tabs>
              <w:spacing w:after="0" w:line="240" w:lineRule="auto"/>
              <w:jc w:val="center"/>
              <w:rPr>
                <w:rFonts w:ascii="Times New Roman" w:hAnsi="Times New Roman" w:cs="Times New Roman"/>
                <w:lang w:val="de-DE"/>
              </w:rPr>
            </w:pPr>
            <w:r w:rsidRPr="00402720">
              <w:rPr>
                <w:rFonts w:ascii="Times New Roman" w:hAnsi="Times New Roman" w:cs="Times New Roman"/>
                <w:lang w:val="de-DE"/>
              </w:rPr>
              <w:t>322</w:t>
            </w:r>
          </w:p>
        </w:tc>
        <w:tc>
          <w:tcPr>
            <w:tcW w:w="2693" w:type="dxa"/>
          </w:tcPr>
          <w:p w14:paraId="70D19898" w14:textId="77777777" w:rsidR="008E2EA2" w:rsidRPr="00402720" w:rsidRDefault="008E2EA2" w:rsidP="008E2EA2">
            <w:pPr>
              <w:tabs>
                <w:tab w:val="center" w:pos="1169"/>
                <w:tab w:val="center" w:pos="3420"/>
              </w:tabs>
              <w:spacing w:after="0" w:line="240" w:lineRule="auto"/>
              <w:jc w:val="center"/>
              <w:rPr>
                <w:rFonts w:ascii="Times New Roman" w:hAnsi="Times New Roman" w:cs="Times New Roman"/>
                <w:lang w:val="de-DE"/>
              </w:rPr>
            </w:pPr>
            <w:r w:rsidRPr="00402720">
              <w:rPr>
                <w:rFonts w:ascii="Times New Roman" w:hAnsi="Times New Roman" w:cs="Times New Roman"/>
                <w:lang w:val="de-DE"/>
              </w:rPr>
              <w:t>327</w:t>
            </w:r>
          </w:p>
        </w:tc>
      </w:tr>
      <w:tr w:rsidR="008E2EA2" w:rsidRPr="00402720" w14:paraId="051A37EE" w14:textId="77777777" w:rsidTr="00FB3CF3">
        <w:trPr>
          <w:trHeight w:val="20"/>
        </w:trPr>
        <w:tc>
          <w:tcPr>
            <w:tcW w:w="3686" w:type="dxa"/>
          </w:tcPr>
          <w:p w14:paraId="7C7AD180" w14:textId="77777777" w:rsidR="008E2EA2" w:rsidRPr="00402720" w:rsidRDefault="008E2EA2" w:rsidP="00475777">
            <w:pPr>
              <w:spacing w:after="0" w:line="240" w:lineRule="auto"/>
              <w:ind w:left="57"/>
              <w:rPr>
                <w:rFonts w:ascii="Times New Roman" w:hAnsi="Times New Roman" w:cs="Times New Roman"/>
                <w:lang w:val="de-DE"/>
              </w:rPr>
            </w:pPr>
            <w:r w:rsidRPr="00402720">
              <w:rPr>
                <w:rFonts w:ascii="Times New Roman" w:hAnsi="Times New Roman" w:cs="Times New Roman"/>
                <w:lang w:val="de-DE"/>
              </w:rPr>
              <w:t>Progressionsfreies Überleben</w:t>
            </w:r>
          </w:p>
        </w:tc>
        <w:tc>
          <w:tcPr>
            <w:tcW w:w="2693" w:type="dxa"/>
          </w:tcPr>
          <w:p w14:paraId="0EC41B08" w14:textId="77777777" w:rsidR="008E2EA2" w:rsidRPr="00402720" w:rsidRDefault="008E2EA2" w:rsidP="008E2EA2">
            <w:pPr>
              <w:tabs>
                <w:tab w:val="center" w:pos="1170"/>
                <w:tab w:val="center" w:pos="3421"/>
              </w:tabs>
              <w:spacing w:after="0" w:line="240" w:lineRule="auto"/>
              <w:jc w:val="center"/>
              <w:rPr>
                <w:rFonts w:ascii="Times New Roman" w:hAnsi="Times New Roman" w:cs="Times New Roman"/>
                <w:lang w:val="de-DE"/>
              </w:rPr>
            </w:pPr>
          </w:p>
        </w:tc>
        <w:tc>
          <w:tcPr>
            <w:tcW w:w="2693" w:type="dxa"/>
          </w:tcPr>
          <w:p w14:paraId="144DBB61" w14:textId="77777777" w:rsidR="008E2EA2" w:rsidRPr="00402720" w:rsidRDefault="008E2EA2" w:rsidP="008E2EA2">
            <w:pPr>
              <w:tabs>
                <w:tab w:val="center" w:pos="1170"/>
                <w:tab w:val="center" w:pos="3421"/>
              </w:tabs>
              <w:spacing w:after="0" w:line="240" w:lineRule="auto"/>
              <w:jc w:val="center"/>
              <w:rPr>
                <w:rFonts w:ascii="Times New Roman" w:hAnsi="Times New Roman" w:cs="Times New Roman"/>
                <w:lang w:val="de-DE"/>
              </w:rPr>
            </w:pPr>
          </w:p>
        </w:tc>
      </w:tr>
      <w:tr w:rsidR="008E2EA2" w:rsidRPr="00402720" w14:paraId="0511C140" w14:textId="77777777" w:rsidTr="000B6CC4">
        <w:trPr>
          <w:trHeight w:val="133"/>
        </w:trPr>
        <w:tc>
          <w:tcPr>
            <w:tcW w:w="3686" w:type="dxa"/>
            <w:tcBorders>
              <w:bottom w:val="single" w:sz="4" w:space="0" w:color="auto"/>
            </w:tcBorders>
          </w:tcPr>
          <w:p w14:paraId="59E06812" w14:textId="77777777" w:rsidR="008E2EA2" w:rsidRPr="00402720" w:rsidRDefault="008E2EA2" w:rsidP="008E2E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 (Monate)</w:t>
            </w:r>
          </w:p>
        </w:tc>
        <w:tc>
          <w:tcPr>
            <w:tcW w:w="2693" w:type="dxa"/>
            <w:tcBorders>
              <w:bottom w:val="single" w:sz="4" w:space="0" w:color="auto"/>
            </w:tcBorders>
          </w:tcPr>
          <w:p w14:paraId="110566BD" w14:textId="77777777" w:rsidR="008E2EA2" w:rsidRPr="00402720" w:rsidRDefault="008E2EA2" w:rsidP="008E2EA2">
            <w:pPr>
              <w:tabs>
                <w:tab w:val="center" w:pos="1170"/>
                <w:tab w:val="center" w:pos="3421"/>
              </w:tabs>
              <w:spacing w:after="0" w:line="240" w:lineRule="auto"/>
              <w:jc w:val="center"/>
              <w:rPr>
                <w:rFonts w:ascii="Times New Roman" w:hAnsi="Times New Roman" w:cs="Times New Roman"/>
                <w:lang w:val="de-DE"/>
              </w:rPr>
            </w:pPr>
            <w:r w:rsidRPr="00402720">
              <w:rPr>
                <w:rFonts w:ascii="Times New Roman" w:hAnsi="Times New Roman" w:cs="Times New Roman"/>
                <w:lang w:val="de-DE"/>
              </w:rPr>
              <w:t>5,4</w:t>
            </w:r>
          </w:p>
        </w:tc>
        <w:tc>
          <w:tcPr>
            <w:tcW w:w="2693" w:type="dxa"/>
            <w:tcBorders>
              <w:bottom w:val="single" w:sz="4" w:space="0" w:color="auto"/>
            </w:tcBorders>
          </w:tcPr>
          <w:p w14:paraId="17431F3A" w14:textId="77777777" w:rsidR="008E2EA2" w:rsidRPr="00402720" w:rsidRDefault="008E2EA2" w:rsidP="008E2EA2">
            <w:pPr>
              <w:tabs>
                <w:tab w:val="center" w:pos="1170"/>
                <w:tab w:val="center" w:pos="3421"/>
              </w:tabs>
              <w:spacing w:after="0" w:line="240" w:lineRule="auto"/>
              <w:jc w:val="center"/>
              <w:rPr>
                <w:rFonts w:ascii="Times New Roman" w:hAnsi="Times New Roman" w:cs="Times New Roman"/>
                <w:lang w:val="de-DE"/>
              </w:rPr>
            </w:pPr>
            <w:r w:rsidRPr="00402720">
              <w:rPr>
                <w:rFonts w:ascii="Times New Roman" w:hAnsi="Times New Roman" w:cs="Times New Roman"/>
                <w:lang w:val="de-DE"/>
              </w:rPr>
              <w:t>10,2</w:t>
            </w:r>
          </w:p>
        </w:tc>
      </w:tr>
      <w:tr w:rsidR="008E2EA2" w:rsidRPr="00402720" w14:paraId="073799E6" w14:textId="77777777" w:rsidTr="000B6CC4">
        <w:trPr>
          <w:trHeight w:val="181"/>
        </w:trPr>
        <w:tc>
          <w:tcPr>
            <w:tcW w:w="3686" w:type="dxa"/>
            <w:tcBorders>
              <w:bottom w:val="nil"/>
            </w:tcBorders>
          </w:tcPr>
          <w:p w14:paraId="152F6B2D" w14:textId="77777777" w:rsidR="008E2EA2" w:rsidRPr="00402720" w:rsidRDefault="008E2EA2" w:rsidP="008E2E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w:t>
            </w:r>
          </w:p>
          <w:p w14:paraId="572F564B" w14:textId="62E60076" w:rsidR="00473C51" w:rsidRPr="00402720" w:rsidRDefault="00473C51" w:rsidP="008E2E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95</w:t>
            </w:r>
            <w:r w:rsidR="00905FDC">
              <w:rPr>
                <w:rFonts w:ascii="Times New Roman" w:hAnsi="Times New Roman" w:cs="Times New Roman"/>
                <w:lang w:val="de-DE"/>
              </w:rPr>
              <w:t> </w:t>
            </w:r>
            <w:r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KI</w:t>
            </w:r>
          </w:p>
        </w:tc>
        <w:tc>
          <w:tcPr>
            <w:tcW w:w="5386" w:type="dxa"/>
            <w:gridSpan w:val="2"/>
            <w:tcBorders>
              <w:bottom w:val="nil"/>
            </w:tcBorders>
          </w:tcPr>
          <w:p w14:paraId="4E0E56E2" w14:textId="77777777" w:rsidR="008E2EA2" w:rsidRPr="00402720" w:rsidRDefault="008E2EA2" w:rsidP="008E2EA2">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0,63</w:t>
            </w:r>
          </w:p>
          <w:p w14:paraId="1727FB90" w14:textId="77777777" w:rsidR="00473C51" w:rsidRPr="00402720" w:rsidRDefault="00473C51" w:rsidP="00473C5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0,52; 0,75</w:t>
            </w:r>
          </w:p>
          <w:p w14:paraId="73EA8685" w14:textId="77777777" w:rsidR="00473C51" w:rsidRPr="00402720" w:rsidRDefault="00473C51" w:rsidP="00473C5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(p-Wert </w:t>
            </w:r>
            <w:r w:rsidRPr="009737B5">
              <w:rPr>
                <w:rFonts w:ascii="Times New Roman" w:eastAsia="Segoe UI Symbol" w:hAnsi="Times New Roman" w:cs="Times New Roman"/>
                <w:lang w:val="de-DE"/>
              </w:rPr>
              <w:t xml:space="preserve">&lt; </w:t>
            </w:r>
            <w:r w:rsidRPr="00402720">
              <w:rPr>
                <w:rFonts w:ascii="Times New Roman" w:hAnsi="Times New Roman" w:cs="Times New Roman"/>
                <w:lang w:val="de-DE"/>
              </w:rPr>
              <w:t>0,0001)</w:t>
            </w:r>
          </w:p>
        </w:tc>
      </w:tr>
      <w:tr w:rsidR="00FD735F" w:rsidRPr="00AA0497" w14:paraId="47DCE81B" w14:textId="77777777" w:rsidTr="00FB3CF3">
        <w:trPr>
          <w:trHeight w:val="20"/>
        </w:trPr>
        <w:tc>
          <w:tcPr>
            <w:tcW w:w="3686" w:type="dxa"/>
          </w:tcPr>
          <w:p w14:paraId="7B17D083" w14:textId="77777777" w:rsidR="00FD735F" w:rsidRPr="00402720" w:rsidRDefault="00FD735F" w:rsidP="00475777">
            <w:pPr>
              <w:spacing w:after="0" w:line="240" w:lineRule="auto"/>
              <w:ind w:left="57"/>
              <w:rPr>
                <w:rFonts w:ascii="Times New Roman" w:hAnsi="Times New Roman" w:cs="Times New Roman"/>
                <w:lang w:val="de-DE"/>
              </w:rPr>
            </w:pPr>
            <w:r w:rsidRPr="00402720">
              <w:rPr>
                <w:rFonts w:ascii="Times New Roman" w:hAnsi="Times New Roman" w:cs="Times New Roman"/>
                <w:lang w:val="de-DE"/>
              </w:rPr>
              <w:t>Objektive Ansprechrate (</w:t>
            </w:r>
            <w:r w:rsidR="00322E40" w:rsidRPr="00402720">
              <w:rPr>
                <w:rFonts w:ascii="Times New Roman" w:hAnsi="Times New Roman" w:cs="Times New Roman"/>
                <w:lang w:val="de-DE"/>
              </w:rPr>
              <w:t>%</w:t>
            </w:r>
            <w:r w:rsidRPr="00402720">
              <w:rPr>
                <w:rFonts w:ascii="Times New Roman" w:hAnsi="Times New Roman" w:cs="Times New Roman"/>
                <w:lang w:val="de-DE"/>
              </w:rPr>
              <w:t>) bei Patienten mit messbarer Erkrankung</w:t>
            </w:r>
          </w:p>
        </w:tc>
        <w:tc>
          <w:tcPr>
            <w:tcW w:w="2693" w:type="dxa"/>
          </w:tcPr>
          <w:p w14:paraId="5BA72820" w14:textId="77777777" w:rsidR="00FD735F" w:rsidRPr="00402720" w:rsidRDefault="00FD735F" w:rsidP="003331EC">
            <w:pPr>
              <w:keepNext/>
              <w:keepLines/>
              <w:spacing w:after="0" w:line="240" w:lineRule="auto"/>
              <w:rPr>
                <w:rFonts w:ascii="Times New Roman" w:hAnsi="Times New Roman" w:cs="Times New Roman"/>
                <w:lang w:val="de-DE"/>
              </w:rPr>
            </w:pPr>
          </w:p>
        </w:tc>
        <w:tc>
          <w:tcPr>
            <w:tcW w:w="2693" w:type="dxa"/>
          </w:tcPr>
          <w:p w14:paraId="36BB3B40" w14:textId="77777777" w:rsidR="00FD735F" w:rsidRPr="00402720" w:rsidRDefault="00FD735F" w:rsidP="003331EC">
            <w:pPr>
              <w:keepNext/>
              <w:keepLines/>
              <w:spacing w:after="0" w:line="240" w:lineRule="auto"/>
              <w:rPr>
                <w:rFonts w:ascii="Times New Roman" w:hAnsi="Times New Roman" w:cs="Times New Roman"/>
                <w:lang w:val="de-DE"/>
              </w:rPr>
            </w:pPr>
          </w:p>
        </w:tc>
      </w:tr>
      <w:tr w:rsidR="00FD735F" w:rsidRPr="00402720" w14:paraId="256A9276" w14:textId="77777777" w:rsidTr="00FB3CF3">
        <w:trPr>
          <w:trHeight w:val="20"/>
        </w:trPr>
        <w:tc>
          <w:tcPr>
            <w:tcW w:w="3686" w:type="dxa"/>
          </w:tcPr>
          <w:p w14:paraId="00C13632" w14:textId="77777777" w:rsidR="00FD735F" w:rsidRPr="00402720" w:rsidRDefault="00FD735F" w:rsidP="00FD735F">
            <w:pPr>
              <w:spacing w:after="0" w:line="240" w:lineRule="auto"/>
              <w:ind w:left="567"/>
              <w:rPr>
                <w:rFonts w:ascii="Times New Roman" w:hAnsi="Times New Roman" w:cs="Times New Roman"/>
                <w:lang w:val="de-DE"/>
              </w:rPr>
            </w:pPr>
            <w:r w:rsidRPr="00402720">
              <w:rPr>
                <w:rFonts w:ascii="Times New Roman" w:hAnsi="Times New Roman" w:cs="Times New Roman"/>
                <w:lang w:val="de-DE"/>
              </w:rPr>
              <w:t>n</w:t>
            </w:r>
          </w:p>
        </w:tc>
        <w:tc>
          <w:tcPr>
            <w:tcW w:w="2693" w:type="dxa"/>
          </w:tcPr>
          <w:p w14:paraId="0F48BC3D" w14:textId="77777777" w:rsidR="00FD735F" w:rsidRPr="00402720" w:rsidRDefault="00FD735F" w:rsidP="00FD735F">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289</w:t>
            </w:r>
          </w:p>
        </w:tc>
        <w:tc>
          <w:tcPr>
            <w:tcW w:w="2693" w:type="dxa"/>
          </w:tcPr>
          <w:p w14:paraId="746A19BE" w14:textId="77777777" w:rsidR="00FD735F" w:rsidRPr="00402720" w:rsidRDefault="00FD735F" w:rsidP="00FD735F">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306</w:t>
            </w:r>
          </w:p>
        </w:tc>
      </w:tr>
      <w:tr w:rsidR="00FD735F" w:rsidRPr="00402720" w14:paraId="17F17294" w14:textId="77777777" w:rsidTr="00FB3CF3">
        <w:trPr>
          <w:trHeight w:val="20"/>
        </w:trPr>
        <w:tc>
          <w:tcPr>
            <w:tcW w:w="3686" w:type="dxa"/>
          </w:tcPr>
          <w:p w14:paraId="0481817A" w14:textId="77777777" w:rsidR="00FD735F" w:rsidRPr="00402720" w:rsidRDefault="00FD735F" w:rsidP="00FD735F">
            <w:pPr>
              <w:spacing w:after="0" w:line="240" w:lineRule="auto"/>
              <w:ind w:left="567"/>
              <w:rPr>
                <w:rFonts w:ascii="Times New Roman" w:hAnsi="Times New Roman" w:cs="Times New Roman"/>
                <w:lang w:val="de-DE"/>
              </w:rPr>
            </w:pPr>
            <w:r w:rsidRPr="00402720">
              <w:rPr>
                <w:rFonts w:ascii="Times New Roman" w:hAnsi="Times New Roman" w:cs="Times New Roman"/>
                <w:lang w:val="de-DE"/>
              </w:rPr>
              <w:t>Ansprechrate</w:t>
            </w:r>
          </w:p>
        </w:tc>
        <w:tc>
          <w:tcPr>
            <w:tcW w:w="2693" w:type="dxa"/>
          </w:tcPr>
          <w:p w14:paraId="7750D92B" w14:textId="77777777" w:rsidR="00FD735F" w:rsidRPr="00402720" w:rsidRDefault="00FD735F" w:rsidP="00FD735F">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12,8</w:t>
            </w:r>
            <w:r w:rsidR="004B1BD9"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tc>
        <w:tc>
          <w:tcPr>
            <w:tcW w:w="2693" w:type="dxa"/>
          </w:tcPr>
          <w:p w14:paraId="73A83B22" w14:textId="77777777" w:rsidR="00FD735F" w:rsidRPr="00402720" w:rsidRDefault="00FD735F" w:rsidP="00FD735F">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31,4</w:t>
            </w:r>
            <w:r w:rsidR="004B1BD9"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tc>
      </w:tr>
      <w:tr w:rsidR="00FD735F" w:rsidRPr="00402720" w14:paraId="34A4827E" w14:textId="77777777" w:rsidTr="003457D1">
        <w:trPr>
          <w:trHeight w:val="286"/>
        </w:trPr>
        <w:tc>
          <w:tcPr>
            <w:tcW w:w="3686" w:type="dxa"/>
          </w:tcPr>
          <w:p w14:paraId="24C5488C" w14:textId="77777777" w:rsidR="00FD735F" w:rsidRPr="00402720" w:rsidRDefault="00FD735F" w:rsidP="00FD735F">
            <w:pPr>
              <w:spacing w:after="0" w:line="240" w:lineRule="auto"/>
              <w:ind w:left="567"/>
              <w:rPr>
                <w:rFonts w:ascii="Times New Roman" w:hAnsi="Times New Roman" w:cs="Times New Roman"/>
                <w:lang w:val="de-DE"/>
              </w:rPr>
            </w:pPr>
          </w:p>
        </w:tc>
        <w:tc>
          <w:tcPr>
            <w:tcW w:w="5386" w:type="dxa"/>
            <w:gridSpan w:val="2"/>
          </w:tcPr>
          <w:p w14:paraId="3F7CDFDA" w14:textId="77777777" w:rsidR="00FD735F" w:rsidRPr="00402720" w:rsidRDefault="00FD735F" w:rsidP="00FD735F">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(p-Wert </w:t>
            </w:r>
            <w:r w:rsidR="00E32D5C" w:rsidRPr="009737B5">
              <w:rPr>
                <w:rFonts w:ascii="Times New Roman" w:eastAsia="Segoe UI Symbol" w:hAnsi="Times New Roman" w:cs="Times New Roman"/>
                <w:lang w:val="de-DE"/>
              </w:rPr>
              <w:t>&lt;</w:t>
            </w:r>
            <w:r w:rsidR="003331EC" w:rsidRPr="009737B5">
              <w:rPr>
                <w:rFonts w:ascii="Times New Roman" w:eastAsia="Segoe UI Symbol" w:hAnsi="Times New Roman" w:cs="Times New Roman"/>
                <w:lang w:val="de-DE"/>
              </w:rPr>
              <w:t xml:space="preserve"> </w:t>
            </w:r>
            <w:r w:rsidRPr="009737B5">
              <w:rPr>
                <w:rFonts w:ascii="Times New Roman" w:eastAsia="Segoe UI Symbol" w:hAnsi="Times New Roman" w:cs="Times New Roman"/>
                <w:lang w:val="de-DE"/>
              </w:rPr>
              <w:t>0,0001</w:t>
            </w:r>
            <w:r w:rsidRPr="00402720">
              <w:rPr>
                <w:rFonts w:ascii="Times New Roman" w:hAnsi="Times New Roman" w:cs="Times New Roman"/>
                <w:lang w:val="de-DE"/>
              </w:rPr>
              <w:t>)</w:t>
            </w:r>
          </w:p>
        </w:tc>
      </w:tr>
    </w:tbl>
    <w:p w14:paraId="262EDC83" w14:textId="58230507" w:rsidR="00010E8C" w:rsidRPr="009A5D64" w:rsidRDefault="00010E8C" w:rsidP="00EF42B3">
      <w:pPr>
        <w:suppressAutoHyphens/>
        <w:spacing w:after="0" w:line="240" w:lineRule="auto"/>
        <w:ind w:left="567" w:hanging="567"/>
        <w:rPr>
          <w:rFonts w:ascii="Times New Roman" w:hAnsi="Times New Roman" w:cs="Times New Roman"/>
          <w:sz w:val="20"/>
          <w:szCs w:val="20"/>
          <w:lang w:val="it-IT"/>
        </w:rPr>
      </w:pPr>
      <w:r w:rsidRPr="009A5D64">
        <w:rPr>
          <w:rFonts w:ascii="Times New Roman" w:hAnsi="Times New Roman" w:cs="Times New Roman"/>
          <w:sz w:val="20"/>
          <w:szCs w:val="20"/>
          <w:vertAlign w:val="superscript"/>
          <w:lang w:val="it-IT"/>
        </w:rPr>
        <w:t>a</w:t>
      </w:r>
      <w:r w:rsidR="004169C6" w:rsidRPr="009A5D64">
        <w:rPr>
          <w:rFonts w:ascii="Times New Roman" w:hAnsi="Times New Roman" w:cs="Times New Roman"/>
          <w:sz w:val="20"/>
          <w:szCs w:val="20"/>
          <w:lang w:val="it-IT"/>
        </w:rPr>
        <w:tab/>
      </w:r>
      <w:r w:rsidRPr="009A5D64">
        <w:rPr>
          <w:rFonts w:ascii="Times New Roman" w:hAnsi="Times New Roman" w:cs="Times New Roman"/>
          <w:sz w:val="20"/>
          <w:szCs w:val="20"/>
          <w:lang w:val="it-IT"/>
        </w:rPr>
        <w:t>Interferon alfa-2a 9</w:t>
      </w:r>
      <w:r w:rsidR="00E244D1">
        <w:rPr>
          <w:rFonts w:ascii="Times New Roman" w:hAnsi="Times New Roman" w:cs="Times New Roman"/>
          <w:sz w:val="20"/>
          <w:szCs w:val="20"/>
          <w:lang w:val="it-IT"/>
        </w:rPr>
        <w:t> </w:t>
      </w:r>
      <w:r w:rsidRPr="009A5D64">
        <w:rPr>
          <w:rFonts w:ascii="Times New Roman" w:hAnsi="Times New Roman" w:cs="Times New Roman"/>
          <w:sz w:val="20"/>
          <w:szCs w:val="20"/>
          <w:lang w:val="it-IT"/>
        </w:rPr>
        <w:t>Mio.</w:t>
      </w:r>
      <w:r w:rsidR="00E244D1">
        <w:rPr>
          <w:rFonts w:ascii="Times New Roman" w:hAnsi="Times New Roman" w:cs="Times New Roman"/>
          <w:sz w:val="20"/>
          <w:szCs w:val="20"/>
          <w:lang w:val="it-IT"/>
        </w:rPr>
        <w:t> </w:t>
      </w:r>
      <w:r w:rsidRPr="009A5D64">
        <w:rPr>
          <w:rFonts w:ascii="Times New Roman" w:hAnsi="Times New Roman" w:cs="Times New Roman"/>
          <w:sz w:val="20"/>
          <w:szCs w:val="20"/>
          <w:lang w:val="it-IT"/>
        </w:rPr>
        <w:t>I.E. 3</w:t>
      </w:r>
      <w:r w:rsidR="00507FF9">
        <w:rPr>
          <w:rFonts w:ascii="Times New Roman" w:hAnsi="Times New Roman" w:cs="Times New Roman"/>
          <w:sz w:val="20"/>
          <w:szCs w:val="20"/>
          <w:lang w:val="it-IT"/>
        </w:rPr>
        <w:t>×</w:t>
      </w:r>
      <w:r w:rsidRPr="009A5D64">
        <w:rPr>
          <w:rFonts w:ascii="Times New Roman" w:hAnsi="Times New Roman" w:cs="Times New Roman"/>
          <w:sz w:val="20"/>
          <w:szCs w:val="20"/>
          <w:lang w:val="it-IT"/>
        </w:rPr>
        <w:t>/Woche</w:t>
      </w:r>
      <w:r w:rsidR="004169C6" w:rsidRPr="009A5D64">
        <w:rPr>
          <w:rFonts w:ascii="Times New Roman" w:hAnsi="Times New Roman" w:cs="Times New Roman"/>
          <w:sz w:val="20"/>
          <w:szCs w:val="20"/>
          <w:lang w:val="it-IT"/>
        </w:rPr>
        <w:t>.</w:t>
      </w:r>
    </w:p>
    <w:p w14:paraId="6ECE6507" w14:textId="402D968F" w:rsidR="00010E8C" w:rsidRPr="009737B5" w:rsidRDefault="00010E8C" w:rsidP="00EF42B3">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b</w:t>
      </w:r>
      <w:r w:rsidR="004169C6" w:rsidRPr="009737B5">
        <w:rPr>
          <w:rFonts w:ascii="Times New Roman" w:hAnsi="Times New Roman" w:cs="Times New Roman"/>
          <w:sz w:val="20"/>
          <w:szCs w:val="20"/>
          <w:lang w:val="de-DE"/>
        </w:rPr>
        <w:tab/>
      </w:r>
      <w:r w:rsidRPr="009737B5">
        <w:rPr>
          <w:rFonts w:ascii="Times New Roman" w:hAnsi="Times New Roman" w:cs="Times New Roman"/>
          <w:sz w:val="20"/>
          <w:szCs w:val="20"/>
          <w:lang w:val="de-DE"/>
        </w:rPr>
        <w:t>Bevacizumab 10</w:t>
      </w:r>
      <w:r w:rsidR="00AB26B9" w:rsidRPr="009737B5">
        <w:rPr>
          <w:rFonts w:ascii="Times New Roman" w:hAnsi="Times New Roman" w:cs="Times New Roman"/>
          <w:sz w:val="20"/>
          <w:szCs w:val="20"/>
          <w:lang w:val="de-DE"/>
        </w:rPr>
        <w:t> mg</w:t>
      </w:r>
      <w:r w:rsidRPr="009737B5">
        <w:rPr>
          <w:rFonts w:ascii="Times New Roman" w:hAnsi="Times New Roman" w:cs="Times New Roman"/>
          <w:sz w:val="20"/>
          <w:szCs w:val="20"/>
          <w:lang w:val="de-DE"/>
        </w:rPr>
        <w:t>/kg alle 2</w:t>
      </w:r>
      <w:r w:rsidR="00E244D1">
        <w:rPr>
          <w:rFonts w:ascii="Times New Roman" w:hAnsi="Times New Roman" w:cs="Times New Roman"/>
          <w:sz w:val="20"/>
          <w:szCs w:val="20"/>
          <w:lang w:val="de-DE"/>
        </w:rPr>
        <w:t> </w:t>
      </w:r>
      <w:r w:rsidRPr="009737B5">
        <w:rPr>
          <w:rFonts w:ascii="Times New Roman" w:hAnsi="Times New Roman" w:cs="Times New Roman"/>
          <w:sz w:val="20"/>
          <w:szCs w:val="20"/>
          <w:lang w:val="de-DE"/>
        </w:rPr>
        <w:t>Wochen</w:t>
      </w:r>
      <w:r w:rsidR="004169C6" w:rsidRPr="009737B5">
        <w:rPr>
          <w:rFonts w:ascii="Times New Roman" w:hAnsi="Times New Roman" w:cs="Times New Roman"/>
          <w:sz w:val="20"/>
          <w:szCs w:val="20"/>
          <w:lang w:val="de-DE"/>
        </w:rPr>
        <w:t>.</w:t>
      </w:r>
    </w:p>
    <w:p w14:paraId="7F06BCC5" w14:textId="77777777" w:rsidR="00010E8C" w:rsidRPr="009737B5" w:rsidRDefault="00010E8C" w:rsidP="005F4D08">
      <w:pPr>
        <w:suppressAutoHyphens/>
        <w:spacing w:after="0" w:line="240" w:lineRule="auto"/>
        <w:rPr>
          <w:rFonts w:ascii="Times New Roman" w:hAnsi="Times New Roman" w:cs="Times New Roman"/>
          <w:lang w:val="de-D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9" w:type="dxa"/>
          <w:left w:w="0" w:type="dxa"/>
          <w:bottom w:w="58" w:type="dxa"/>
          <w:right w:w="221" w:type="dxa"/>
        </w:tblCellMar>
        <w:tblLook w:val="04A0" w:firstRow="1" w:lastRow="0" w:firstColumn="1" w:lastColumn="0" w:noHBand="0" w:noVBand="1"/>
      </w:tblPr>
      <w:tblGrid>
        <w:gridCol w:w="3714"/>
        <w:gridCol w:w="2665"/>
        <w:gridCol w:w="2693"/>
      </w:tblGrid>
      <w:tr w:rsidR="00503A8D" w:rsidRPr="00402720" w14:paraId="1FA8C959" w14:textId="77777777" w:rsidTr="0077344A">
        <w:trPr>
          <w:trHeight w:val="20"/>
        </w:trPr>
        <w:tc>
          <w:tcPr>
            <w:tcW w:w="3714" w:type="dxa"/>
          </w:tcPr>
          <w:p w14:paraId="4084BBE4" w14:textId="77777777" w:rsidR="00503A8D" w:rsidRPr="00402720" w:rsidRDefault="009251EC" w:rsidP="00475777">
            <w:pPr>
              <w:spacing w:after="0" w:line="240" w:lineRule="auto"/>
              <w:ind w:left="57"/>
              <w:rPr>
                <w:rFonts w:ascii="Times New Roman" w:hAnsi="Times New Roman" w:cs="Times New Roman"/>
                <w:lang w:val="de-DE"/>
              </w:rPr>
            </w:pPr>
            <w:r w:rsidRPr="00402720">
              <w:rPr>
                <w:rFonts w:ascii="Times New Roman" w:hAnsi="Times New Roman" w:cs="Times New Roman"/>
                <w:lang w:val="de-DE"/>
              </w:rPr>
              <w:t>Gesamtüberleben</w:t>
            </w:r>
          </w:p>
        </w:tc>
        <w:tc>
          <w:tcPr>
            <w:tcW w:w="5358" w:type="dxa"/>
            <w:gridSpan w:val="2"/>
          </w:tcPr>
          <w:p w14:paraId="3F28EA14" w14:textId="77777777" w:rsidR="00503A8D" w:rsidRPr="00402720" w:rsidRDefault="00503A8D" w:rsidP="00503A8D">
            <w:pPr>
              <w:spacing w:after="0" w:line="240" w:lineRule="auto"/>
              <w:jc w:val="center"/>
              <w:rPr>
                <w:rFonts w:ascii="Times New Roman" w:hAnsi="Times New Roman" w:cs="Times New Roman"/>
                <w:lang w:val="de-DE"/>
              </w:rPr>
            </w:pPr>
          </w:p>
        </w:tc>
      </w:tr>
      <w:tr w:rsidR="00503A8D" w:rsidRPr="00402720" w14:paraId="3F4FAA4A" w14:textId="77777777" w:rsidTr="009251EC">
        <w:trPr>
          <w:trHeight w:val="20"/>
        </w:trPr>
        <w:tc>
          <w:tcPr>
            <w:tcW w:w="3714" w:type="dxa"/>
          </w:tcPr>
          <w:p w14:paraId="29412B22" w14:textId="77777777" w:rsidR="00503A8D" w:rsidRPr="00402720" w:rsidRDefault="00503A8D" w:rsidP="00503A8D">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 (Monate)</w:t>
            </w:r>
          </w:p>
        </w:tc>
        <w:tc>
          <w:tcPr>
            <w:tcW w:w="2665" w:type="dxa"/>
          </w:tcPr>
          <w:p w14:paraId="44207BFC" w14:textId="77777777" w:rsidR="00503A8D" w:rsidRPr="00402720" w:rsidRDefault="00503A8D" w:rsidP="00EF42B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21,3</w:t>
            </w:r>
          </w:p>
        </w:tc>
        <w:tc>
          <w:tcPr>
            <w:tcW w:w="2693" w:type="dxa"/>
          </w:tcPr>
          <w:p w14:paraId="2D415B13" w14:textId="77777777" w:rsidR="00503A8D" w:rsidRPr="00402720" w:rsidRDefault="00503A8D" w:rsidP="00EF42B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23,3</w:t>
            </w:r>
          </w:p>
        </w:tc>
      </w:tr>
      <w:tr w:rsidR="00473C51" w:rsidRPr="00402720" w14:paraId="3B642332" w14:textId="77777777" w:rsidTr="000B6CC4">
        <w:trPr>
          <w:trHeight w:val="786"/>
        </w:trPr>
        <w:tc>
          <w:tcPr>
            <w:tcW w:w="3714" w:type="dxa"/>
          </w:tcPr>
          <w:p w14:paraId="6E44B02C" w14:textId="77777777" w:rsidR="00473C51" w:rsidRPr="00402720" w:rsidRDefault="00473C51" w:rsidP="00503A8D">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w:t>
            </w:r>
          </w:p>
          <w:p w14:paraId="5C277946" w14:textId="007881AA" w:rsidR="00473C51" w:rsidRPr="00402720" w:rsidRDefault="00473C51">
            <w:pPr>
              <w:spacing w:after="0" w:line="240" w:lineRule="auto"/>
              <w:ind w:left="567"/>
              <w:rPr>
                <w:rFonts w:ascii="Times New Roman" w:hAnsi="Times New Roman" w:cs="Times New Roman"/>
                <w:lang w:val="de-DE"/>
              </w:rPr>
            </w:pPr>
            <w:r w:rsidRPr="00402720">
              <w:rPr>
                <w:rFonts w:ascii="Times New Roman" w:hAnsi="Times New Roman" w:cs="Times New Roman"/>
                <w:lang w:val="de-DE"/>
              </w:rPr>
              <w:t>95</w:t>
            </w:r>
            <w:r w:rsidR="00905FDC">
              <w:rPr>
                <w:rFonts w:ascii="Times New Roman" w:hAnsi="Times New Roman" w:cs="Times New Roman"/>
                <w:lang w:val="de-DE"/>
              </w:rPr>
              <w:t> </w:t>
            </w:r>
            <w:r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KI</w:t>
            </w:r>
          </w:p>
        </w:tc>
        <w:tc>
          <w:tcPr>
            <w:tcW w:w="5358" w:type="dxa"/>
            <w:gridSpan w:val="2"/>
          </w:tcPr>
          <w:p w14:paraId="716464D8" w14:textId="77777777" w:rsidR="00473C51" w:rsidRPr="00402720" w:rsidRDefault="00473C51" w:rsidP="00EF42B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0,91</w:t>
            </w:r>
          </w:p>
          <w:p w14:paraId="337D9A52" w14:textId="77777777" w:rsidR="00473C51" w:rsidRPr="00402720" w:rsidRDefault="00473C51" w:rsidP="00EF42B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0,76; 1,10</w:t>
            </w:r>
          </w:p>
          <w:p w14:paraId="74960C56" w14:textId="18D7EE6B" w:rsidR="00473C51" w:rsidRPr="00402720" w:rsidRDefault="00473C51" w:rsidP="00EF42B3">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(p-Wert</w:t>
            </w:r>
            <w:r w:rsidR="0008389F" w:rsidRPr="00402720">
              <w:rPr>
                <w:rFonts w:ascii="Times New Roman" w:hAnsi="Times New Roman" w:cs="Times New Roman"/>
                <w:lang w:val="de-DE"/>
              </w:rPr>
              <w:t xml:space="preserve"> =</w:t>
            </w:r>
            <w:r w:rsidRPr="00402720">
              <w:rPr>
                <w:rFonts w:ascii="Times New Roman" w:hAnsi="Times New Roman" w:cs="Times New Roman"/>
                <w:lang w:val="de-DE"/>
              </w:rPr>
              <w:t xml:space="preserve"> 0,3360)</w:t>
            </w:r>
          </w:p>
        </w:tc>
      </w:tr>
    </w:tbl>
    <w:p w14:paraId="0BA71AFF" w14:textId="77777777" w:rsidR="003B1462" w:rsidRPr="009737B5" w:rsidRDefault="003B1462" w:rsidP="005F4D08">
      <w:pPr>
        <w:suppressAutoHyphens/>
        <w:spacing w:after="0" w:line="240" w:lineRule="auto"/>
        <w:rPr>
          <w:rFonts w:ascii="Times New Roman" w:hAnsi="Times New Roman" w:cs="Times New Roman"/>
          <w:lang w:val="de-DE"/>
        </w:rPr>
      </w:pPr>
    </w:p>
    <w:p w14:paraId="24C35658" w14:textId="1868870E"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Ein exploratives multivariates Cox-Regressionsmodell zeigte retroselektiv, dass die folgenden prognostischen Basisfaktoren unabhängig von der Behandlung einen starken Einfluss auf das Überleben hatten: Geschlecht, Zahl der weißen Blutzellen, Blutplättchenzahl, Gewicht</w:t>
      </w:r>
      <w:r w:rsidR="00EF42B3" w:rsidRPr="009737B5">
        <w:rPr>
          <w:rFonts w:ascii="Times New Roman" w:hAnsi="Times New Roman" w:cs="Times New Roman"/>
          <w:lang w:val="de-DE"/>
        </w:rPr>
        <w:t>sverlust in den 6 </w:t>
      </w:r>
      <w:r w:rsidRPr="009737B5">
        <w:rPr>
          <w:rFonts w:ascii="Times New Roman" w:hAnsi="Times New Roman" w:cs="Times New Roman"/>
          <w:lang w:val="de-DE"/>
        </w:rPr>
        <w:t>Monaten vor Studieneintritt, Zahl der Metastasierungsstellen, Summe des längsten Durchmessers der Zielläsionen, Motzer-Score. Die Neuauswertung unter Berücksichtigung dieser Basisfaktoren ergab ein</w:t>
      </w:r>
      <w:r w:rsidR="001B3701" w:rsidRPr="009737B5">
        <w:rPr>
          <w:rFonts w:ascii="Times New Roman" w:hAnsi="Times New Roman" w:cs="Times New Roman"/>
          <w:lang w:val="de-DE"/>
        </w:rPr>
        <w:t>e</w:t>
      </w:r>
      <w:r w:rsidRPr="009737B5">
        <w:rPr>
          <w:rFonts w:ascii="Times New Roman" w:hAnsi="Times New Roman" w:cs="Times New Roman"/>
          <w:lang w:val="de-DE"/>
        </w:rPr>
        <w:t xml:space="preserve"> behandlungsbedingte Hazard Ratio von 0,78 (95</w:t>
      </w:r>
      <w:r w:rsidR="00322E40" w:rsidRPr="009737B5">
        <w:rPr>
          <w:rFonts w:ascii="Times New Roman" w:hAnsi="Times New Roman" w:cs="Times New Roman"/>
          <w:lang w:val="de-DE"/>
        </w:rPr>
        <w:t> %</w:t>
      </w:r>
      <w:r w:rsidR="000F1844">
        <w:rPr>
          <w:rFonts w:ascii="Times New Roman" w:hAnsi="Times New Roman" w:cs="Times New Roman"/>
          <w:lang w:val="de-DE"/>
        </w:rPr>
        <w:t> </w:t>
      </w:r>
      <w:r w:rsidRPr="009737B5">
        <w:rPr>
          <w:rFonts w:ascii="Times New Roman" w:hAnsi="Times New Roman" w:cs="Times New Roman"/>
          <w:lang w:val="de-DE"/>
        </w:rPr>
        <w:t>KI [0,63; 0,96], p</w:t>
      </w:r>
      <w:r w:rsidR="000F1844">
        <w:rPr>
          <w:rFonts w:ascii="Times New Roman" w:hAnsi="Times New Roman" w:cs="Times New Roman"/>
          <w:lang w:val="de-DE"/>
        </w:rPr>
        <w:t> </w:t>
      </w:r>
      <w:r w:rsidRPr="009737B5">
        <w:rPr>
          <w:rFonts w:ascii="Times New Roman" w:hAnsi="Times New Roman" w:cs="Times New Roman"/>
          <w:lang w:val="de-DE"/>
        </w:rPr>
        <w:t>=</w:t>
      </w:r>
      <w:r w:rsidR="000F1844">
        <w:rPr>
          <w:rFonts w:ascii="Times New Roman" w:hAnsi="Times New Roman" w:cs="Times New Roman"/>
          <w:lang w:val="de-DE"/>
        </w:rPr>
        <w:t> </w:t>
      </w:r>
      <w:r w:rsidRPr="009737B5">
        <w:rPr>
          <w:rFonts w:ascii="Times New Roman" w:hAnsi="Times New Roman" w:cs="Times New Roman"/>
          <w:lang w:val="de-DE"/>
        </w:rPr>
        <w:t>0,0219), was gleichbedeutend mit einer 22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igen Risikoreduktion hinsichtlich des Todes für die Patienten im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 IFN-alfa-2a-Arm im Vergleich zum IFN-alfa-2a-Arm ist.</w:t>
      </w:r>
    </w:p>
    <w:p w14:paraId="74D4402A" w14:textId="77777777" w:rsidR="00010E8C" w:rsidRPr="009737B5" w:rsidRDefault="00010E8C" w:rsidP="005F4D08">
      <w:pPr>
        <w:suppressAutoHyphens/>
        <w:spacing w:after="0" w:line="240" w:lineRule="auto"/>
        <w:rPr>
          <w:rFonts w:ascii="Times New Roman" w:hAnsi="Times New Roman" w:cs="Times New Roman"/>
          <w:lang w:val="de-DE"/>
        </w:rPr>
      </w:pPr>
    </w:p>
    <w:p w14:paraId="0DAE6F11" w14:textId="0F5800DC" w:rsidR="00010E8C"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97</w:t>
      </w:r>
      <w:r w:rsidR="000F1844">
        <w:rPr>
          <w:rFonts w:ascii="Times New Roman" w:hAnsi="Times New Roman" w:cs="Times New Roman"/>
          <w:lang w:val="de-DE"/>
        </w:rPr>
        <w:t> </w:t>
      </w:r>
      <w:r w:rsidRPr="009737B5">
        <w:rPr>
          <w:rFonts w:ascii="Times New Roman" w:hAnsi="Times New Roman" w:cs="Times New Roman"/>
          <w:lang w:val="de-DE"/>
        </w:rPr>
        <w:t>Patienten im IFN-alfa-2a-Arm und 131</w:t>
      </w:r>
      <w:r w:rsidR="000F1844">
        <w:rPr>
          <w:rFonts w:ascii="Times New Roman" w:hAnsi="Times New Roman" w:cs="Times New Roman"/>
          <w:lang w:val="de-DE"/>
        </w:rPr>
        <w:t> </w:t>
      </w:r>
      <w:r w:rsidRPr="009737B5">
        <w:rPr>
          <w:rFonts w:ascii="Times New Roman" w:hAnsi="Times New Roman" w:cs="Times New Roman"/>
          <w:lang w:val="de-DE"/>
        </w:rPr>
        <w:t xml:space="preserve">Patienten im </w:t>
      </w:r>
      <w:r w:rsidR="00863E83" w:rsidRPr="009737B5">
        <w:rPr>
          <w:rFonts w:ascii="Times New Roman" w:hAnsi="Times New Roman" w:cs="Times New Roman"/>
          <w:lang w:val="de-DE"/>
        </w:rPr>
        <w:t>Bevacizumab-</w:t>
      </w:r>
      <w:r w:rsidRPr="009737B5">
        <w:rPr>
          <w:rFonts w:ascii="Times New Roman" w:hAnsi="Times New Roman" w:cs="Times New Roman"/>
          <w:lang w:val="de-DE"/>
        </w:rPr>
        <w:t>Arm verringerten, wie im Protokoll vorgegeben, die IFN-alfa-2a-Dosis von 9</w:t>
      </w:r>
      <w:r w:rsidR="000F1844">
        <w:rPr>
          <w:rFonts w:ascii="Times New Roman" w:hAnsi="Times New Roman" w:cs="Times New Roman"/>
          <w:lang w:val="de-DE"/>
        </w:rPr>
        <w:t> </w:t>
      </w:r>
      <w:r w:rsidRPr="009737B5">
        <w:rPr>
          <w:rFonts w:ascii="Times New Roman" w:hAnsi="Times New Roman" w:cs="Times New Roman"/>
          <w:lang w:val="de-DE"/>
        </w:rPr>
        <w:t>Mio.</w:t>
      </w:r>
      <w:r w:rsidR="000F1844">
        <w:rPr>
          <w:rFonts w:ascii="Times New Roman" w:hAnsi="Times New Roman" w:cs="Times New Roman"/>
          <w:lang w:val="de-DE"/>
        </w:rPr>
        <w:t> </w:t>
      </w:r>
      <w:r w:rsidRPr="009737B5">
        <w:rPr>
          <w:rFonts w:ascii="Times New Roman" w:hAnsi="Times New Roman" w:cs="Times New Roman"/>
          <w:lang w:val="de-DE"/>
        </w:rPr>
        <w:t>I.E. auf 6 oder 3</w:t>
      </w:r>
      <w:r w:rsidR="000F1844">
        <w:rPr>
          <w:rFonts w:ascii="Times New Roman" w:hAnsi="Times New Roman" w:cs="Times New Roman"/>
          <w:lang w:val="de-DE"/>
        </w:rPr>
        <w:t> </w:t>
      </w:r>
      <w:r w:rsidRPr="009737B5">
        <w:rPr>
          <w:rFonts w:ascii="Times New Roman" w:hAnsi="Times New Roman" w:cs="Times New Roman"/>
          <w:lang w:val="de-DE"/>
        </w:rPr>
        <w:t>Mio.</w:t>
      </w:r>
      <w:r w:rsidR="000F1844">
        <w:rPr>
          <w:rFonts w:ascii="Times New Roman" w:hAnsi="Times New Roman" w:cs="Times New Roman"/>
          <w:lang w:val="de-DE"/>
        </w:rPr>
        <w:t> </w:t>
      </w:r>
      <w:r w:rsidRPr="009737B5">
        <w:rPr>
          <w:rFonts w:ascii="Times New Roman" w:hAnsi="Times New Roman" w:cs="Times New Roman"/>
          <w:lang w:val="de-DE"/>
        </w:rPr>
        <w:t xml:space="preserve">I.E. dreimal wöchentlich. Wie in einer Subgruppen-Analyse gezeigt werden konnte, schien, bezogen auf das progressionsfreie Überleben ohne Zwischenfälle im Beobachtungszeitraum, eine Dosisreduktion von IFN-alfa-2a keinen Einfluss auf die Wirksamkeit der Kombination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 IFN-alfa-2a zu </w:t>
      </w:r>
      <w:r w:rsidRPr="009737B5">
        <w:rPr>
          <w:rFonts w:ascii="Times New Roman" w:hAnsi="Times New Roman" w:cs="Times New Roman"/>
          <w:lang w:val="de-DE"/>
        </w:rPr>
        <w:lastRenderedPageBreak/>
        <w:t>haben. Die 131</w:t>
      </w:r>
      <w:r w:rsidR="009B6D2A">
        <w:rPr>
          <w:rFonts w:ascii="Times New Roman" w:hAnsi="Times New Roman" w:cs="Times New Roman"/>
          <w:lang w:val="de-DE"/>
        </w:rPr>
        <w:t> </w:t>
      </w:r>
      <w:r w:rsidRPr="009737B5">
        <w:rPr>
          <w:rFonts w:ascii="Times New Roman" w:hAnsi="Times New Roman" w:cs="Times New Roman"/>
          <w:lang w:val="de-DE"/>
        </w:rPr>
        <w:t xml:space="preserve">Patienten im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 IFN-alfa-2a-Arm, die während der Studie die IFN</w:t>
      </w:r>
      <w:r w:rsidR="0049705F">
        <w:rPr>
          <w:rFonts w:ascii="Times New Roman" w:hAnsi="Times New Roman" w:cs="Times New Roman"/>
          <w:lang w:val="de-DE"/>
        </w:rPr>
        <w:t>-</w:t>
      </w:r>
      <w:r w:rsidRPr="009737B5">
        <w:rPr>
          <w:rFonts w:ascii="Times New Roman" w:hAnsi="Times New Roman" w:cs="Times New Roman"/>
          <w:lang w:val="de-DE"/>
        </w:rPr>
        <w:t>alfa-2a-Dosis dauerhaft auf 6 oder 3</w:t>
      </w:r>
      <w:r w:rsidR="009B6D2A">
        <w:rPr>
          <w:rFonts w:ascii="Times New Roman" w:hAnsi="Times New Roman" w:cs="Times New Roman"/>
          <w:lang w:val="de-DE"/>
        </w:rPr>
        <w:t> </w:t>
      </w:r>
      <w:r w:rsidRPr="009737B5">
        <w:rPr>
          <w:rFonts w:ascii="Times New Roman" w:hAnsi="Times New Roman" w:cs="Times New Roman"/>
          <w:lang w:val="de-DE"/>
        </w:rPr>
        <w:t>Mio.</w:t>
      </w:r>
      <w:r w:rsidR="009B6D2A">
        <w:rPr>
          <w:rFonts w:ascii="Times New Roman" w:hAnsi="Times New Roman" w:cs="Times New Roman"/>
          <w:lang w:val="de-DE"/>
        </w:rPr>
        <w:t> </w:t>
      </w:r>
      <w:r w:rsidRPr="009737B5">
        <w:rPr>
          <w:rFonts w:ascii="Times New Roman" w:hAnsi="Times New Roman" w:cs="Times New Roman"/>
          <w:lang w:val="de-DE"/>
        </w:rPr>
        <w:t>I.E. reduzierten, hatten nach 6, 12 und 18</w:t>
      </w:r>
      <w:r w:rsidR="009B6D2A">
        <w:rPr>
          <w:rFonts w:ascii="Times New Roman" w:hAnsi="Times New Roman" w:cs="Times New Roman"/>
          <w:lang w:val="de-DE"/>
        </w:rPr>
        <w:t> </w:t>
      </w:r>
      <w:r w:rsidRPr="009737B5">
        <w:rPr>
          <w:rFonts w:ascii="Times New Roman" w:hAnsi="Times New Roman" w:cs="Times New Roman"/>
          <w:lang w:val="de-DE"/>
        </w:rPr>
        <w:t>Monaten Raten ohne Krankheitsprogression von 73</w:t>
      </w:r>
      <w:r w:rsidR="00322E40" w:rsidRPr="009737B5">
        <w:rPr>
          <w:rFonts w:ascii="Times New Roman" w:hAnsi="Times New Roman" w:cs="Times New Roman"/>
          <w:lang w:val="de-DE"/>
        </w:rPr>
        <w:t> %</w:t>
      </w:r>
      <w:r w:rsidRPr="009737B5">
        <w:rPr>
          <w:rFonts w:ascii="Times New Roman" w:hAnsi="Times New Roman" w:cs="Times New Roman"/>
          <w:lang w:val="de-DE"/>
        </w:rPr>
        <w:t>, 52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und 21</w:t>
      </w:r>
      <w:r w:rsidR="00322E40" w:rsidRPr="009737B5">
        <w:rPr>
          <w:rFonts w:ascii="Times New Roman" w:hAnsi="Times New Roman" w:cs="Times New Roman"/>
          <w:lang w:val="de-DE"/>
        </w:rPr>
        <w:t> %</w:t>
      </w:r>
      <w:r w:rsidRPr="009737B5">
        <w:rPr>
          <w:rFonts w:ascii="Times New Roman" w:hAnsi="Times New Roman" w:cs="Times New Roman"/>
          <w:lang w:val="de-DE"/>
        </w:rPr>
        <w:t>, im Vergleich zu 61</w:t>
      </w:r>
      <w:r w:rsidR="00322E40" w:rsidRPr="009737B5">
        <w:rPr>
          <w:rFonts w:ascii="Times New Roman" w:hAnsi="Times New Roman" w:cs="Times New Roman"/>
          <w:lang w:val="de-DE"/>
        </w:rPr>
        <w:t> %</w:t>
      </w:r>
      <w:r w:rsidRPr="009737B5">
        <w:rPr>
          <w:rFonts w:ascii="Times New Roman" w:hAnsi="Times New Roman" w:cs="Times New Roman"/>
          <w:lang w:val="de-DE"/>
        </w:rPr>
        <w:t>, 43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und 17</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der gesamten Patientenpopulation, die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 IFN-alfa-2a erhielt.</w:t>
      </w:r>
    </w:p>
    <w:p w14:paraId="386A3BF0" w14:textId="77777777" w:rsidR="008C6B6B" w:rsidRPr="009737B5" w:rsidRDefault="008C6B6B" w:rsidP="005F4D08">
      <w:pPr>
        <w:suppressAutoHyphens/>
        <w:spacing w:after="0" w:line="240" w:lineRule="auto"/>
        <w:rPr>
          <w:rFonts w:ascii="Times New Roman" w:hAnsi="Times New Roman" w:cs="Times New Roman"/>
          <w:lang w:val="de-DE"/>
        </w:rPr>
      </w:pPr>
    </w:p>
    <w:p w14:paraId="068EA8E7" w14:textId="77777777" w:rsidR="008C6B6B" w:rsidRPr="001661A9" w:rsidRDefault="008C6B6B" w:rsidP="008C6B6B">
      <w:pPr>
        <w:pStyle w:val="CM2"/>
        <w:keepNext/>
        <w:widowControl/>
        <w:spacing w:line="240" w:lineRule="auto"/>
        <w:rPr>
          <w:sz w:val="22"/>
          <w:szCs w:val="22"/>
          <w:lang w:val="de-DE"/>
        </w:rPr>
      </w:pPr>
      <w:r w:rsidRPr="001661A9">
        <w:rPr>
          <w:i/>
          <w:iCs/>
          <w:sz w:val="22"/>
          <w:szCs w:val="22"/>
          <w:lang w:val="de-DE"/>
        </w:rPr>
        <w:t>AVF2938</w:t>
      </w:r>
    </w:p>
    <w:p w14:paraId="77E7908D" w14:textId="3E25C09A" w:rsidR="00010E8C" w:rsidRPr="001661A9" w:rsidRDefault="008C6B6B" w:rsidP="005F4D08">
      <w:pPr>
        <w:suppressAutoHyphens/>
        <w:spacing w:after="0" w:line="240" w:lineRule="auto"/>
        <w:rPr>
          <w:rFonts w:ascii="Times New Roman" w:hAnsi="Times New Roman" w:cs="Times New Roman"/>
          <w:lang w:val="de-DE"/>
        </w:rPr>
      </w:pPr>
      <w:r w:rsidRPr="001661A9">
        <w:rPr>
          <w:rFonts w:ascii="Times New Roman" w:hAnsi="Times New Roman" w:cs="Times New Roman"/>
          <w:lang w:val="de-DE"/>
        </w:rPr>
        <w:t>Hierbei handelte es sich um eine randomisierte Doppelblindstudie der Phase</w:t>
      </w:r>
      <w:r w:rsidR="00DE0CB6">
        <w:rPr>
          <w:rFonts w:ascii="Times New Roman" w:hAnsi="Times New Roman" w:cs="Times New Roman"/>
          <w:lang w:val="de-DE"/>
        </w:rPr>
        <w:t> </w:t>
      </w:r>
      <w:r w:rsidRPr="001661A9">
        <w:rPr>
          <w:rFonts w:ascii="Times New Roman" w:hAnsi="Times New Roman" w:cs="Times New Roman"/>
          <w:lang w:val="de-DE"/>
        </w:rPr>
        <w:t>II zur Untersuchung von Bevacizumab 10</w:t>
      </w:r>
      <w:r w:rsidR="00DE0CB6">
        <w:rPr>
          <w:rFonts w:ascii="Times New Roman" w:hAnsi="Times New Roman" w:cs="Times New Roman"/>
          <w:lang w:val="de-DE"/>
        </w:rPr>
        <w:t> </w:t>
      </w:r>
      <w:r w:rsidRPr="001661A9">
        <w:rPr>
          <w:rFonts w:ascii="Times New Roman" w:hAnsi="Times New Roman" w:cs="Times New Roman"/>
          <w:lang w:val="de-DE"/>
        </w:rPr>
        <w:t>mg/kg alle 2</w:t>
      </w:r>
      <w:r w:rsidR="00DE0CB6">
        <w:rPr>
          <w:rFonts w:ascii="Times New Roman" w:hAnsi="Times New Roman" w:cs="Times New Roman"/>
          <w:lang w:val="de-DE"/>
        </w:rPr>
        <w:t> </w:t>
      </w:r>
      <w:r w:rsidRPr="001661A9">
        <w:rPr>
          <w:rFonts w:ascii="Times New Roman" w:hAnsi="Times New Roman" w:cs="Times New Roman"/>
          <w:lang w:val="de-DE"/>
        </w:rPr>
        <w:t>Wochen mit oder ohne Erlotinib 150</w:t>
      </w:r>
      <w:r w:rsidR="00DE0CB6">
        <w:rPr>
          <w:rFonts w:ascii="Times New Roman" w:hAnsi="Times New Roman" w:cs="Times New Roman"/>
          <w:lang w:val="de-DE"/>
        </w:rPr>
        <w:t> </w:t>
      </w:r>
      <w:r w:rsidRPr="001661A9">
        <w:rPr>
          <w:rFonts w:ascii="Times New Roman" w:hAnsi="Times New Roman" w:cs="Times New Roman"/>
          <w:lang w:val="de-DE"/>
        </w:rPr>
        <w:t>mg täglich bei Patienten mit metastasiertem, klarzelligem Nierenzellkarzinom. Insgesamt wurden 104</w:t>
      </w:r>
      <w:r w:rsidR="00DE0CB6">
        <w:rPr>
          <w:rFonts w:ascii="Times New Roman" w:hAnsi="Times New Roman" w:cs="Times New Roman"/>
          <w:lang w:val="de-DE"/>
        </w:rPr>
        <w:t> </w:t>
      </w:r>
      <w:r w:rsidRPr="001661A9">
        <w:rPr>
          <w:rFonts w:ascii="Times New Roman" w:hAnsi="Times New Roman" w:cs="Times New Roman"/>
          <w:lang w:val="de-DE"/>
        </w:rPr>
        <w:t xml:space="preserve">Patienten randomisiert der Studienbehandlung zugeteilt, davon 53 zu </w:t>
      </w:r>
      <w:r w:rsidR="0007026B" w:rsidRPr="001661A9">
        <w:rPr>
          <w:rFonts w:ascii="Times New Roman" w:hAnsi="Times New Roman" w:cs="Times New Roman"/>
          <w:lang w:val="de-DE"/>
        </w:rPr>
        <w:t>Bevacizumab</w:t>
      </w:r>
      <w:r w:rsidRPr="001661A9">
        <w:rPr>
          <w:rFonts w:ascii="Times New Roman" w:hAnsi="Times New Roman" w:cs="Times New Roman"/>
          <w:lang w:val="de-DE"/>
        </w:rPr>
        <w:t xml:space="preserve"> 10</w:t>
      </w:r>
      <w:r w:rsidR="00DE0CB6">
        <w:rPr>
          <w:rFonts w:ascii="Times New Roman" w:hAnsi="Times New Roman" w:cs="Times New Roman"/>
          <w:lang w:val="de-DE"/>
        </w:rPr>
        <w:t> </w:t>
      </w:r>
      <w:r w:rsidRPr="001661A9">
        <w:rPr>
          <w:rFonts w:ascii="Times New Roman" w:hAnsi="Times New Roman" w:cs="Times New Roman"/>
          <w:lang w:val="de-DE"/>
        </w:rPr>
        <w:t>mg/kg alle 2</w:t>
      </w:r>
      <w:r w:rsidR="00DE0CB6">
        <w:rPr>
          <w:rFonts w:ascii="Times New Roman" w:hAnsi="Times New Roman" w:cs="Times New Roman"/>
          <w:lang w:val="de-DE"/>
        </w:rPr>
        <w:t> </w:t>
      </w:r>
      <w:r w:rsidRPr="001661A9">
        <w:rPr>
          <w:rFonts w:ascii="Times New Roman" w:hAnsi="Times New Roman" w:cs="Times New Roman"/>
          <w:lang w:val="de-DE"/>
        </w:rPr>
        <w:t xml:space="preserve">Wochen plus Placebo und 51 zu </w:t>
      </w:r>
      <w:r w:rsidR="00523B75" w:rsidRPr="001661A9">
        <w:rPr>
          <w:rFonts w:ascii="Times New Roman" w:hAnsi="Times New Roman" w:cs="Times New Roman"/>
          <w:lang w:val="de-DE"/>
        </w:rPr>
        <w:t>Bevacizumab</w:t>
      </w:r>
      <w:r w:rsidRPr="001661A9">
        <w:rPr>
          <w:rFonts w:ascii="Times New Roman" w:hAnsi="Times New Roman" w:cs="Times New Roman"/>
          <w:lang w:val="de-DE"/>
        </w:rPr>
        <w:t xml:space="preserve"> 10</w:t>
      </w:r>
      <w:r w:rsidR="00DE0CB6">
        <w:rPr>
          <w:rFonts w:ascii="Times New Roman" w:hAnsi="Times New Roman" w:cs="Times New Roman"/>
          <w:lang w:val="de-DE"/>
        </w:rPr>
        <w:t> </w:t>
      </w:r>
      <w:r w:rsidRPr="001661A9">
        <w:rPr>
          <w:rFonts w:ascii="Times New Roman" w:hAnsi="Times New Roman" w:cs="Times New Roman"/>
          <w:lang w:val="de-DE"/>
        </w:rPr>
        <w:t>mg/kg alle 2</w:t>
      </w:r>
      <w:r w:rsidR="00DE0CB6">
        <w:rPr>
          <w:rFonts w:ascii="Times New Roman" w:hAnsi="Times New Roman" w:cs="Times New Roman"/>
          <w:lang w:val="de-DE"/>
        </w:rPr>
        <w:t> </w:t>
      </w:r>
      <w:r w:rsidRPr="001661A9">
        <w:rPr>
          <w:rFonts w:ascii="Times New Roman" w:hAnsi="Times New Roman" w:cs="Times New Roman"/>
          <w:lang w:val="de-DE"/>
        </w:rPr>
        <w:t>Wochen plus Erlotinib 150</w:t>
      </w:r>
      <w:r w:rsidR="00DE0CB6">
        <w:rPr>
          <w:rFonts w:ascii="Times New Roman" w:hAnsi="Times New Roman" w:cs="Times New Roman"/>
          <w:lang w:val="de-DE"/>
        </w:rPr>
        <w:t> </w:t>
      </w:r>
      <w:r w:rsidRPr="001661A9">
        <w:rPr>
          <w:rFonts w:ascii="Times New Roman" w:hAnsi="Times New Roman" w:cs="Times New Roman"/>
          <w:lang w:val="de-DE"/>
        </w:rPr>
        <w:t xml:space="preserve">mg täglich. Die Auswertung des primären Studienendpunktes zeigte keinen Unterschied zwischen dem </w:t>
      </w:r>
      <w:r w:rsidR="0060056D" w:rsidRPr="001661A9">
        <w:rPr>
          <w:rFonts w:ascii="Times New Roman" w:hAnsi="Times New Roman" w:cs="Times New Roman"/>
          <w:lang w:val="de-DE"/>
        </w:rPr>
        <w:t>Bevacizumab</w:t>
      </w:r>
      <w:r w:rsidR="00523B75" w:rsidRPr="001661A9">
        <w:rPr>
          <w:rFonts w:ascii="Times New Roman" w:hAnsi="Times New Roman" w:cs="Times New Roman"/>
          <w:lang w:val="de-DE"/>
        </w:rPr>
        <w:t xml:space="preserve"> </w:t>
      </w:r>
      <w:r w:rsidRPr="001661A9">
        <w:rPr>
          <w:rFonts w:ascii="Times New Roman" w:hAnsi="Times New Roman" w:cs="Times New Roman"/>
          <w:lang w:val="de-DE"/>
        </w:rPr>
        <w:t>+</w:t>
      </w:r>
      <w:r w:rsidR="00523B75" w:rsidRPr="001661A9">
        <w:rPr>
          <w:rFonts w:ascii="Times New Roman" w:hAnsi="Times New Roman" w:cs="Times New Roman"/>
          <w:lang w:val="de-DE"/>
        </w:rPr>
        <w:t xml:space="preserve"> </w:t>
      </w:r>
      <w:r w:rsidRPr="001661A9">
        <w:rPr>
          <w:rFonts w:ascii="Times New Roman" w:hAnsi="Times New Roman" w:cs="Times New Roman"/>
          <w:lang w:val="de-DE"/>
        </w:rPr>
        <w:t xml:space="preserve">Placebo- und dem </w:t>
      </w:r>
      <w:r w:rsidR="0060056D" w:rsidRPr="001661A9">
        <w:rPr>
          <w:rFonts w:ascii="Times New Roman" w:hAnsi="Times New Roman" w:cs="Times New Roman"/>
          <w:lang w:val="de-DE"/>
        </w:rPr>
        <w:t>Bevacizumab</w:t>
      </w:r>
      <w:r w:rsidR="00523B75" w:rsidRPr="001661A9">
        <w:rPr>
          <w:rFonts w:ascii="Times New Roman" w:hAnsi="Times New Roman" w:cs="Times New Roman"/>
          <w:lang w:val="de-DE"/>
        </w:rPr>
        <w:t xml:space="preserve"> </w:t>
      </w:r>
      <w:r w:rsidRPr="001661A9">
        <w:rPr>
          <w:rFonts w:ascii="Times New Roman" w:hAnsi="Times New Roman" w:cs="Times New Roman"/>
          <w:lang w:val="de-DE"/>
        </w:rPr>
        <w:t>+</w:t>
      </w:r>
      <w:r w:rsidR="00523B75" w:rsidRPr="001661A9">
        <w:rPr>
          <w:rFonts w:ascii="Times New Roman" w:hAnsi="Times New Roman" w:cs="Times New Roman"/>
          <w:lang w:val="de-DE"/>
        </w:rPr>
        <w:t xml:space="preserve"> </w:t>
      </w:r>
      <w:r w:rsidRPr="001661A9">
        <w:rPr>
          <w:rFonts w:ascii="Times New Roman" w:hAnsi="Times New Roman" w:cs="Times New Roman"/>
          <w:lang w:val="de-DE"/>
        </w:rPr>
        <w:t>Erlotinib-Arm (medianes progressionsfreies Überleben 8,5 gegenüber 9,9</w:t>
      </w:r>
      <w:r w:rsidR="009B6D2A">
        <w:rPr>
          <w:rFonts w:ascii="Times New Roman" w:hAnsi="Times New Roman" w:cs="Times New Roman"/>
          <w:lang w:val="de-DE"/>
        </w:rPr>
        <w:t> </w:t>
      </w:r>
      <w:r w:rsidRPr="001661A9">
        <w:rPr>
          <w:rFonts w:ascii="Times New Roman" w:hAnsi="Times New Roman" w:cs="Times New Roman"/>
          <w:lang w:val="de-DE"/>
        </w:rPr>
        <w:t>Monaten). Sieben Patienten in jedem Studienarm zeigten ein objektives Ansprechen. Die Hinzugabe von Erlotinib zu Bevacizumab führte nicht zu einer Erhöhung des Gesamtüberlebens (HR</w:t>
      </w:r>
      <w:r w:rsidR="00DE0CB6">
        <w:rPr>
          <w:rFonts w:ascii="Times New Roman" w:hAnsi="Times New Roman" w:cs="Times New Roman"/>
          <w:lang w:val="de-DE"/>
        </w:rPr>
        <w:t> </w:t>
      </w:r>
      <w:r w:rsidRPr="001661A9">
        <w:rPr>
          <w:rFonts w:ascii="Times New Roman" w:hAnsi="Times New Roman" w:cs="Times New Roman"/>
          <w:lang w:val="de-DE"/>
        </w:rPr>
        <w:t>=</w:t>
      </w:r>
      <w:r w:rsidR="00DE0CB6">
        <w:rPr>
          <w:rFonts w:ascii="Times New Roman" w:hAnsi="Times New Roman" w:cs="Times New Roman"/>
          <w:lang w:val="de-DE"/>
        </w:rPr>
        <w:t> </w:t>
      </w:r>
      <w:r w:rsidRPr="001661A9">
        <w:rPr>
          <w:rFonts w:ascii="Times New Roman" w:hAnsi="Times New Roman" w:cs="Times New Roman"/>
          <w:lang w:val="de-DE"/>
        </w:rPr>
        <w:t>1,764; p</w:t>
      </w:r>
      <w:r w:rsidR="000206F4">
        <w:rPr>
          <w:rFonts w:ascii="Times New Roman" w:hAnsi="Times New Roman" w:cs="Times New Roman"/>
          <w:lang w:val="de-DE"/>
        </w:rPr>
        <w:t> </w:t>
      </w:r>
      <w:r w:rsidRPr="001661A9">
        <w:rPr>
          <w:rFonts w:ascii="Times New Roman" w:hAnsi="Times New Roman" w:cs="Times New Roman"/>
          <w:lang w:val="de-DE"/>
        </w:rPr>
        <w:t>=</w:t>
      </w:r>
      <w:r w:rsidR="000206F4">
        <w:rPr>
          <w:rFonts w:ascii="Times New Roman" w:hAnsi="Times New Roman" w:cs="Times New Roman"/>
          <w:lang w:val="de-DE"/>
        </w:rPr>
        <w:t> </w:t>
      </w:r>
      <w:r w:rsidRPr="001661A9">
        <w:rPr>
          <w:rFonts w:ascii="Times New Roman" w:hAnsi="Times New Roman" w:cs="Times New Roman"/>
          <w:lang w:val="de-DE"/>
        </w:rPr>
        <w:t>0,1789), der Dauer des objektiven Ansprechens (6,7 vs. 9,1</w:t>
      </w:r>
      <w:r w:rsidR="000206F4">
        <w:rPr>
          <w:rFonts w:ascii="Times New Roman" w:hAnsi="Times New Roman" w:cs="Times New Roman"/>
          <w:lang w:val="de-DE"/>
        </w:rPr>
        <w:t> </w:t>
      </w:r>
      <w:r w:rsidRPr="001661A9">
        <w:rPr>
          <w:rFonts w:ascii="Times New Roman" w:hAnsi="Times New Roman" w:cs="Times New Roman"/>
          <w:lang w:val="de-DE"/>
        </w:rPr>
        <w:t>Monaten) oder der Zeit bis zur Symptomprogression (HR</w:t>
      </w:r>
      <w:r w:rsidR="000206F4">
        <w:rPr>
          <w:rFonts w:ascii="Times New Roman" w:hAnsi="Times New Roman" w:cs="Times New Roman"/>
          <w:lang w:val="de-DE"/>
        </w:rPr>
        <w:t> </w:t>
      </w:r>
      <w:r w:rsidRPr="001661A9">
        <w:rPr>
          <w:rFonts w:ascii="Times New Roman" w:hAnsi="Times New Roman" w:cs="Times New Roman"/>
          <w:lang w:val="de-DE"/>
        </w:rPr>
        <w:t>=</w:t>
      </w:r>
      <w:r w:rsidR="000206F4">
        <w:rPr>
          <w:rFonts w:ascii="Times New Roman" w:hAnsi="Times New Roman" w:cs="Times New Roman"/>
          <w:lang w:val="de-DE"/>
        </w:rPr>
        <w:t> </w:t>
      </w:r>
      <w:r w:rsidRPr="001661A9">
        <w:rPr>
          <w:rFonts w:ascii="Times New Roman" w:hAnsi="Times New Roman" w:cs="Times New Roman"/>
          <w:lang w:val="de-DE"/>
        </w:rPr>
        <w:t>1,172; p</w:t>
      </w:r>
      <w:r w:rsidR="000206F4">
        <w:rPr>
          <w:rFonts w:ascii="Times New Roman" w:hAnsi="Times New Roman" w:cs="Times New Roman"/>
          <w:lang w:val="de-DE"/>
        </w:rPr>
        <w:t> </w:t>
      </w:r>
      <w:r w:rsidRPr="001661A9">
        <w:rPr>
          <w:rFonts w:ascii="Times New Roman" w:hAnsi="Times New Roman" w:cs="Times New Roman"/>
          <w:lang w:val="de-DE"/>
        </w:rPr>
        <w:t>=</w:t>
      </w:r>
      <w:r w:rsidR="000206F4">
        <w:rPr>
          <w:rFonts w:ascii="Times New Roman" w:hAnsi="Times New Roman" w:cs="Times New Roman"/>
          <w:lang w:val="de-DE"/>
        </w:rPr>
        <w:t> </w:t>
      </w:r>
      <w:r w:rsidRPr="001661A9">
        <w:rPr>
          <w:rFonts w:ascii="Times New Roman" w:hAnsi="Times New Roman" w:cs="Times New Roman"/>
          <w:lang w:val="de-DE"/>
        </w:rPr>
        <w:t>0,5076).</w:t>
      </w:r>
    </w:p>
    <w:p w14:paraId="7C635599" w14:textId="77777777" w:rsidR="00523B75" w:rsidRPr="009737B5" w:rsidRDefault="00523B75" w:rsidP="005F4D08">
      <w:pPr>
        <w:suppressAutoHyphens/>
        <w:spacing w:after="0" w:line="240" w:lineRule="auto"/>
        <w:rPr>
          <w:rFonts w:ascii="Times New Roman" w:hAnsi="Times New Roman" w:cs="Times New Roman"/>
          <w:lang w:val="de-DE"/>
        </w:rPr>
      </w:pPr>
    </w:p>
    <w:p w14:paraId="23B97F7D" w14:textId="77777777" w:rsidR="00010E8C" w:rsidRPr="009737B5" w:rsidRDefault="00010E8C" w:rsidP="00506C48">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AVF0890</w:t>
      </w:r>
    </w:p>
    <w:p w14:paraId="1E5CACB6" w14:textId="4B2DDD3C"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Hierbei handelte es sich um eine randomisierte Phase</w:t>
      </w:r>
      <w:r w:rsidR="009B6D2A">
        <w:rPr>
          <w:rFonts w:ascii="Times New Roman" w:hAnsi="Times New Roman" w:cs="Times New Roman"/>
          <w:lang w:val="de-DE"/>
        </w:rPr>
        <w:t> </w:t>
      </w:r>
      <w:r w:rsidRPr="009737B5">
        <w:rPr>
          <w:rFonts w:ascii="Times New Roman" w:hAnsi="Times New Roman" w:cs="Times New Roman"/>
          <w:lang w:val="de-DE"/>
        </w:rPr>
        <w:t>II-Studie zur Sicherheit und Wirksamkeit von</w:t>
      </w:r>
      <w:r w:rsidR="00491714" w:rsidRPr="009737B5">
        <w:rPr>
          <w:rFonts w:ascii="Times New Roman" w:hAnsi="Times New Roman" w:cs="Times New Roman"/>
          <w:lang w:val="de-DE"/>
        </w:rPr>
        <w:t xml:space="preserve"> </w:t>
      </w:r>
      <w:r w:rsidRPr="009737B5">
        <w:rPr>
          <w:rFonts w:ascii="Times New Roman" w:hAnsi="Times New Roman" w:cs="Times New Roman"/>
          <w:lang w:val="de-DE"/>
        </w:rPr>
        <w:t>Bevacizumab im Vergleich zu Placebo. Insgesamt 116</w:t>
      </w:r>
      <w:r w:rsidR="009B6D2A">
        <w:rPr>
          <w:rFonts w:ascii="Times New Roman" w:hAnsi="Times New Roman" w:cs="Times New Roman"/>
          <w:lang w:val="de-DE"/>
        </w:rPr>
        <w:t> </w:t>
      </w:r>
      <w:r w:rsidRPr="009737B5">
        <w:rPr>
          <w:rFonts w:ascii="Times New Roman" w:hAnsi="Times New Roman" w:cs="Times New Roman"/>
          <w:lang w:val="de-DE"/>
        </w:rPr>
        <w:t>Patienten erhielten randomisiert entweder Bevacizumab 3</w:t>
      </w:r>
      <w:r w:rsidR="00AB26B9" w:rsidRPr="009737B5">
        <w:rPr>
          <w:rFonts w:ascii="Times New Roman" w:hAnsi="Times New Roman" w:cs="Times New Roman"/>
          <w:lang w:val="de-DE"/>
        </w:rPr>
        <w:t> mg</w:t>
      </w:r>
      <w:r w:rsidRPr="009737B5">
        <w:rPr>
          <w:rFonts w:ascii="Times New Roman" w:hAnsi="Times New Roman" w:cs="Times New Roman"/>
          <w:lang w:val="de-DE"/>
        </w:rPr>
        <w:t>/kg alle 2</w:t>
      </w:r>
      <w:r w:rsidR="009B6D2A">
        <w:rPr>
          <w:rFonts w:ascii="Times New Roman" w:hAnsi="Times New Roman" w:cs="Times New Roman"/>
          <w:lang w:val="de-DE"/>
        </w:rPr>
        <w:t> </w:t>
      </w:r>
      <w:r w:rsidRPr="009737B5">
        <w:rPr>
          <w:rFonts w:ascii="Times New Roman" w:hAnsi="Times New Roman" w:cs="Times New Roman"/>
          <w:lang w:val="de-DE"/>
        </w:rPr>
        <w:t>Wochen (n</w:t>
      </w:r>
      <w:r w:rsidR="009B6D2A">
        <w:rPr>
          <w:rFonts w:ascii="Times New Roman" w:hAnsi="Times New Roman" w:cs="Times New Roman"/>
          <w:lang w:val="de-DE"/>
        </w:rPr>
        <w:t> </w:t>
      </w:r>
      <w:r w:rsidRPr="009737B5">
        <w:rPr>
          <w:rFonts w:ascii="Times New Roman" w:hAnsi="Times New Roman" w:cs="Times New Roman"/>
          <w:lang w:val="de-DE"/>
        </w:rPr>
        <w:t>=</w:t>
      </w:r>
      <w:r w:rsidR="009B6D2A">
        <w:rPr>
          <w:rFonts w:ascii="Times New Roman" w:hAnsi="Times New Roman" w:cs="Times New Roman"/>
          <w:lang w:val="de-DE"/>
        </w:rPr>
        <w:t> </w:t>
      </w:r>
      <w:r w:rsidRPr="009737B5">
        <w:rPr>
          <w:rFonts w:ascii="Times New Roman" w:hAnsi="Times New Roman" w:cs="Times New Roman"/>
          <w:lang w:val="de-DE"/>
        </w:rPr>
        <w:t>39) oder Bevacizumab 10</w:t>
      </w:r>
      <w:r w:rsidR="00AB26B9" w:rsidRPr="009737B5">
        <w:rPr>
          <w:rFonts w:ascii="Times New Roman" w:hAnsi="Times New Roman" w:cs="Times New Roman"/>
          <w:lang w:val="de-DE"/>
        </w:rPr>
        <w:t> mg</w:t>
      </w:r>
      <w:r w:rsidRPr="009737B5">
        <w:rPr>
          <w:rFonts w:ascii="Times New Roman" w:hAnsi="Times New Roman" w:cs="Times New Roman"/>
          <w:lang w:val="de-DE"/>
        </w:rPr>
        <w:t>/kg alle 2</w:t>
      </w:r>
      <w:r w:rsidR="009B6D2A">
        <w:rPr>
          <w:rFonts w:ascii="Times New Roman" w:hAnsi="Times New Roman" w:cs="Times New Roman"/>
          <w:lang w:val="de-DE"/>
        </w:rPr>
        <w:t> </w:t>
      </w:r>
      <w:r w:rsidRPr="009737B5">
        <w:rPr>
          <w:rFonts w:ascii="Times New Roman" w:hAnsi="Times New Roman" w:cs="Times New Roman"/>
          <w:lang w:val="de-DE"/>
        </w:rPr>
        <w:t>Wochen (n</w:t>
      </w:r>
      <w:r w:rsidR="009B6D2A">
        <w:rPr>
          <w:rFonts w:ascii="Times New Roman" w:hAnsi="Times New Roman" w:cs="Times New Roman"/>
          <w:lang w:val="de-DE"/>
        </w:rPr>
        <w:t> </w:t>
      </w:r>
      <w:r w:rsidRPr="009737B5">
        <w:rPr>
          <w:rFonts w:ascii="Times New Roman" w:hAnsi="Times New Roman" w:cs="Times New Roman"/>
          <w:lang w:val="de-DE"/>
        </w:rPr>
        <w:t>=</w:t>
      </w:r>
      <w:r w:rsidR="009B6D2A">
        <w:rPr>
          <w:rFonts w:ascii="Times New Roman" w:hAnsi="Times New Roman" w:cs="Times New Roman"/>
          <w:lang w:val="de-DE"/>
        </w:rPr>
        <w:t> </w:t>
      </w:r>
      <w:r w:rsidRPr="009737B5">
        <w:rPr>
          <w:rFonts w:ascii="Times New Roman" w:hAnsi="Times New Roman" w:cs="Times New Roman"/>
          <w:lang w:val="de-DE"/>
        </w:rPr>
        <w:t>37) oder Placebo (n</w:t>
      </w:r>
      <w:r w:rsidR="009B6D2A">
        <w:rPr>
          <w:rFonts w:ascii="Times New Roman" w:hAnsi="Times New Roman" w:cs="Times New Roman"/>
          <w:lang w:val="de-DE"/>
        </w:rPr>
        <w:t> </w:t>
      </w:r>
      <w:r w:rsidRPr="009737B5">
        <w:rPr>
          <w:rFonts w:ascii="Times New Roman" w:hAnsi="Times New Roman" w:cs="Times New Roman"/>
          <w:lang w:val="de-DE"/>
        </w:rPr>
        <w:t>=</w:t>
      </w:r>
      <w:r w:rsidR="009B6D2A">
        <w:rPr>
          <w:rFonts w:ascii="Times New Roman" w:hAnsi="Times New Roman" w:cs="Times New Roman"/>
          <w:lang w:val="de-DE"/>
        </w:rPr>
        <w:t> </w:t>
      </w:r>
      <w:r w:rsidRPr="009737B5">
        <w:rPr>
          <w:rFonts w:ascii="Times New Roman" w:hAnsi="Times New Roman" w:cs="Times New Roman"/>
          <w:lang w:val="de-DE"/>
        </w:rPr>
        <w:t>40). Eine Zwischenauswertung ergab eine signifikante Verlängerung der Zeit bis zum Fortschreiten der Erkrankung in der Gruppe mit 10</w:t>
      </w:r>
      <w:r w:rsidR="00AB26B9" w:rsidRPr="009737B5">
        <w:rPr>
          <w:rFonts w:ascii="Times New Roman" w:hAnsi="Times New Roman" w:cs="Times New Roman"/>
          <w:lang w:val="de-DE"/>
        </w:rPr>
        <w:t> mg</w:t>
      </w:r>
      <w:r w:rsidRPr="009737B5">
        <w:rPr>
          <w:rFonts w:ascii="Times New Roman" w:hAnsi="Times New Roman" w:cs="Times New Roman"/>
          <w:lang w:val="de-DE"/>
        </w:rPr>
        <w:t>/kg Bevacizumab im Vergleich zur Placebo-Gruppe (Hazard Ratio</w:t>
      </w:r>
      <w:r w:rsidR="009B6D2A">
        <w:rPr>
          <w:rFonts w:ascii="Times New Roman" w:hAnsi="Times New Roman" w:cs="Times New Roman"/>
          <w:lang w:val="de-DE"/>
        </w:rPr>
        <w:t> </w:t>
      </w:r>
      <w:r w:rsidRPr="009737B5">
        <w:rPr>
          <w:rFonts w:ascii="Times New Roman" w:hAnsi="Times New Roman" w:cs="Times New Roman"/>
          <w:lang w:val="de-DE"/>
        </w:rPr>
        <w:t>=</w:t>
      </w:r>
      <w:r w:rsidR="009B6D2A">
        <w:rPr>
          <w:rFonts w:ascii="Times New Roman" w:hAnsi="Times New Roman" w:cs="Times New Roman"/>
          <w:lang w:val="de-DE"/>
        </w:rPr>
        <w:t> </w:t>
      </w:r>
      <w:r w:rsidRPr="009737B5">
        <w:rPr>
          <w:rFonts w:ascii="Times New Roman" w:hAnsi="Times New Roman" w:cs="Times New Roman"/>
          <w:lang w:val="de-DE"/>
        </w:rPr>
        <w:t xml:space="preserve">2,55; p </w:t>
      </w:r>
      <w:r w:rsidR="00E32D5C" w:rsidRPr="009737B5">
        <w:rPr>
          <w:rFonts w:ascii="Times New Roman" w:hAnsi="Times New Roman" w:cs="Times New Roman"/>
          <w:lang w:val="de-DE"/>
        </w:rPr>
        <w:t>&lt; </w:t>
      </w:r>
      <w:r w:rsidRPr="009737B5">
        <w:rPr>
          <w:rFonts w:ascii="Times New Roman" w:hAnsi="Times New Roman" w:cs="Times New Roman"/>
          <w:lang w:val="de-DE"/>
        </w:rPr>
        <w:t>0,001). Zwischen den Zeiten bis zum Fortschreiten der Erkrankung in der Gruppe mit 3</w:t>
      </w:r>
      <w:r w:rsidR="00AB26B9" w:rsidRPr="009737B5">
        <w:rPr>
          <w:rFonts w:ascii="Times New Roman" w:hAnsi="Times New Roman" w:cs="Times New Roman"/>
          <w:lang w:val="de-DE"/>
        </w:rPr>
        <w:t> mg</w:t>
      </w:r>
      <w:r w:rsidRPr="009737B5">
        <w:rPr>
          <w:rFonts w:ascii="Times New Roman" w:hAnsi="Times New Roman" w:cs="Times New Roman"/>
          <w:lang w:val="de-DE"/>
        </w:rPr>
        <w:t>/kg Bevacizumab und in der Placebo-Gruppe gab es einen geringfügigen Unterschied von grenzwertiger Signifikanz (Hazard Ratio</w:t>
      </w:r>
      <w:r w:rsidR="009B6D2A">
        <w:rPr>
          <w:rFonts w:ascii="Times New Roman" w:hAnsi="Times New Roman" w:cs="Times New Roman"/>
          <w:lang w:val="de-DE"/>
        </w:rPr>
        <w:t> </w:t>
      </w:r>
      <w:r w:rsidRPr="009737B5">
        <w:rPr>
          <w:rFonts w:ascii="Times New Roman" w:hAnsi="Times New Roman" w:cs="Times New Roman"/>
          <w:lang w:val="de-DE"/>
        </w:rPr>
        <w:t>=</w:t>
      </w:r>
      <w:r w:rsidR="009B6D2A">
        <w:rPr>
          <w:rFonts w:ascii="Times New Roman" w:hAnsi="Times New Roman" w:cs="Times New Roman"/>
          <w:lang w:val="de-DE"/>
        </w:rPr>
        <w:t> </w:t>
      </w:r>
      <w:r w:rsidRPr="009737B5">
        <w:rPr>
          <w:rFonts w:ascii="Times New Roman" w:hAnsi="Times New Roman" w:cs="Times New Roman"/>
          <w:lang w:val="de-DE"/>
        </w:rPr>
        <w:t>1,26; p</w:t>
      </w:r>
      <w:r w:rsidR="009B6D2A">
        <w:rPr>
          <w:rFonts w:ascii="Times New Roman" w:hAnsi="Times New Roman" w:cs="Times New Roman"/>
          <w:lang w:val="de-DE"/>
        </w:rPr>
        <w:t> </w:t>
      </w:r>
      <w:r w:rsidRPr="009737B5">
        <w:rPr>
          <w:rFonts w:ascii="Times New Roman" w:hAnsi="Times New Roman" w:cs="Times New Roman"/>
          <w:lang w:val="de-DE"/>
        </w:rPr>
        <w:t>=</w:t>
      </w:r>
      <w:r w:rsidR="009B6D2A">
        <w:rPr>
          <w:rFonts w:ascii="Times New Roman" w:hAnsi="Times New Roman" w:cs="Times New Roman"/>
          <w:lang w:val="de-DE"/>
        </w:rPr>
        <w:t> </w:t>
      </w:r>
      <w:r w:rsidRPr="009737B5">
        <w:rPr>
          <w:rFonts w:ascii="Times New Roman" w:hAnsi="Times New Roman" w:cs="Times New Roman"/>
          <w:lang w:val="de-DE"/>
        </w:rPr>
        <w:t>0,053). Vier Patienten, von denen alle die 10</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/kg Bevacizumab-Dosis erhalten hatten, zeigten ein objektives (partielles) Ansprechen. Die </w:t>
      </w:r>
      <w:r w:rsidR="00793F7C">
        <w:rPr>
          <w:rFonts w:ascii="Times New Roman" w:hAnsi="Times New Roman" w:cs="Times New Roman"/>
          <w:lang w:val="de-DE"/>
        </w:rPr>
        <w:t>objektive A</w:t>
      </w:r>
      <w:r w:rsidR="00793F7C" w:rsidRPr="009737B5">
        <w:rPr>
          <w:rFonts w:ascii="Times New Roman" w:hAnsi="Times New Roman" w:cs="Times New Roman"/>
          <w:lang w:val="de-DE"/>
        </w:rPr>
        <w:t>nsprechrate</w:t>
      </w:r>
      <w:r w:rsidR="00793F7C">
        <w:rPr>
          <w:rFonts w:ascii="Times New Roman" w:hAnsi="Times New Roman" w:cs="Times New Roman"/>
          <w:lang w:val="de-DE"/>
        </w:rPr>
        <w:t xml:space="preserve"> </w:t>
      </w:r>
      <w:r w:rsidR="00507FF9">
        <w:rPr>
          <w:rFonts w:ascii="Times New Roman" w:hAnsi="Times New Roman" w:cs="Times New Roman"/>
          <w:lang w:val="de-DE"/>
        </w:rPr>
        <w:t>(</w:t>
      </w:r>
      <w:r w:rsidR="00507FF9" w:rsidRPr="00707280">
        <w:rPr>
          <w:rFonts w:ascii="Times New Roman" w:hAnsi="Times New Roman" w:cs="Times New Roman"/>
          <w:i/>
          <w:iCs/>
          <w:lang w:val="de-DE"/>
        </w:rPr>
        <w:t>o</w:t>
      </w:r>
      <w:r w:rsidR="005D13CD">
        <w:rPr>
          <w:rFonts w:ascii="Times New Roman" w:hAnsi="Times New Roman" w:cs="Times New Roman"/>
          <w:i/>
          <w:iCs/>
          <w:lang w:val="de-DE"/>
        </w:rPr>
        <w:t>bjective</w:t>
      </w:r>
      <w:r w:rsidR="00507FF9" w:rsidRPr="00707280">
        <w:rPr>
          <w:rFonts w:ascii="Times New Roman" w:hAnsi="Times New Roman" w:cs="Times New Roman"/>
          <w:i/>
          <w:iCs/>
          <w:lang w:val="de-DE"/>
        </w:rPr>
        <w:t xml:space="preserve"> response rate</w:t>
      </w:r>
      <w:r w:rsidR="00507FF9">
        <w:rPr>
          <w:rFonts w:ascii="Times New Roman" w:hAnsi="Times New Roman" w:cs="Times New Roman"/>
          <w:lang w:val="de-DE"/>
        </w:rPr>
        <w:t>, ORR)</w:t>
      </w:r>
      <w:r w:rsidRPr="009737B5">
        <w:rPr>
          <w:rFonts w:ascii="Times New Roman" w:hAnsi="Times New Roman" w:cs="Times New Roman"/>
          <w:lang w:val="de-DE"/>
        </w:rPr>
        <w:t xml:space="preserve"> nach Gabe der 10</w:t>
      </w:r>
      <w:r w:rsidR="001B3701" w:rsidRPr="009737B5">
        <w:rPr>
          <w:rFonts w:ascii="Times New Roman" w:hAnsi="Times New Roman" w:cs="Times New Roman"/>
          <w:lang w:val="de-DE"/>
        </w:rPr>
        <w:t> </w:t>
      </w:r>
      <w:r w:rsidRPr="009737B5">
        <w:rPr>
          <w:rFonts w:ascii="Times New Roman" w:hAnsi="Times New Roman" w:cs="Times New Roman"/>
          <w:lang w:val="de-DE"/>
        </w:rPr>
        <w:t>mg/kg-Dosis betrug 10</w:t>
      </w:r>
      <w:r w:rsidR="00322E40" w:rsidRPr="009737B5">
        <w:rPr>
          <w:rFonts w:ascii="Times New Roman" w:hAnsi="Times New Roman" w:cs="Times New Roman"/>
          <w:lang w:val="de-DE"/>
        </w:rPr>
        <w:t> %</w:t>
      </w:r>
      <w:r w:rsidRPr="009737B5">
        <w:rPr>
          <w:rFonts w:ascii="Times New Roman" w:hAnsi="Times New Roman" w:cs="Times New Roman"/>
          <w:lang w:val="de-DE"/>
        </w:rPr>
        <w:t>.</w:t>
      </w:r>
    </w:p>
    <w:p w14:paraId="645A94D6" w14:textId="77777777" w:rsidR="00010E8C" w:rsidRPr="009737B5" w:rsidRDefault="00010E8C" w:rsidP="005F4D08">
      <w:pPr>
        <w:suppressAutoHyphens/>
        <w:spacing w:after="0" w:line="240" w:lineRule="auto"/>
        <w:rPr>
          <w:rFonts w:ascii="Times New Roman" w:hAnsi="Times New Roman" w:cs="Times New Roman"/>
          <w:lang w:val="de-DE"/>
        </w:rPr>
      </w:pPr>
    </w:p>
    <w:p w14:paraId="020CC3F7" w14:textId="77777777" w:rsidR="00010E8C" w:rsidRPr="009737B5" w:rsidRDefault="00010E8C" w:rsidP="00506C48">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Epitheliales Ovarialkarzinom, Eileiterkarzinom und primäres Peritonealkarzinom</w:t>
      </w:r>
    </w:p>
    <w:p w14:paraId="3EC695A0" w14:textId="77777777" w:rsidR="00010E8C" w:rsidRPr="009737B5" w:rsidRDefault="00010E8C" w:rsidP="00506C48">
      <w:pPr>
        <w:keepNext/>
        <w:suppressAutoHyphens/>
        <w:spacing w:after="0" w:line="240" w:lineRule="auto"/>
        <w:rPr>
          <w:rFonts w:ascii="Times New Roman" w:hAnsi="Times New Roman" w:cs="Times New Roman"/>
          <w:lang w:val="de-DE"/>
        </w:rPr>
      </w:pPr>
    </w:p>
    <w:p w14:paraId="6366EC1F" w14:textId="77777777" w:rsidR="00010E8C" w:rsidRPr="009737B5" w:rsidRDefault="00010E8C" w:rsidP="00506C48">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Primärbehandlung des Ovarialkarzinoms</w:t>
      </w:r>
    </w:p>
    <w:p w14:paraId="7E7D5FAA" w14:textId="77777777" w:rsidR="00010E8C" w:rsidRPr="009737B5" w:rsidRDefault="00010E8C" w:rsidP="00506C48">
      <w:pPr>
        <w:keepNext/>
        <w:suppressAutoHyphens/>
        <w:spacing w:after="0" w:line="240" w:lineRule="auto"/>
        <w:rPr>
          <w:rFonts w:ascii="Times New Roman" w:hAnsi="Times New Roman" w:cs="Times New Roman"/>
          <w:lang w:val="de-DE"/>
        </w:rPr>
      </w:pPr>
    </w:p>
    <w:p w14:paraId="2ACBE702" w14:textId="7E7A3BC1"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Sicherheit und Wirksamkeit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in der Primärbehandlung von Patienten mit epithelialem</w:t>
      </w:r>
      <w:r w:rsidR="00491714" w:rsidRPr="009737B5">
        <w:rPr>
          <w:rFonts w:ascii="Times New Roman" w:hAnsi="Times New Roman" w:cs="Times New Roman"/>
          <w:lang w:val="de-DE"/>
        </w:rPr>
        <w:t xml:space="preserve"> </w:t>
      </w:r>
      <w:r w:rsidRPr="009737B5">
        <w:rPr>
          <w:rFonts w:ascii="Times New Roman" w:hAnsi="Times New Roman" w:cs="Times New Roman"/>
          <w:lang w:val="de-DE"/>
        </w:rPr>
        <w:t>Ovarialkarzinom, Eileiterkarzinom oder primärem Peritonealkarzinom wurde</w:t>
      </w:r>
      <w:r w:rsidR="0093210E" w:rsidRPr="009737B5">
        <w:rPr>
          <w:rFonts w:ascii="Times New Roman" w:hAnsi="Times New Roman" w:cs="Times New Roman"/>
          <w:lang w:val="de-DE"/>
        </w:rPr>
        <w:t>n</w:t>
      </w:r>
      <w:r w:rsidRPr="009737B5">
        <w:rPr>
          <w:rFonts w:ascii="Times New Roman" w:hAnsi="Times New Roman" w:cs="Times New Roman"/>
          <w:lang w:val="de-DE"/>
        </w:rPr>
        <w:t xml:space="preserve"> in zwei klinischen Studien der Phase</w:t>
      </w:r>
      <w:r w:rsidR="009B6D2A">
        <w:rPr>
          <w:rFonts w:ascii="Times New Roman" w:hAnsi="Times New Roman" w:cs="Times New Roman"/>
          <w:lang w:val="de-DE"/>
        </w:rPr>
        <w:t> </w:t>
      </w:r>
      <w:r w:rsidRPr="009737B5">
        <w:rPr>
          <w:rFonts w:ascii="Times New Roman" w:hAnsi="Times New Roman" w:cs="Times New Roman"/>
          <w:lang w:val="de-DE"/>
        </w:rPr>
        <w:t xml:space="preserve">III untersucht (GOG-0218 und BO17707). In beiden Studien wurde die Wirkung der Zugabe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zu Carboplatin und Paclitaxel mit dem alleinigen Chemotherapie-Schema verglichen.</w:t>
      </w:r>
    </w:p>
    <w:p w14:paraId="6B6A0114" w14:textId="77777777" w:rsidR="00010E8C" w:rsidRPr="009737B5" w:rsidRDefault="00010E8C" w:rsidP="005F4D08">
      <w:pPr>
        <w:suppressAutoHyphens/>
        <w:spacing w:after="0" w:line="240" w:lineRule="auto"/>
        <w:rPr>
          <w:rFonts w:ascii="Times New Roman" w:hAnsi="Times New Roman" w:cs="Times New Roman"/>
          <w:lang w:val="de-DE"/>
        </w:rPr>
      </w:pPr>
    </w:p>
    <w:p w14:paraId="5CB855CC" w14:textId="77777777" w:rsidR="00010E8C" w:rsidRPr="009737B5" w:rsidRDefault="00010E8C" w:rsidP="00506C48">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GOG-0218</w:t>
      </w:r>
    </w:p>
    <w:p w14:paraId="26C064ED" w14:textId="325356F9"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der GOG-0218</w:t>
      </w:r>
      <w:r w:rsidR="001B3701" w:rsidRPr="009737B5">
        <w:rPr>
          <w:rFonts w:ascii="Times New Roman" w:hAnsi="Times New Roman" w:cs="Times New Roman"/>
          <w:lang w:val="de-DE"/>
        </w:rPr>
        <w:t>-</w:t>
      </w:r>
      <w:r w:rsidRPr="009737B5">
        <w:rPr>
          <w:rFonts w:ascii="Times New Roman" w:hAnsi="Times New Roman" w:cs="Times New Roman"/>
          <w:lang w:val="de-DE"/>
        </w:rPr>
        <w:t>Studie handelte es sich um eine multizentrische, randomisierte, doppelblinde, placebokontrollierte, dreiarmige Studie der Phase</w:t>
      </w:r>
      <w:r w:rsidR="009B6D2A">
        <w:rPr>
          <w:rFonts w:ascii="Times New Roman" w:hAnsi="Times New Roman" w:cs="Times New Roman"/>
          <w:lang w:val="de-DE"/>
        </w:rPr>
        <w:t> </w:t>
      </w:r>
      <w:r w:rsidRPr="009737B5">
        <w:rPr>
          <w:rFonts w:ascii="Times New Roman" w:hAnsi="Times New Roman" w:cs="Times New Roman"/>
          <w:lang w:val="de-DE"/>
        </w:rPr>
        <w:t xml:space="preserve">III zur Untersuchung der Wirkung der Zugabe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zu einem zugelassenen Chemotherapie-Schema (Carboplatin und Paclitaxel) bei Patienten mit fortgeschrittenem epithelialem Ovarialkarzinom, Eileiterkarzinom oder primärem Peritonealkarzinom (Stadien IIIB, IIIC und IV gemäß der FIGO-Klassifikation von 1988).</w:t>
      </w:r>
    </w:p>
    <w:p w14:paraId="3DECAE91" w14:textId="77777777" w:rsidR="00010E8C" w:rsidRPr="009737B5" w:rsidRDefault="00010E8C" w:rsidP="005F4D08">
      <w:pPr>
        <w:suppressAutoHyphens/>
        <w:spacing w:after="0" w:line="240" w:lineRule="auto"/>
        <w:rPr>
          <w:rFonts w:ascii="Times New Roman" w:hAnsi="Times New Roman" w:cs="Times New Roman"/>
          <w:lang w:val="de-DE"/>
        </w:rPr>
      </w:pPr>
    </w:p>
    <w:p w14:paraId="3BF1BBAE" w14:textId="423C4BAC"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Patienten, die zuvor bereits eine Bevacizumab-Therapie oder eine systemische Ovarialkarzinom-Behandlung (z.</w:t>
      </w:r>
      <w:r w:rsidR="00905FDC">
        <w:rPr>
          <w:rFonts w:ascii="Times New Roman" w:hAnsi="Times New Roman" w:cs="Times New Roman"/>
          <w:lang w:val="de-DE"/>
        </w:rPr>
        <w:t> </w:t>
      </w:r>
      <w:r w:rsidRPr="009737B5">
        <w:rPr>
          <w:rFonts w:ascii="Times New Roman" w:hAnsi="Times New Roman" w:cs="Times New Roman"/>
          <w:lang w:val="de-DE"/>
        </w:rPr>
        <w:t>B. Chemotherapie, monoklonale Antikörper-Therapie, Tyrosinkinaseinhibitor</w:t>
      </w:r>
      <w:r w:rsidR="00D87A14" w:rsidRPr="009737B5">
        <w:rPr>
          <w:rFonts w:ascii="Times New Roman" w:hAnsi="Times New Roman" w:cs="Times New Roman"/>
          <w:lang w:val="de-DE"/>
        </w:rPr>
        <w:t>-</w:t>
      </w:r>
      <w:r w:rsidRPr="009737B5">
        <w:rPr>
          <w:rFonts w:ascii="Times New Roman" w:hAnsi="Times New Roman" w:cs="Times New Roman"/>
          <w:lang w:val="de-DE"/>
        </w:rPr>
        <w:t>Therapie oder Hormontherapie) oder eine Strahlentherapie des Abdomens oder des Beckens erhalten hatten, wurden von der Studienteilnahme ausgeschlossen.</w:t>
      </w:r>
    </w:p>
    <w:p w14:paraId="43B9D53B" w14:textId="77777777" w:rsidR="00010E8C" w:rsidRPr="009737B5" w:rsidRDefault="00010E8C" w:rsidP="005F4D08">
      <w:pPr>
        <w:suppressAutoHyphens/>
        <w:spacing w:after="0" w:line="240" w:lineRule="auto"/>
        <w:rPr>
          <w:rFonts w:ascii="Times New Roman" w:hAnsi="Times New Roman" w:cs="Times New Roman"/>
          <w:lang w:val="de-DE"/>
        </w:rPr>
      </w:pPr>
    </w:p>
    <w:p w14:paraId="4B361C2A" w14:textId="709181F8" w:rsidR="00010E8C" w:rsidRPr="009737B5" w:rsidRDefault="00010E8C" w:rsidP="00506C48">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lastRenderedPageBreak/>
        <w:t>Insgesamt wurden 1</w:t>
      </w:r>
      <w:r w:rsidR="00CA2B95">
        <w:rPr>
          <w:rFonts w:ascii="Times New Roman" w:hAnsi="Times New Roman" w:cs="Times New Roman"/>
          <w:lang w:val="de-DE"/>
        </w:rPr>
        <w:t> </w:t>
      </w:r>
      <w:r w:rsidRPr="009737B5">
        <w:rPr>
          <w:rFonts w:ascii="Times New Roman" w:hAnsi="Times New Roman" w:cs="Times New Roman"/>
          <w:lang w:val="de-DE"/>
        </w:rPr>
        <w:t>873</w:t>
      </w:r>
      <w:r w:rsidR="009B6D2A">
        <w:rPr>
          <w:rFonts w:ascii="Times New Roman" w:hAnsi="Times New Roman" w:cs="Times New Roman"/>
          <w:lang w:val="de-DE"/>
        </w:rPr>
        <w:t> </w:t>
      </w:r>
      <w:r w:rsidRPr="009737B5">
        <w:rPr>
          <w:rFonts w:ascii="Times New Roman" w:hAnsi="Times New Roman" w:cs="Times New Roman"/>
          <w:lang w:val="de-DE"/>
        </w:rPr>
        <w:t>Patienten im gleichen Verhältnis einem der drei folgenden Studienarme randomisiert zugeteilt:</w:t>
      </w:r>
    </w:p>
    <w:p w14:paraId="75E34807" w14:textId="77777777" w:rsidR="00010E8C" w:rsidRPr="009737B5" w:rsidRDefault="00010E8C" w:rsidP="00506C48">
      <w:pPr>
        <w:keepNext/>
        <w:suppressAutoHyphens/>
        <w:spacing w:after="0" w:line="240" w:lineRule="auto"/>
        <w:rPr>
          <w:rFonts w:ascii="Times New Roman" w:hAnsi="Times New Roman" w:cs="Times New Roman"/>
          <w:lang w:val="de-DE"/>
        </w:rPr>
      </w:pPr>
    </w:p>
    <w:p w14:paraId="2B4F2D67" w14:textId="32F07D2E" w:rsidR="00010E8C" w:rsidRPr="009737B5" w:rsidRDefault="00010E8C" w:rsidP="00506C48">
      <w:pPr>
        <w:keepNext/>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CPP-Arm: 5</w:t>
      </w:r>
      <w:r w:rsidR="009B6D2A">
        <w:rPr>
          <w:rFonts w:ascii="Times New Roman" w:hAnsi="Times New Roman" w:cs="Times New Roman"/>
          <w:lang w:val="de-DE"/>
        </w:rPr>
        <w:t> </w:t>
      </w:r>
      <w:r w:rsidRPr="009737B5">
        <w:rPr>
          <w:rFonts w:ascii="Times New Roman" w:hAnsi="Times New Roman" w:cs="Times New Roman"/>
          <w:lang w:val="de-DE"/>
        </w:rPr>
        <w:t>Zyklen Placebo (im 2.</w:t>
      </w:r>
      <w:r w:rsidR="009B6D2A">
        <w:rPr>
          <w:rFonts w:ascii="Times New Roman" w:hAnsi="Times New Roman" w:cs="Times New Roman"/>
          <w:lang w:val="de-DE"/>
        </w:rPr>
        <w:t> </w:t>
      </w:r>
      <w:r w:rsidRPr="009737B5">
        <w:rPr>
          <w:rFonts w:ascii="Times New Roman" w:hAnsi="Times New Roman" w:cs="Times New Roman"/>
          <w:lang w:val="de-DE"/>
        </w:rPr>
        <w:t>Zyklus begonnen) in Kombination mit Carboplatin (AUC</w:t>
      </w:r>
      <w:r w:rsidR="009B6D2A">
        <w:rPr>
          <w:rFonts w:ascii="Times New Roman" w:hAnsi="Times New Roman" w:cs="Times New Roman"/>
          <w:lang w:val="de-DE"/>
        </w:rPr>
        <w:t> </w:t>
      </w:r>
      <w:r w:rsidRPr="009737B5">
        <w:rPr>
          <w:rFonts w:ascii="Times New Roman" w:hAnsi="Times New Roman" w:cs="Times New Roman"/>
          <w:lang w:val="de-DE"/>
        </w:rPr>
        <w:t>6) und Paclitaxel (175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über sechs Zyklen, gefolgt von Placebo allein, über eine Behandlungsdauer von insgesamt bis zu 15</w:t>
      </w:r>
      <w:r w:rsidR="009B6D2A">
        <w:rPr>
          <w:rFonts w:ascii="Times New Roman" w:hAnsi="Times New Roman" w:cs="Times New Roman"/>
          <w:lang w:val="de-DE"/>
        </w:rPr>
        <w:t> </w:t>
      </w:r>
      <w:r w:rsidRPr="009737B5">
        <w:rPr>
          <w:rFonts w:ascii="Times New Roman" w:hAnsi="Times New Roman" w:cs="Times New Roman"/>
          <w:lang w:val="de-DE"/>
        </w:rPr>
        <w:t>Monaten.</w:t>
      </w:r>
    </w:p>
    <w:p w14:paraId="178DA1CF" w14:textId="0BC06BC1" w:rsidR="00010E8C" w:rsidRPr="009737B5" w:rsidRDefault="00010E8C" w:rsidP="00506C48">
      <w:pPr>
        <w:keepNext/>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 xml:space="preserve">CPB15-Arm: Fünf Zyklen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(15</w:t>
      </w:r>
      <w:r w:rsidR="00AB26B9" w:rsidRPr="009737B5">
        <w:rPr>
          <w:rFonts w:ascii="Times New Roman" w:hAnsi="Times New Roman" w:cs="Times New Roman"/>
          <w:lang w:val="de-DE"/>
        </w:rPr>
        <w:t> mg</w:t>
      </w:r>
      <w:r w:rsidRPr="009737B5">
        <w:rPr>
          <w:rFonts w:ascii="Times New Roman" w:hAnsi="Times New Roman" w:cs="Times New Roman"/>
          <w:lang w:val="de-DE"/>
        </w:rPr>
        <w:t>/kg einmal alle drei Wochen, im 2.</w:t>
      </w:r>
      <w:r w:rsidR="009B6D2A">
        <w:rPr>
          <w:rFonts w:ascii="Times New Roman" w:hAnsi="Times New Roman" w:cs="Times New Roman"/>
          <w:lang w:val="de-DE"/>
        </w:rPr>
        <w:t> </w:t>
      </w:r>
      <w:r w:rsidRPr="009737B5">
        <w:rPr>
          <w:rFonts w:ascii="Times New Roman" w:hAnsi="Times New Roman" w:cs="Times New Roman"/>
          <w:lang w:val="de-DE"/>
        </w:rPr>
        <w:t>Zyklus begonnen) in Kombination mit Carboplatin (AUC</w:t>
      </w:r>
      <w:r w:rsidR="009B6D2A">
        <w:rPr>
          <w:rFonts w:ascii="Times New Roman" w:hAnsi="Times New Roman" w:cs="Times New Roman"/>
          <w:lang w:val="de-DE"/>
        </w:rPr>
        <w:t> </w:t>
      </w:r>
      <w:r w:rsidRPr="009737B5">
        <w:rPr>
          <w:rFonts w:ascii="Times New Roman" w:hAnsi="Times New Roman" w:cs="Times New Roman"/>
          <w:lang w:val="de-DE"/>
        </w:rPr>
        <w:t>6) und Paclitaxel (175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über 6</w:t>
      </w:r>
      <w:r w:rsidR="009B6D2A">
        <w:rPr>
          <w:rFonts w:ascii="Times New Roman" w:hAnsi="Times New Roman" w:cs="Times New Roman"/>
          <w:lang w:val="de-DE"/>
        </w:rPr>
        <w:t> </w:t>
      </w:r>
      <w:r w:rsidRPr="009737B5">
        <w:rPr>
          <w:rFonts w:ascii="Times New Roman" w:hAnsi="Times New Roman" w:cs="Times New Roman"/>
          <w:lang w:val="de-DE"/>
        </w:rPr>
        <w:t>Zyklen, gefolgt von Placebo allein, über eine Behandlungsdauer von insgesamt bis zu 15</w:t>
      </w:r>
      <w:r w:rsidR="009B6D2A">
        <w:rPr>
          <w:rFonts w:ascii="Times New Roman" w:hAnsi="Times New Roman" w:cs="Times New Roman"/>
          <w:lang w:val="de-DE"/>
        </w:rPr>
        <w:t> </w:t>
      </w:r>
      <w:r w:rsidRPr="009737B5">
        <w:rPr>
          <w:rFonts w:ascii="Times New Roman" w:hAnsi="Times New Roman" w:cs="Times New Roman"/>
          <w:lang w:val="de-DE"/>
        </w:rPr>
        <w:t>Monaten.</w:t>
      </w:r>
    </w:p>
    <w:p w14:paraId="2F85506D" w14:textId="1EA25034" w:rsidR="00010E8C" w:rsidRPr="009737B5" w:rsidRDefault="00010E8C" w:rsidP="00491714">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 xml:space="preserve">CPB15+-Arm: Fünf Zyklen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(15</w:t>
      </w:r>
      <w:r w:rsidR="00AB26B9" w:rsidRPr="009737B5">
        <w:rPr>
          <w:rFonts w:ascii="Times New Roman" w:hAnsi="Times New Roman" w:cs="Times New Roman"/>
          <w:lang w:val="de-DE"/>
        </w:rPr>
        <w:t> mg</w:t>
      </w:r>
      <w:r w:rsidRPr="009737B5">
        <w:rPr>
          <w:rFonts w:ascii="Times New Roman" w:hAnsi="Times New Roman" w:cs="Times New Roman"/>
          <w:lang w:val="de-DE"/>
        </w:rPr>
        <w:t>/kg einmal alle drei Wochen, im 2.</w:t>
      </w:r>
      <w:r w:rsidR="009B6D2A">
        <w:rPr>
          <w:rFonts w:ascii="Times New Roman" w:hAnsi="Times New Roman" w:cs="Times New Roman"/>
          <w:lang w:val="de-DE"/>
        </w:rPr>
        <w:t> </w:t>
      </w:r>
      <w:r w:rsidRPr="009737B5">
        <w:rPr>
          <w:rFonts w:ascii="Times New Roman" w:hAnsi="Times New Roman" w:cs="Times New Roman"/>
          <w:lang w:val="de-DE"/>
        </w:rPr>
        <w:t>Zyklus begonnen) in Kombination mit Carboplatin (AUC</w:t>
      </w:r>
      <w:r w:rsidR="009B6D2A">
        <w:rPr>
          <w:rFonts w:ascii="Times New Roman" w:hAnsi="Times New Roman" w:cs="Times New Roman"/>
          <w:lang w:val="de-DE"/>
        </w:rPr>
        <w:t> </w:t>
      </w:r>
      <w:r w:rsidRPr="009737B5">
        <w:rPr>
          <w:rFonts w:ascii="Times New Roman" w:hAnsi="Times New Roman" w:cs="Times New Roman"/>
          <w:lang w:val="de-DE"/>
        </w:rPr>
        <w:t>6) und Paclitaxel (175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über 6</w:t>
      </w:r>
      <w:r w:rsidR="009B6D2A">
        <w:rPr>
          <w:rFonts w:ascii="Times New Roman" w:hAnsi="Times New Roman" w:cs="Times New Roman"/>
          <w:lang w:val="de-DE"/>
        </w:rPr>
        <w:t> </w:t>
      </w:r>
      <w:r w:rsidRPr="009737B5">
        <w:rPr>
          <w:rFonts w:ascii="Times New Roman" w:hAnsi="Times New Roman" w:cs="Times New Roman"/>
          <w:lang w:val="de-DE"/>
        </w:rPr>
        <w:t xml:space="preserve">Zyklen, gefolgt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(15</w:t>
      </w:r>
      <w:r w:rsidR="00AB26B9" w:rsidRPr="009737B5">
        <w:rPr>
          <w:rFonts w:ascii="Times New Roman" w:hAnsi="Times New Roman" w:cs="Times New Roman"/>
          <w:lang w:val="de-DE"/>
        </w:rPr>
        <w:t> mg</w:t>
      </w:r>
      <w:r w:rsidRPr="009737B5">
        <w:rPr>
          <w:rFonts w:ascii="Times New Roman" w:hAnsi="Times New Roman" w:cs="Times New Roman"/>
          <w:lang w:val="de-DE"/>
        </w:rPr>
        <w:t>/kg einmal alle drei Wochen) als Monotherapie, über eine Behandlungsdauer von insgesamt bis zu 15</w:t>
      </w:r>
      <w:r w:rsidR="009B6D2A">
        <w:rPr>
          <w:rFonts w:ascii="Times New Roman" w:hAnsi="Times New Roman" w:cs="Times New Roman"/>
          <w:lang w:val="de-DE"/>
        </w:rPr>
        <w:t> </w:t>
      </w:r>
      <w:r w:rsidRPr="009737B5">
        <w:rPr>
          <w:rFonts w:ascii="Times New Roman" w:hAnsi="Times New Roman" w:cs="Times New Roman"/>
          <w:lang w:val="de-DE"/>
        </w:rPr>
        <w:t>Monaten.</w:t>
      </w:r>
    </w:p>
    <w:p w14:paraId="286B315A" w14:textId="77777777" w:rsidR="00010E8C" w:rsidRPr="009737B5" w:rsidRDefault="00010E8C" w:rsidP="005F4D08">
      <w:pPr>
        <w:suppressAutoHyphens/>
        <w:spacing w:after="0" w:line="240" w:lineRule="auto"/>
        <w:rPr>
          <w:rFonts w:ascii="Times New Roman" w:hAnsi="Times New Roman" w:cs="Times New Roman"/>
          <w:lang w:val="de-DE"/>
        </w:rPr>
      </w:pPr>
    </w:p>
    <w:p w14:paraId="335115AC" w14:textId="1F7F5169"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Mehrzahl der in die Studie eingeschlossenen Patienten waren Weiße (87</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allen drei Armen); das Alter betrug im Median 60</w:t>
      </w:r>
      <w:r w:rsidR="0091668D" w:rsidRPr="009737B5">
        <w:rPr>
          <w:rFonts w:ascii="Times New Roman" w:hAnsi="Times New Roman" w:cs="Times New Roman"/>
          <w:lang w:val="de-DE"/>
        </w:rPr>
        <w:t> </w:t>
      </w:r>
      <w:r w:rsidRPr="009737B5">
        <w:rPr>
          <w:rFonts w:ascii="Times New Roman" w:hAnsi="Times New Roman" w:cs="Times New Roman"/>
          <w:lang w:val="de-DE"/>
        </w:rPr>
        <w:t>Jahre im CPP- und CPB15-Arm sowie 59</w:t>
      </w:r>
      <w:r w:rsidR="0091668D" w:rsidRPr="009737B5">
        <w:rPr>
          <w:rFonts w:ascii="Times New Roman" w:hAnsi="Times New Roman" w:cs="Times New Roman"/>
          <w:lang w:val="de-DE"/>
        </w:rPr>
        <w:t> </w:t>
      </w:r>
      <w:r w:rsidRPr="009737B5">
        <w:rPr>
          <w:rFonts w:ascii="Times New Roman" w:hAnsi="Times New Roman" w:cs="Times New Roman"/>
          <w:lang w:val="de-DE"/>
        </w:rPr>
        <w:t>Jahre im CPB15+-Arm; 29</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im CPP- bzw. CPB15-Arm und 26</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CPB15+-Arm waren älter als 65</w:t>
      </w:r>
      <w:r w:rsidR="0091668D" w:rsidRPr="009737B5">
        <w:rPr>
          <w:rFonts w:ascii="Times New Roman" w:hAnsi="Times New Roman" w:cs="Times New Roman"/>
          <w:lang w:val="de-DE"/>
        </w:rPr>
        <w:t> </w:t>
      </w:r>
      <w:r w:rsidRPr="009737B5">
        <w:rPr>
          <w:rFonts w:ascii="Times New Roman" w:hAnsi="Times New Roman" w:cs="Times New Roman"/>
          <w:lang w:val="de-DE"/>
        </w:rPr>
        <w:t>Jahre. Insgesamt hatten ca. 50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vor Behandlungsbeginn einen GOG</w:t>
      </w:r>
      <w:r w:rsidR="001B3701" w:rsidRPr="009737B5">
        <w:rPr>
          <w:rFonts w:ascii="Times New Roman" w:hAnsi="Times New Roman" w:cs="Times New Roman"/>
          <w:lang w:val="de-DE"/>
        </w:rPr>
        <w:t>-</w:t>
      </w:r>
      <w:r w:rsidRPr="009737B5">
        <w:rPr>
          <w:rFonts w:ascii="Times New Roman" w:hAnsi="Times New Roman" w:cs="Times New Roman"/>
          <w:lang w:val="de-DE"/>
        </w:rPr>
        <w:t>Performance-Status (PS) von 0, 43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einen GOG PS von 1 und 7</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einen GOG</w:t>
      </w:r>
      <w:r w:rsidR="009B6D2A">
        <w:rPr>
          <w:rFonts w:ascii="Times New Roman" w:hAnsi="Times New Roman" w:cs="Times New Roman"/>
          <w:lang w:val="de-DE"/>
        </w:rPr>
        <w:t> </w:t>
      </w:r>
      <w:r w:rsidRPr="009737B5">
        <w:rPr>
          <w:rFonts w:ascii="Times New Roman" w:hAnsi="Times New Roman" w:cs="Times New Roman"/>
          <w:lang w:val="de-DE"/>
        </w:rPr>
        <w:t>PS von 2. Die meisten Patienten hatten ein epitheliales Ovarialkarzinom (82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CPP- und CPB15-Arm, 85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CPB15+-Arm), gefolgt von einem primären Peritonealkarzinom (16</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CPP-, 15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CPB15-, 13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CPB15+-Arm) und einem Eileiterkarzinom (1</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CPP-, 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CPB15-, 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CPB15+-Arm). Die Mehrzahl der Patienten hatte eine seröse Adenokarzinom-Histologie (85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CPP- und CPB15-Arm, 86</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CPB15+-Arm). Insgesamt befanden sich ca. 34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im FIGO-Stadium</w:t>
      </w:r>
      <w:r w:rsidR="009B6D2A">
        <w:rPr>
          <w:rFonts w:ascii="Times New Roman" w:hAnsi="Times New Roman" w:cs="Times New Roman"/>
          <w:lang w:val="de-DE"/>
        </w:rPr>
        <w:t> </w:t>
      </w:r>
      <w:r w:rsidRPr="009737B5">
        <w:rPr>
          <w:rFonts w:ascii="Times New Roman" w:hAnsi="Times New Roman" w:cs="Times New Roman"/>
          <w:lang w:val="de-DE"/>
        </w:rPr>
        <w:t>III, optimal operiert (per Definition mit großem postoperativem Tumorrest), 40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FIGO-Stadium</w:t>
      </w:r>
      <w:r w:rsidR="009B6D2A">
        <w:rPr>
          <w:rFonts w:ascii="Times New Roman" w:hAnsi="Times New Roman" w:cs="Times New Roman"/>
          <w:lang w:val="de-DE"/>
        </w:rPr>
        <w:t> </w:t>
      </w:r>
      <w:r w:rsidRPr="009737B5">
        <w:rPr>
          <w:rFonts w:ascii="Times New Roman" w:hAnsi="Times New Roman" w:cs="Times New Roman"/>
          <w:lang w:val="de-DE"/>
        </w:rPr>
        <w:t>III, suboptimal operiert, und 26</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FIGO-Stadium</w:t>
      </w:r>
      <w:r w:rsidR="009B6D2A">
        <w:rPr>
          <w:rFonts w:ascii="Times New Roman" w:hAnsi="Times New Roman" w:cs="Times New Roman"/>
          <w:lang w:val="de-DE"/>
        </w:rPr>
        <w:t> </w:t>
      </w:r>
      <w:r w:rsidRPr="009737B5">
        <w:rPr>
          <w:rFonts w:ascii="Times New Roman" w:hAnsi="Times New Roman" w:cs="Times New Roman"/>
          <w:lang w:val="de-DE"/>
        </w:rPr>
        <w:t>IV.</w:t>
      </w:r>
    </w:p>
    <w:p w14:paraId="48B9485E" w14:textId="77777777" w:rsidR="00010E8C" w:rsidRPr="009737B5" w:rsidRDefault="00010E8C" w:rsidP="005F4D08">
      <w:pPr>
        <w:suppressAutoHyphens/>
        <w:spacing w:after="0" w:line="240" w:lineRule="auto"/>
        <w:rPr>
          <w:rFonts w:ascii="Times New Roman" w:hAnsi="Times New Roman" w:cs="Times New Roman"/>
          <w:lang w:val="de-DE"/>
        </w:rPr>
      </w:pPr>
    </w:p>
    <w:p w14:paraId="071A12AC"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Der primäre Endpunkt war das progressionsfreie Überleben, basierend auf der Beurteilung radiologischer Aufnahmen oder der CA-125-Spiegel durch den Prüfarzt oder auf symptomatischer Verschlechterung gemäß Protokoll. Zusätzlich wurden eine zuvor festgelegte Datenanalyse, die über einen CA-125-Anstieg definierte Progressionsereignisse zensiert, sowie eine unabhängige Überprüfung des progressionsfreien Überlebens, das anhand radiologischer Aufnahmen bestimmt wurde, durchgeführt.</w:t>
      </w:r>
    </w:p>
    <w:p w14:paraId="0E4AFFC4" w14:textId="77777777" w:rsidR="00010E8C" w:rsidRPr="009737B5" w:rsidRDefault="00010E8C" w:rsidP="005F4D08">
      <w:pPr>
        <w:suppressAutoHyphens/>
        <w:spacing w:after="0" w:line="240" w:lineRule="auto"/>
        <w:rPr>
          <w:rFonts w:ascii="Times New Roman" w:hAnsi="Times New Roman" w:cs="Times New Roman"/>
          <w:lang w:val="de-DE"/>
        </w:rPr>
      </w:pPr>
    </w:p>
    <w:p w14:paraId="6E42CD47" w14:textId="7262F1BF"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Der primäre Endpunkt dieser Studie, die Verbesserung des PFS, wurde erreicht. Verglichen mit Patienten, die in der Primärbehandlung nur Chemotherapie erhielten (Carboplatin und Paclitaxel), kam es bei Patienten, die mit Bevacizumab in einer Dosierung von 15</w:t>
      </w:r>
      <w:r w:rsidR="00AB26B9" w:rsidRPr="009737B5">
        <w:rPr>
          <w:rFonts w:ascii="Times New Roman" w:hAnsi="Times New Roman" w:cs="Times New Roman"/>
          <w:lang w:val="de-DE"/>
        </w:rPr>
        <w:t> mg</w:t>
      </w:r>
      <w:r w:rsidRPr="009737B5">
        <w:rPr>
          <w:rFonts w:ascii="Times New Roman" w:hAnsi="Times New Roman" w:cs="Times New Roman"/>
          <w:lang w:val="de-DE"/>
        </w:rPr>
        <w:t>/kg einmal alle 3</w:t>
      </w:r>
      <w:r w:rsidR="009B6D2A">
        <w:rPr>
          <w:rFonts w:ascii="Times New Roman" w:hAnsi="Times New Roman" w:cs="Times New Roman"/>
          <w:lang w:val="de-DE"/>
        </w:rPr>
        <w:t> </w:t>
      </w:r>
      <w:r w:rsidRPr="009737B5">
        <w:rPr>
          <w:rFonts w:ascii="Times New Roman" w:hAnsi="Times New Roman" w:cs="Times New Roman"/>
          <w:lang w:val="de-DE"/>
        </w:rPr>
        <w:t>Wochen in Kombination mit Chemotherapie und danach als Monotherapie behandelt wurden (CPB15+), zu einer klinisch bedeutsamen und statistisch signifikanten Verbesserung des progressionsfreien Überlebens.</w:t>
      </w:r>
    </w:p>
    <w:p w14:paraId="13CA1D26" w14:textId="77777777" w:rsidR="00010E8C" w:rsidRPr="009737B5" w:rsidRDefault="00010E8C" w:rsidP="005F4D08">
      <w:pPr>
        <w:suppressAutoHyphens/>
        <w:spacing w:after="0" w:line="240" w:lineRule="auto"/>
        <w:rPr>
          <w:rFonts w:ascii="Times New Roman" w:hAnsi="Times New Roman" w:cs="Times New Roman"/>
          <w:lang w:val="de-DE"/>
        </w:rPr>
      </w:pPr>
    </w:p>
    <w:p w14:paraId="4BCCF420"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Patienten, die Bevacizumab nur in Kombination mit Chemotherapie erhielten und die Behandlung dann nicht als Monotherapie fortsetzten (CPB15), wurde keine klinisch bedeutsame Verbesserung des progressionsfreien Überlebens beobachtet.</w:t>
      </w:r>
    </w:p>
    <w:p w14:paraId="10BE47BE" w14:textId="77777777" w:rsidR="00010E8C" w:rsidRPr="009737B5" w:rsidRDefault="00010E8C" w:rsidP="005F4D08">
      <w:pPr>
        <w:suppressAutoHyphens/>
        <w:spacing w:after="0" w:line="240" w:lineRule="auto"/>
        <w:rPr>
          <w:rFonts w:ascii="Times New Roman" w:hAnsi="Times New Roman" w:cs="Times New Roman"/>
          <w:lang w:val="de-DE"/>
        </w:rPr>
      </w:pPr>
    </w:p>
    <w:p w14:paraId="6ED30EE0" w14:textId="076F3892" w:rsidR="00010E8C" w:rsidRPr="009737B5" w:rsidRDefault="00010E8C" w:rsidP="00A16482">
      <w:pPr>
        <w:keepNext/>
        <w:keepLines/>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lastRenderedPageBreak/>
        <w:t>Die Ergebnisse dieser Studie sind in Tabelle</w:t>
      </w:r>
      <w:r w:rsidR="000206F4">
        <w:rPr>
          <w:rFonts w:ascii="Times New Roman" w:hAnsi="Times New Roman" w:cs="Times New Roman"/>
          <w:lang w:val="de-DE"/>
        </w:rPr>
        <w:t> </w:t>
      </w:r>
      <w:r w:rsidR="003E1054">
        <w:rPr>
          <w:rFonts w:ascii="Times New Roman" w:hAnsi="Times New Roman" w:cs="Times New Roman"/>
          <w:lang w:val="de-DE"/>
        </w:rPr>
        <w:t>16</w:t>
      </w:r>
      <w:r w:rsidR="003E1054" w:rsidRPr="009737B5">
        <w:rPr>
          <w:rFonts w:ascii="Times New Roman" w:hAnsi="Times New Roman" w:cs="Times New Roman"/>
          <w:lang w:val="de-DE"/>
        </w:rPr>
        <w:t xml:space="preserve"> </w:t>
      </w:r>
      <w:r w:rsidRPr="009737B5">
        <w:rPr>
          <w:rFonts w:ascii="Times New Roman" w:hAnsi="Times New Roman" w:cs="Times New Roman"/>
          <w:lang w:val="de-DE"/>
        </w:rPr>
        <w:t>zusammengefasst.</w:t>
      </w:r>
    </w:p>
    <w:p w14:paraId="31EE92D3" w14:textId="77777777" w:rsidR="00010E8C" w:rsidRPr="009737B5" w:rsidRDefault="00010E8C" w:rsidP="00A16482">
      <w:pPr>
        <w:keepNext/>
        <w:keepLines/>
        <w:suppressAutoHyphens/>
        <w:spacing w:after="0" w:line="240" w:lineRule="auto"/>
        <w:rPr>
          <w:rFonts w:ascii="Times New Roman" w:hAnsi="Times New Roman" w:cs="Times New Roman"/>
          <w:lang w:val="de-DE"/>
        </w:rPr>
      </w:pPr>
    </w:p>
    <w:p w14:paraId="28836E6A" w14:textId="58E12CF6" w:rsidR="00010E8C" w:rsidRPr="009737B5" w:rsidRDefault="00010E8C" w:rsidP="00A076EB">
      <w:pPr>
        <w:keepNext/>
        <w:keepLines/>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0206F4">
        <w:rPr>
          <w:rFonts w:ascii="Times New Roman" w:hAnsi="Times New Roman" w:cs="Times New Roman"/>
          <w:b/>
          <w:lang w:val="de-DE"/>
        </w:rPr>
        <w:t> </w:t>
      </w:r>
      <w:r w:rsidR="007F77FC">
        <w:rPr>
          <w:rFonts w:ascii="Times New Roman" w:hAnsi="Times New Roman" w:cs="Times New Roman"/>
          <w:b/>
          <w:lang w:val="de-DE"/>
        </w:rPr>
        <w:t>1</w:t>
      </w:r>
      <w:r w:rsidR="003E1054">
        <w:rPr>
          <w:rFonts w:ascii="Times New Roman" w:hAnsi="Times New Roman" w:cs="Times New Roman"/>
          <w:b/>
          <w:lang w:val="de-DE"/>
        </w:rPr>
        <w:t>6</w:t>
      </w:r>
      <w:r w:rsidR="008937CD" w:rsidRPr="009737B5">
        <w:rPr>
          <w:rFonts w:ascii="Times New Roman" w:hAnsi="Times New Roman" w:cs="Times New Roman"/>
          <w:b/>
          <w:lang w:val="de-DE"/>
        </w:rPr>
        <w:t>.</w:t>
      </w:r>
      <w:r w:rsidRPr="009737B5">
        <w:rPr>
          <w:rFonts w:ascii="Times New Roman" w:hAnsi="Times New Roman" w:cs="Times New Roman"/>
          <w:b/>
          <w:lang w:val="de-DE"/>
        </w:rPr>
        <w:t xml:space="preserve"> Wirksamkeitsergebnisse aus der Studie</w:t>
      </w:r>
      <w:r w:rsidR="009B6D2A">
        <w:rPr>
          <w:rFonts w:ascii="Times New Roman" w:hAnsi="Times New Roman" w:cs="Times New Roman"/>
          <w:b/>
          <w:lang w:val="de-DE"/>
        </w:rPr>
        <w:t> </w:t>
      </w:r>
      <w:r w:rsidRPr="009737B5">
        <w:rPr>
          <w:rFonts w:ascii="Times New Roman" w:hAnsi="Times New Roman" w:cs="Times New Roman"/>
          <w:b/>
          <w:lang w:val="de-DE"/>
        </w:rPr>
        <w:t>GOG-0218</w:t>
      </w:r>
    </w:p>
    <w:p w14:paraId="552F901B" w14:textId="77777777" w:rsidR="00010E8C" w:rsidRPr="009737B5" w:rsidRDefault="00010E8C">
      <w:pPr>
        <w:keepNext/>
        <w:keepLines/>
        <w:suppressAutoHyphens/>
        <w:spacing w:after="0" w:line="240" w:lineRule="auto"/>
        <w:rPr>
          <w:rFonts w:ascii="Times New Roman" w:hAnsi="Times New Roman" w:cs="Times New Roman"/>
          <w:lang w:val="de-DE"/>
        </w:rPr>
      </w:pPr>
    </w:p>
    <w:tbl>
      <w:tblPr>
        <w:tblW w:w="88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0" w:type="dxa"/>
          <w:right w:w="115" w:type="dxa"/>
        </w:tblCellMar>
        <w:tblLook w:val="04A0" w:firstRow="1" w:lastRow="0" w:firstColumn="1" w:lastColumn="0" w:noHBand="0" w:noVBand="1"/>
      </w:tblPr>
      <w:tblGrid>
        <w:gridCol w:w="3156"/>
        <w:gridCol w:w="1488"/>
        <w:gridCol w:w="2268"/>
        <w:gridCol w:w="1925"/>
      </w:tblGrid>
      <w:tr w:rsidR="00CD56C4" w:rsidRPr="00402720" w14:paraId="60A741B8" w14:textId="77777777" w:rsidTr="00DC78B0">
        <w:trPr>
          <w:trHeight w:val="20"/>
        </w:trPr>
        <w:tc>
          <w:tcPr>
            <w:tcW w:w="8837" w:type="dxa"/>
            <w:gridSpan w:val="4"/>
          </w:tcPr>
          <w:p w14:paraId="1CB82D1C" w14:textId="77777777" w:rsidR="00CD56C4" w:rsidRPr="00402720" w:rsidRDefault="00CD56C4">
            <w:pPr>
              <w:keepNext/>
              <w:spacing w:after="0" w:line="240" w:lineRule="auto"/>
              <w:rPr>
                <w:rFonts w:ascii="Times New Roman" w:hAnsi="Times New Roman" w:cs="Times New Roman"/>
                <w:lang w:val="de-DE"/>
              </w:rPr>
            </w:pPr>
            <w:r w:rsidRPr="00402720">
              <w:rPr>
                <w:rFonts w:ascii="Times New Roman" w:hAnsi="Times New Roman" w:cs="Times New Roman"/>
                <w:lang w:val="de-DE"/>
              </w:rPr>
              <w:t>Progressionsfreies Überleben</w:t>
            </w:r>
            <w:r w:rsidRPr="00402720">
              <w:rPr>
                <w:rFonts w:ascii="Times New Roman" w:hAnsi="Times New Roman" w:cs="Times New Roman"/>
                <w:vertAlign w:val="superscript"/>
                <w:lang w:val="de-DE"/>
              </w:rPr>
              <w:t>1</w:t>
            </w:r>
          </w:p>
        </w:tc>
      </w:tr>
      <w:tr w:rsidR="00CD56C4" w:rsidRPr="00402720" w14:paraId="1CB1C847" w14:textId="77777777" w:rsidTr="00DC78B0">
        <w:trPr>
          <w:trHeight w:val="20"/>
        </w:trPr>
        <w:tc>
          <w:tcPr>
            <w:tcW w:w="3156" w:type="dxa"/>
          </w:tcPr>
          <w:p w14:paraId="0B9112AD" w14:textId="77777777" w:rsidR="00CD56C4" w:rsidRPr="00402720" w:rsidRDefault="00CD56C4">
            <w:pPr>
              <w:keepNext/>
              <w:keepLines/>
              <w:spacing w:after="0" w:line="240" w:lineRule="auto"/>
              <w:rPr>
                <w:rFonts w:ascii="Times New Roman" w:hAnsi="Times New Roman" w:cs="Times New Roman"/>
                <w:lang w:val="de-DE"/>
              </w:rPr>
            </w:pPr>
          </w:p>
        </w:tc>
        <w:tc>
          <w:tcPr>
            <w:tcW w:w="1488" w:type="dxa"/>
          </w:tcPr>
          <w:p w14:paraId="578640BA" w14:textId="77777777" w:rsidR="00CD56C4" w:rsidRPr="00402720" w:rsidRDefault="00CD56C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CPP</w:t>
            </w:r>
          </w:p>
          <w:p w14:paraId="546DFD28" w14:textId="77777777" w:rsidR="00CD56C4" w:rsidRPr="00402720" w:rsidRDefault="00CD56C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(n = 625)</w:t>
            </w:r>
          </w:p>
        </w:tc>
        <w:tc>
          <w:tcPr>
            <w:tcW w:w="2268" w:type="dxa"/>
          </w:tcPr>
          <w:p w14:paraId="1A95BC5A" w14:textId="77777777" w:rsidR="00CD56C4" w:rsidRPr="00402720" w:rsidRDefault="00CD56C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CPB15</w:t>
            </w:r>
          </w:p>
          <w:p w14:paraId="7D6793D8" w14:textId="77777777" w:rsidR="00CD56C4" w:rsidRPr="00402720" w:rsidRDefault="00CD56C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(n = 625)</w:t>
            </w:r>
          </w:p>
        </w:tc>
        <w:tc>
          <w:tcPr>
            <w:tcW w:w="1925" w:type="dxa"/>
          </w:tcPr>
          <w:p w14:paraId="099FCCCB" w14:textId="77777777" w:rsidR="00CD56C4" w:rsidRPr="00402720" w:rsidRDefault="00CD56C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CPB15+</w:t>
            </w:r>
          </w:p>
          <w:p w14:paraId="52803D05" w14:textId="77777777" w:rsidR="00CD56C4" w:rsidRPr="00402720" w:rsidRDefault="00CD56C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(n = 623)</w:t>
            </w:r>
          </w:p>
        </w:tc>
      </w:tr>
      <w:tr w:rsidR="00CD56C4" w:rsidRPr="00402720" w14:paraId="25090464" w14:textId="77777777" w:rsidTr="00DC78B0">
        <w:trPr>
          <w:trHeight w:val="20"/>
        </w:trPr>
        <w:tc>
          <w:tcPr>
            <w:tcW w:w="3156" w:type="dxa"/>
          </w:tcPr>
          <w:p w14:paraId="6B5D0F00" w14:textId="77777777" w:rsidR="00CD56C4" w:rsidRPr="00402720" w:rsidRDefault="00CD56C4">
            <w:pPr>
              <w:keepNext/>
              <w:keepLines/>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PFS (Monate)</w:t>
            </w:r>
          </w:p>
        </w:tc>
        <w:tc>
          <w:tcPr>
            <w:tcW w:w="1488" w:type="dxa"/>
          </w:tcPr>
          <w:p w14:paraId="6C157094" w14:textId="77777777" w:rsidR="00CD56C4" w:rsidRPr="00402720" w:rsidRDefault="00CD56C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10,6</w:t>
            </w:r>
          </w:p>
        </w:tc>
        <w:tc>
          <w:tcPr>
            <w:tcW w:w="2268" w:type="dxa"/>
          </w:tcPr>
          <w:p w14:paraId="0D8CC818" w14:textId="77777777" w:rsidR="00CD56C4" w:rsidRPr="00402720" w:rsidRDefault="00CD56C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11,6</w:t>
            </w:r>
          </w:p>
        </w:tc>
        <w:tc>
          <w:tcPr>
            <w:tcW w:w="1925" w:type="dxa"/>
          </w:tcPr>
          <w:p w14:paraId="6CE4EA9A" w14:textId="77777777" w:rsidR="00CD56C4" w:rsidRPr="00402720" w:rsidRDefault="00CD56C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14,7</w:t>
            </w:r>
          </w:p>
        </w:tc>
      </w:tr>
      <w:tr w:rsidR="00CD56C4" w:rsidRPr="00402720" w14:paraId="54E2EE45" w14:textId="77777777" w:rsidTr="00DC78B0">
        <w:trPr>
          <w:trHeight w:val="20"/>
        </w:trPr>
        <w:tc>
          <w:tcPr>
            <w:tcW w:w="3156" w:type="dxa"/>
          </w:tcPr>
          <w:p w14:paraId="65FA4046" w14:textId="3B951BE3" w:rsidR="00CD56C4" w:rsidRPr="00402720" w:rsidRDefault="00CD56C4">
            <w:pPr>
              <w:keepNext/>
              <w:keepLines/>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KI)</w:t>
            </w:r>
            <w:r w:rsidRPr="00402720">
              <w:rPr>
                <w:rFonts w:ascii="Times New Roman" w:hAnsi="Times New Roman" w:cs="Times New Roman"/>
                <w:vertAlign w:val="superscript"/>
                <w:lang w:val="de-DE"/>
              </w:rPr>
              <w:t>2</w:t>
            </w:r>
          </w:p>
        </w:tc>
        <w:tc>
          <w:tcPr>
            <w:tcW w:w="1488" w:type="dxa"/>
          </w:tcPr>
          <w:p w14:paraId="4C80B65D" w14:textId="77777777" w:rsidR="00CD56C4" w:rsidRPr="00402720" w:rsidRDefault="00CD56C4">
            <w:pPr>
              <w:keepNext/>
              <w:keepLines/>
              <w:spacing w:after="0" w:line="240" w:lineRule="auto"/>
              <w:jc w:val="center"/>
              <w:rPr>
                <w:rFonts w:ascii="Times New Roman" w:hAnsi="Times New Roman" w:cs="Times New Roman"/>
                <w:lang w:val="de-DE"/>
              </w:rPr>
            </w:pPr>
          </w:p>
        </w:tc>
        <w:tc>
          <w:tcPr>
            <w:tcW w:w="2268" w:type="dxa"/>
          </w:tcPr>
          <w:p w14:paraId="00E0EE12" w14:textId="77777777" w:rsidR="00CD56C4" w:rsidRPr="00402720" w:rsidRDefault="00CD56C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0,89</w:t>
            </w:r>
          </w:p>
          <w:p w14:paraId="5019EBAD" w14:textId="77777777" w:rsidR="00CD56C4" w:rsidRPr="00402720" w:rsidRDefault="00CD56C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(0,78; 1,02)</w:t>
            </w:r>
          </w:p>
        </w:tc>
        <w:tc>
          <w:tcPr>
            <w:tcW w:w="1925" w:type="dxa"/>
          </w:tcPr>
          <w:p w14:paraId="0D731C1A" w14:textId="77777777" w:rsidR="00CD56C4" w:rsidRPr="00402720" w:rsidRDefault="00CD56C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0,70</w:t>
            </w:r>
          </w:p>
          <w:p w14:paraId="1409BEA1" w14:textId="77777777" w:rsidR="00CD56C4" w:rsidRPr="00402720" w:rsidRDefault="00CD56C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(0,61; 0,81)</w:t>
            </w:r>
          </w:p>
        </w:tc>
      </w:tr>
      <w:tr w:rsidR="00CD56C4" w:rsidRPr="00402720" w14:paraId="0C93F679" w14:textId="77777777" w:rsidTr="00DC78B0">
        <w:trPr>
          <w:trHeight w:val="20"/>
        </w:trPr>
        <w:tc>
          <w:tcPr>
            <w:tcW w:w="3156" w:type="dxa"/>
          </w:tcPr>
          <w:p w14:paraId="20DBA75B" w14:textId="77777777" w:rsidR="00CD56C4" w:rsidRPr="00402720" w:rsidRDefault="00CD56C4"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p-Wert</w:t>
            </w:r>
            <w:r w:rsidR="006E5DD1" w:rsidRPr="00402720">
              <w:rPr>
                <w:rFonts w:ascii="Times New Roman" w:hAnsi="Times New Roman" w:cs="Times New Roman"/>
                <w:vertAlign w:val="superscript"/>
                <w:lang w:val="de-DE"/>
              </w:rPr>
              <w:t>3,</w:t>
            </w:r>
            <w:r w:rsidR="001B3701" w:rsidRPr="00402720">
              <w:rPr>
                <w:rFonts w:ascii="Times New Roman" w:hAnsi="Times New Roman" w:cs="Times New Roman"/>
                <w:vertAlign w:val="superscript"/>
                <w:lang w:val="de-DE"/>
              </w:rPr>
              <w:t xml:space="preserve"> </w:t>
            </w:r>
            <w:r w:rsidRPr="00402720">
              <w:rPr>
                <w:rFonts w:ascii="Times New Roman" w:hAnsi="Times New Roman" w:cs="Times New Roman"/>
                <w:vertAlign w:val="superscript"/>
                <w:lang w:val="de-DE"/>
              </w:rPr>
              <w:t>4</w:t>
            </w:r>
          </w:p>
        </w:tc>
        <w:tc>
          <w:tcPr>
            <w:tcW w:w="1488" w:type="dxa"/>
          </w:tcPr>
          <w:p w14:paraId="25B0232E" w14:textId="77777777" w:rsidR="00CD56C4" w:rsidRPr="00402720" w:rsidRDefault="00CD56C4" w:rsidP="000B6CC4">
            <w:pPr>
              <w:keepNext/>
              <w:spacing w:after="0" w:line="240" w:lineRule="auto"/>
              <w:jc w:val="center"/>
              <w:rPr>
                <w:rFonts w:ascii="Times New Roman" w:hAnsi="Times New Roman" w:cs="Times New Roman"/>
                <w:lang w:val="de-DE"/>
              </w:rPr>
            </w:pPr>
          </w:p>
        </w:tc>
        <w:tc>
          <w:tcPr>
            <w:tcW w:w="2268" w:type="dxa"/>
          </w:tcPr>
          <w:p w14:paraId="71425C5F" w14:textId="77777777" w:rsidR="00CD56C4" w:rsidRPr="00402720" w:rsidRDefault="00CD56C4"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0,0437</w:t>
            </w:r>
          </w:p>
        </w:tc>
        <w:tc>
          <w:tcPr>
            <w:tcW w:w="1925" w:type="dxa"/>
          </w:tcPr>
          <w:p w14:paraId="19DE9F5A" w14:textId="77777777" w:rsidR="00CD56C4" w:rsidRPr="00402720" w:rsidRDefault="00E32D5C"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&lt;</w:t>
            </w:r>
            <w:r w:rsidR="003331EC" w:rsidRPr="00402720">
              <w:rPr>
                <w:rFonts w:ascii="Times New Roman" w:hAnsi="Times New Roman" w:cs="Times New Roman"/>
                <w:lang w:val="de-DE"/>
              </w:rPr>
              <w:t xml:space="preserve"> </w:t>
            </w:r>
            <w:r w:rsidR="00CD56C4" w:rsidRPr="00402720">
              <w:rPr>
                <w:rFonts w:ascii="Times New Roman" w:hAnsi="Times New Roman" w:cs="Times New Roman"/>
                <w:lang w:val="de-DE"/>
              </w:rPr>
              <w:t>0,0001</w:t>
            </w:r>
          </w:p>
        </w:tc>
      </w:tr>
      <w:tr w:rsidR="00CD56C4" w:rsidRPr="00402720" w14:paraId="2E74299C" w14:textId="77777777" w:rsidTr="00DC78B0">
        <w:trPr>
          <w:trHeight w:val="20"/>
        </w:trPr>
        <w:tc>
          <w:tcPr>
            <w:tcW w:w="8837" w:type="dxa"/>
            <w:gridSpan w:val="4"/>
          </w:tcPr>
          <w:p w14:paraId="23632AF8" w14:textId="77777777" w:rsidR="00CD56C4" w:rsidRPr="00402720" w:rsidRDefault="00CD56C4" w:rsidP="000B6CC4">
            <w:pPr>
              <w:keepNext/>
              <w:spacing w:after="0" w:line="240" w:lineRule="auto"/>
              <w:rPr>
                <w:rFonts w:ascii="Times New Roman" w:hAnsi="Times New Roman" w:cs="Times New Roman"/>
                <w:lang w:val="de-DE"/>
              </w:rPr>
            </w:pPr>
            <w:r w:rsidRPr="00402720">
              <w:rPr>
                <w:rFonts w:ascii="Times New Roman" w:hAnsi="Times New Roman" w:cs="Times New Roman"/>
                <w:lang w:val="de-DE"/>
              </w:rPr>
              <w:t>Objektive Ansprechrate</w:t>
            </w:r>
            <w:r w:rsidRPr="00402720">
              <w:rPr>
                <w:rFonts w:ascii="Times New Roman" w:hAnsi="Times New Roman" w:cs="Times New Roman"/>
                <w:vertAlign w:val="superscript"/>
                <w:lang w:val="de-DE"/>
              </w:rPr>
              <w:t>5</w:t>
            </w:r>
          </w:p>
        </w:tc>
      </w:tr>
      <w:tr w:rsidR="00CD56C4" w:rsidRPr="00402720" w14:paraId="08181828" w14:textId="77777777" w:rsidTr="00DC78B0">
        <w:trPr>
          <w:trHeight w:val="20"/>
        </w:trPr>
        <w:tc>
          <w:tcPr>
            <w:tcW w:w="3156" w:type="dxa"/>
          </w:tcPr>
          <w:p w14:paraId="396D2462" w14:textId="77777777" w:rsidR="00CD56C4" w:rsidRPr="00402720" w:rsidRDefault="00CD56C4" w:rsidP="000B6CC4">
            <w:pPr>
              <w:keepNext/>
              <w:spacing w:after="0" w:line="240" w:lineRule="auto"/>
              <w:rPr>
                <w:rFonts w:ascii="Times New Roman" w:hAnsi="Times New Roman" w:cs="Times New Roman"/>
                <w:lang w:val="de-DE"/>
              </w:rPr>
            </w:pPr>
          </w:p>
        </w:tc>
        <w:tc>
          <w:tcPr>
            <w:tcW w:w="1488" w:type="dxa"/>
          </w:tcPr>
          <w:p w14:paraId="2B198DDB" w14:textId="77777777" w:rsidR="00CD56C4" w:rsidRPr="00402720" w:rsidRDefault="00CD56C4"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CPP</w:t>
            </w:r>
          </w:p>
          <w:p w14:paraId="0E63E4A0" w14:textId="77777777" w:rsidR="00CD56C4" w:rsidRPr="00402720" w:rsidRDefault="00CD56C4"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396)</w:t>
            </w:r>
          </w:p>
        </w:tc>
        <w:tc>
          <w:tcPr>
            <w:tcW w:w="2268" w:type="dxa"/>
          </w:tcPr>
          <w:p w14:paraId="29468E57" w14:textId="77777777" w:rsidR="00CD56C4" w:rsidRPr="00402720" w:rsidRDefault="00CD56C4"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CPB15</w:t>
            </w:r>
          </w:p>
          <w:p w14:paraId="12CF6CA3" w14:textId="77777777" w:rsidR="00CD56C4" w:rsidRPr="00402720" w:rsidRDefault="00CD56C4"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393)</w:t>
            </w:r>
          </w:p>
        </w:tc>
        <w:tc>
          <w:tcPr>
            <w:tcW w:w="1925" w:type="dxa"/>
          </w:tcPr>
          <w:p w14:paraId="3A875234" w14:textId="77777777" w:rsidR="00CD56C4" w:rsidRPr="00402720" w:rsidRDefault="00CD56C4"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CPB15+</w:t>
            </w:r>
          </w:p>
          <w:p w14:paraId="74695613" w14:textId="77777777" w:rsidR="00CD56C4" w:rsidRPr="00402720" w:rsidRDefault="00CD56C4"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403)</w:t>
            </w:r>
          </w:p>
        </w:tc>
      </w:tr>
      <w:tr w:rsidR="00CD56C4" w:rsidRPr="00402720" w14:paraId="1833AD10" w14:textId="77777777" w:rsidTr="00DC78B0">
        <w:trPr>
          <w:trHeight w:val="20"/>
        </w:trPr>
        <w:tc>
          <w:tcPr>
            <w:tcW w:w="3156" w:type="dxa"/>
          </w:tcPr>
          <w:p w14:paraId="1F6376BF" w14:textId="77777777" w:rsidR="00CD56C4" w:rsidRPr="00402720" w:rsidRDefault="00322E40"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w:t>
            </w:r>
            <w:r w:rsidR="00CD56C4" w:rsidRPr="00402720">
              <w:rPr>
                <w:rFonts w:ascii="Times New Roman" w:hAnsi="Times New Roman" w:cs="Times New Roman"/>
                <w:lang w:val="de-DE"/>
              </w:rPr>
              <w:t xml:space="preserve"> Patienten mit objektivem Ansprechen</w:t>
            </w:r>
          </w:p>
        </w:tc>
        <w:tc>
          <w:tcPr>
            <w:tcW w:w="1488" w:type="dxa"/>
          </w:tcPr>
          <w:p w14:paraId="45CF4A6A" w14:textId="77777777" w:rsidR="00CD56C4" w:rsidRPr="00402720" w:rsidRDefault="00CD56C4"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63,4</w:t>
            </w:r>
          </w:p>
        </w:tc>
        <w:tc>
          <w:tcPr>
            <w:tcW w:w="2268" w:type="dxa"/>
          </w:tcPr>
          <w:p w14:paraId="3C6693DB" w14:textId="77777777" w:rsidR="00CD56C4" w:rsidRPr="00402720" w:rsidRDefault="00CD56C4"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66,2</w:t>
            </w:r>
          </w:p>
        </w:tc>
        <w:tc>
          <w:tcPr>
            <w:tcW w:w="1925" w:type="dxa"/>
          </w:tcPr>
          <w:p w14:paraId="4643201C" w14:textId="77777777" w:rsidR="00CD56C4" w:rsidRPr="00402720" w:rsidRDefault="00CD56C4"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66,0</w:t>
            </w:r>
          </w:p>
        </w:tc>
      </w:tr>
      <w:tr w:rsidR="00CD56C4" w:rsidRPr="00402720" w14:paraId="5A261079" w14:textId="77777777" w:rsidTr="00DC78B0">
        <w:trPr>
          <w:trHeight w:val="20"/>
        </w:trPr>
        <w:tc>
          <w:tcPr>
            <w:tcW w:w="3156" w:type="dxa"/>
          </w:tcPr>
          <w:p w14:paraId="1182FEF4" w14:textId="77777777" w:rsidR="00CD56C4" w:rsidRPr="00402720" w:rsidRDefault="00CD56C4"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p-Wert</w:t>
            </w:r>
          </w:p>
        </w:tc>
        <w:tc>
          <w:tcPr>
            <w:tcW w:w="1488" w:type="dxa"/>
          </w:tcPr>
          <w:p w14:paraId="697B9CB2" w14:textId="77777777" w:rsidR="00CD56C4" w:rsidRPr="00402720" w:rsidRDefault="00CD56C4" w:rsidP="000B6CC4">
            <w:pPr>
              <w:keepNext/>
              <w:spacing w:after="0" w:line="240" w:lineRule="auto"/>
              <w:jc w:val="center"/>
              <w:rPr>
                <w:rFonts w:ascii="Times New Roman" w:hAnsi="Times New Roman" w:cs="Times New Roman"/>
                <w:lang w:val="de-DE"/>
              </w:rPr>
            </w:pPr>
          </w:p>
        </w:tc>
        <w:tc>
          <w:tcPr>
            <w:tcW w:w="2268" w:type="dxa"/>
          </w:tcPr>
          <w:p w14:paraId="4637527F" w14:textId="77777777" w:rsidR="00CD56C4" w:rsidRPr="00402720" w:rsidRDefault="00CD56C4"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0,2341</w:t>
            </w:r>
          </w:p>
        </w:tc>
        <w:tc>
          <w:tcPr>
            <w:tcW w:w="1925" w:type="dxa"/>
          </w:tcPr>
          <w:p w14:paraId="5364B950" w14:textId="77777777" w:rsidR="00CD56C4" w:rsidRPr="00402720" w:rsidRDefault="00CD56C4"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0,2041</w:t>
            </w:r>
          </w:p>
        </w:tc>
      </w:tr>
      <w:tr w:rsidR="00CD56C4" w:rsidRPr="00402720" w14:paraId="5F9DAB93" w14:textId="77777777" w:rsidTr="00DC78B0">
        <w:trPr>
          <w:trHeight w:val="20"/>
        </w:trPr>
        <w:tc>
          <w:tcPr>
            <w:tcW w:w="8837" w:type="dxa"/>
            <w:gridSpan w:val="4"/>
          </w:tcPr>
          <w:p w14:paraId="0152C6B5" w14:textId="77777777" w:rsidR="00CD56C4" w:rsidRPr="00402720" w:rsidRDefault="00CD56C4" w:rsidP="00B07BE9">
            <w:pPr>
              <w:keepNext/>
              <w:spacing w:after="0" w:line="240" w:lineRule="auto"/>
              <w:rPr>
                <w:rFonts w:ascii="Times New Roman" w:hAnsi="Times New Roman" w:cs="Times New Roman"/>
                <w:lang w:val="de-DE"/>
              </w:rPr>
            </w:pPr>
            <w:r w:rsidRPr="00402720">
              <w:rPr>
                <w:rFonts w:ascii="Times New Roman" w:hAnsi="Times New Roman" w:cs="Times New Roman"/>
                <w:lang w:val="de-DE"/>
              </w:rPr>
              <w:t>Gesamtüberleben</w:t>
            </w:r>
            <w:r w:rsidRPr="00402720">
              <w:rPr>
                <w:rFonts w:ascii="Times New Roman" w:hAnsi="Times New Roman" w:cs="Times New Roman"/>
                <w:vertAlign w:val="superscript"/>
                <w:lang w:val="de-DE"/>
              </w:rPr>
              <w:t>6</w:t>
            </w:r>
          </w:p>
        </w:tc>
      </w:tr>
      <w:tr w:rsidR="00CD56C4" w:rsidRPr="00402720" w14:paraId="0C557E98" w14:textId="77777777" w:rsidTr="00DC78B0">
        <w:trPr>
          <w:trHeight w:val="20"/>
        </w:trPr>
        <w:tc>
          <w:tcPr>
            <w:tcW w:w="3156" w:type="dxa"/>
          </w:tcPr>
          <w:p w14:paraId="3ECC0B7B" w14:textId="77777777" w:rsidR="00CD56C4" w:rsidRPr="00402720" w:rsidRDefault="00CD56C4" w:rsidP="00B07BE9">
            <w:pPr>
              <w:keepNext/>
              <w:spacing w:after="0" w:line="240" w:lineRule="auto"/>
              <w:rPr>
                <w:rFonts w:ascii="Times New Roman" w:hAnsi="Times New Roman" w:cs="Times New Roman"/>
                <w:lang w:val="de-DE"/>
              </w:rPr>
            </w:pPr>
          </w:p>
        </w:tc>
        <w:tc>
          <w:tcPr>
            <w:tcW w:w="1488" w:type="dxa"/>
          </w:tcPr>
          <w:p w14:paraId="34E15443" w14:textId="77777777" w:rsidR="00CD56C4" w:rsidRPr="00402720" w:rsidRDefault="00CD56C4" w:rsidP="00B07BE9">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CPP</w:t>
            </w:r>
          </w:p>
          <w:p w14:paraId="436A5B5E" w14:textId="77777777" w:rsidR="00CD56C4" w:rsidRPr="00402720" w:rsidRDefault="00CD56C4" w:rsidP="00B07BE9">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625)</w:t>
            </w:r>
          </w:p>
        </w:tc>
        <w:tc>
          <w:tcPr>
            <w:tcW w:w="2268" w:type="dxa"/>
          </w:tcPr>
          <w:p w14:paraId="623FF47F" w14:textId="77777777" w:rsidR="00CD56C4" w:rsidRPr="00402720" w:rsidRDefault="00CD56C4" w:rsidP="00B07BE9">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CPB15</w:t>
            </w:r>
          </w:p>
          <w:p w14:paraId="4A9393B0" w14:textId="77777777" w:rsidR="00CD56C4" w:rsidRPr="00402720" w:rsidRDefault="00CD56C4" w:rsidP="00B07BE9">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625)</w:t>
            </w:r>
          </w:p>
        </w:tc>
        <w:tc>
          <w:tcPr>
            <w:tcW w:w="1925" w:type="dxa"/>
          </w:tcPr>
          <w:p w14:paraId="1A95A1D4" w14:textId="77777777" w:rsidR="00CD56C4" w:rsidRPr="00402720" w:rsidRDefault="00CD56C4" w:rsidP="00B07BE9">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CPB15+</w:t>
            </w:r>
          </w:p>
          <w:p w14:paraId="796E0227" w14:textId="77777777" w:rsidR="00CD56C4" w:rsidRPr="00402720" w:rsidRDefault="00CD56C4" w:rsidP="00B07BE9">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623)</w:t>
            </w:r>
          </w:p>
        </w:tc>
      </w:tr>
      <w:tr w:rsidR="00CD56C4" w:rsidRPr="00402720" w14:paraId="18D01306" w14:textId="77777777" w:rsidTr="00DC78B0">
        <w:trPr>
          <w:trHeight w:val="20"/>
        </w:trPr>
        <w:tc>
          <w:tcPr>
            <w:tcW w:w="3156" w:type="dxa"/>
          </w:tcPr>
          <w:p w14:paraId="46E63A67" w14:textId="77777777" w:rsidR="00CD56C4" w:rsidRPr="00402720" w:rsidRDefault="00CD56C4" w:rsidP="00B07BE9">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OS (Monate)</w:t>
            </w:r>
          </w:p>
        </w:tc>
        <w:tc>
          <w:tcPr>
            <w:tcW w:w="1488" w:type="dxa"/>
          </w:tcPr>
          <w:p w14:paraId="095B4934" w14:textId="77777777" w:rsidR="00CD56C4" w:rsidRPr="00402720" w:rsidRDefault="00CD56C4" w:rsidP="00B07BE9">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40,6</w:t>
            </w:r>
          </w:p>
        </w:tc>
        <w:tc>
          <w:tcPr>
            <w:tcW w:w="2268" w:type="dxa"/>
          </w:tcPr>
          <w:p w14:paraId="0E1403D2" w14:textId="77777777" w:rsidR="00CD56C4" w:rsidRPr="00402720" w:rsidRDefault="00CD56C4" w:rsidP="00B07BE9">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38,8</w:t>
            </w:r>
          </w:p>
        </w:tc>
        <w:tc>
          <w:tcPr>
            <w:tcW w:w="1925" w:type="dxa"/>
          </w:tcPr>
          <w:p w14:paraId="30E33E0C" w14:textId="77777777" w:rsidR="00CD56C4" w:rsidRPr="00402720" w:rsidRDefault="00CD56C4" w:rsidP="00B07BE9">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43,8</w:t>
            </w:r>
          </w:p>
        </w:tc>
      </w:tr>
      <w:tr w:rsidR="00CD56C4" w:rsidRPr="00402720" w14:paraId="59308373" w14:textId="77777777" w:rsidTr="00DC78B0">
        <w:trPr>
          <w:trHeight w:val="20"/>
        </w:trPr>
        <w:tc>
          <w:tcPr>
            <w:tcW w:w="3156" w:type="dxa"/>
          </w:tcPr>
          <w:p w14:paraId="01769DA8" w14:textId="709EABD1" w:rsidR="00CD56C4" w:rsidRPr="00402720" w:rsidRDefault="00CD56C4" w:rsidP="00B07BE9">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KI)</w:t>
            </w:r>
            <w:r w:rsidRPr="00402720">
              <w:rPr>
                <w:rFonts w:ascii="Times New Roman" w:hAnsi="Times New Roman" w:cs="Times New Roman"/>
                <w:vertAlign w:val="superscript"/>
                <w:lang w:val="de-DE"/>
              </w:rPr>
              <w:t>2</w:t>
            </w:r>
          </w:p>
        </w:tc>
        <w:tc>
          <w:tcPr>
            <w:tcW w:w="1488" w:type="dxa"/>
          </w:tcPr>
          <w:p w14:paraId="3E8AECA8" w14:textId="77777777" w:rsidR="00CD56C4" w:rsidRPr="00402720" w:rsidRDefault="00CD56C4" w:rsidP="00B07BE9">
            <w:pPr>
              <w:keepNext/>
              <w:spacing w:after="0" w:line="240" w:lineRule="auto"/>
              <w:jc w:val="center"/>
              <w:rPr>
                <w:rFonts w:ascii="Times New Roman" w:hAnsi="Times New Roman" w:cs="Times New Roman"/>
                <w:lang w:val="de-DE"/>
              </w:rPr>
            </w:pPr>
          </w:p>
        </w:tc>
        <w:tc>
          <w:tcPr>
            <w:tcW w:w="2268" w:type="dxa"/>
          </w:tcPr>
          <w:p w14:paraId="72A5AC77" w14:textId="77777777" w:rsidR="00CD56C4" w:rsidRPr="00402720" w:rsidRDefault="00CD56C4" w:rsidP="00B07BE9">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1,07</w:t>
            </w:r>
          </w:p>
          <w:p w14:paraId="58D648D1" w14:textId="77777777" w:rsidR="00CD56C4" w:rsidRPr="00402720" w:rsidRDefault="00CD56C4" w:rsidP="00B07BE9">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(0,91; 1,25)</w:t>
            </w:r>
          </w:p>
        </w:tc>
        <w:tc>
          <w:tcPr>
            <w:tcW w:w="1925" w:type="dxa"/>
          </w:tcPr>
          <w:p w14:paraId="2FB44FDF" w14:textId="77777777" w:rsidR="00CD56C4" w:rsidRPr="00402720" w:rsidRDefault="00CD56C4" w:rsidP="00B07BE9">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0,88</w:t>
            </w:r>
          </w:p>
          <w:p w14:paraId="3368DE9A" w14:textId="77777777" w:rsidR="00CD56C4" w:rsidRPr="00402720" w:rsidRDefault="00CD56C4" w:rsidP="00B07BE9">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(0,75; 1,04)</w:t>
            </w:r>
          </w:p>
        </w:tc>
      </w:tr>
      <w:tr w:rsidR="00CD56C4" w:rsidRPr="00402720" w14:paraId="70657F7C" w14:textId="77777777" w:rsidTr="00DC78B0">
        <w:trPr>
          <w:trHeight w:val="20"/>
        </w:trPr>
        <w:tc>
          <w:tcPr>
            <w:tcW w:w="3156" w:type="dxa"/>
          </w:tcPr>
          <w:p w14:paraId="352FB3E3" w14:textId="77777777" w:rsidR="00CD56C4" w:rsidRPr="00402720" w:rsidRDefault="00CD56C4">
            <w:pPr>
              <w:spacing w:after="0" w:line="240" w:lineRule="auto"/>
              <w:ind w:left="567"/>
              <w:rPr>
                <w:rFonts w:ascii="Times New Roman" w:hAnsi="Times New Roman" w:cs="Times New Roman"/>
                <w:lang w:val="de-DE"/>
              </w:rPr>
            </w:pPr>
            <w:r w:rsidRPr="00402720">
              <w:rPr>
                <w:rFonts w:ascii="Times New Roman" w:hAnsi="Times New Roman" w:cs="Times New Roman"/>
                <w:lang w:val="de-DE"/>
              </w:rPr>
              <w:t>p-Wert</w:t>
            </w:r>
            <w:r w:rsidRPr="00402720">
              <w:rPr>
                <w:rFonts w:ascii="Times New Roman" w:hAnsi="Times New Roman" w:cs="Times New Roman"/>
                <w:vertAlign w:val="superscript"/>
                <w:lang w:val="de-DE"/>
              </w:rPr>
              <w:t>3</w:t>
            </w:r>
          </w:p>
        </w:tc>
        <w:tc>
          <w:tcPr>
            <w:tcW w:w="1488" w:type="dxa"/>
          </w:tcPr>
          <w:p w14:paraId="0214CE88" w14:textId="77777777" w:rsidR="00CD56C4" w:rsidRPr="00402720" w:rsidRDefault="00CD56C4">
            <w:pPr>
              <w:spacing w:after="0" w:line="240" w:lineRule="auto"/>
              <w:jc w:val="center"/>
              <w:rPr>
                <w:rFonts w:ascii="Times New Roman" w:hAnsi="Times New Roman" w:cs="Times New Roman"/>
                <w:lang w:val="de-DE"/>
              </w:rPr>
            </w:pPr>
          </w:p>
        </w:tc>
        <w:tc>
          <w:tcPr>
            <w:tcW w:w="2268" w:type="dxa"/>
          </w:tcPr>
          <w:p w14:paraId="7343DA52" w14:textId="77777777" w:rsidR="00CD56C4" w:rsidRPr="00402720" w:rsidRDefault="00CD56C4">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0,2197</w:t>
            </w:r>
          </w:p>
        </w:tc>
        <w:tc>
          <w:tcPr>
            <w:tcW w:w="1925" w:type="dxa"/>
          </w:tcPr>
          <w:p w14:paraId="0D1B6E5C" w14:textId="77777777" w:rsidR="00CD56C4" w:rsidRPr="00402720" w:rsidRDefault="00CD56C4">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0,0641</w:t>
            </w:r>
          </w:p>
        </w:tc>
      </w:tr>
    </w:tbl>
    <w:p w14:paraId="00D89D81" w14:textId="12326F55" w:rsidR="00010E8C" w:rsidRPr="009737B5" w:rsidRDefault="00010E8C">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1</w:t>
      </w:r>
      <w:r w:rsidRPr="009737B5">
        <w:rPr>
          <w:rFonts w:ascii="Times New Roman" w:hAnsi="Times New Roman" w:cs="Times New Roman"/>
          <w:sz w:val="20"/>
          <w:szCs w:val="20"/>
          <w:lang w:val="de-DE"/>
        </w:rPr>
        <w:tab/>
        <w:t>PFS-Analyse gemäß Bewertung durch den Prüfarzt, wie im GOG-Prüfplan festgelegt (nicht zensiert hinsichtlich CA-125-Progression und einer nicht im Protokoll festgelegten Behandlung [</w:t>
      </w:r>
      <w:r w:rsidRPr="009737B5">
        <w:rPr>
          <w:rFonts w:ascii="Times New Roman" w:hAnsi="Times New Roman" w:cs="Times New Roman"/>
          <w:i/>
          <w:sz w:val="20"/>
          <w:szCs w:val="20"/>
          <w:lang w:val="de-DE"/>
        </w:rPr>
        <w:t>non-protocol therapy</w:t>
      </w:r>
      <w:r w:rsidRPr="009737B5">
        <w:rPr>
          <w:rFonts w:ascii="Times New Roman" w:hAnsi="Times New Roman" w:cs="Times New Roman"/>
          <w:sz w:val="20"/>
          <w:szCs w:val="20"/>
          <w:lang w:val="de-DE"/>
        </w:rPr>
        <w:t>; NPT] vor Krankheitsprogression), mit Stichtag 25.</w:t>
      </w:r>
      <w:r w:rsidR="009B6D2A">
        <w:rPr>
          <w:rFonts w:ascii="Times New Roman" w:hAnsi="Times New Roman" w:cs="Times New Roman"/>
          <w:sz w:val="20"/>
          <w:szCs w:val="20"/>
          <w:lang w:val="de-DE"/>
        </w:rPr>
        <w:t> </w:t>
      </w:r>
      <w:r w:rsidRPr="009737B5">
        <w:rPr>
          <w:rFonts w:ascii="Times New Roman" w:hAnsi="Times New Roman" w:cs="Times New Roman"/>
          <w:sz w:val="20"/>
          <w:szCs w:val="20"/>
          <w:lang w:val="de-DE"/>
        </w:rPr>
        <w:t>Februar 2010.</w:t>
      </w:r>
    </w:p>
    <w:p w14:paraId="111F0F3F" w14:textId="77777777" w:rsidR="00010E8C" w:rsidRPr="009737B5" w:rsidRDefault="00010E8C">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2</w:t>
      </w:r>
      <w:r w:rsidRPr="009737B5">
        <w:rPr>
          <w:rFonts w:ascii="Times New Roman" w:hAnsi="Times New Roman" w:cs="Times New Roman"/>
          <w:sz w:val="20"/>
          <w:szCs w:val="20"/>
          <w:lang w:val="de-DE"/>
        </w:rPr>
        <w:tab/>
        <w:t>Relativ zum Kontrollarm; Hazard Ratio stratifiziert.</w:t>
      </w:r>
    </w:p>
    <w:p w14:paraId="6F988BE6" w14:textId="77777777" w:rsidR="00010E8C" w:rsidRPr="009737B5" w:rsidRDefault="00010E8C">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3</w:t>
      </w:r>
      <w:r w:rsidRPr="009737B5">
        <w:rPr>
          <w:rFonts w:ascii="Times New Roman" w:hAnsi="Times New Roman" w:cs="Times New Roman"/>
          <w:sz w:val="20"/>
          <w:szCs w:val="20"/>
          <w:lang w:val="de-DE"/>
        </w:rPr>
        <w:tab/>
        <w:t>Einseitiger Logrank-p-Wert.</w:t>
      </w:r>
    </w:p>
    <w:p w14:paraId="4A3BDBBF" w14:textId="33E5D3D7" w:rsidR="00010E8C" w:rsidRPr="009737B5" w:rsidRDefault="00010E8C">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4</w:t>
      </w:r>
      <w:r w:rsidR="00D36B2D" w:rsidRPr="009737B5">
        <w:rPr>
          <w:rFonts w:ascii="Times New Roman" w:hAnsi="Times New Roman" w:cs="Times New Roman"/>
          <w:sz w:val="20"/>
          <w:szCs w:val="20"/>
          <w:lang w:val="de-DE"/>
        </w:rPr>
        <w:tab/>
      </w:r>
      <w:r w:rsidRPr="009737B5">
        <w:rPr>
          <w:rFonts w:ascii="Times New Roman" w:hAnsi="Times New Roman" w:cs="Times New Roman"/>
          <w:sz w:val="20"/>
          <w:szCs w:val="20"/>
          <w:lang w:val="de-DE"/>
        </w:rPr>
        <w:t>Entsprechend einem p-Wert-Grenzwert von</w:t>
      </w:r>
      <w:r w:rsidR="009B6D2A">
        <w:rPr>
          <w:rFonts w:ascii="Times New Roman" w:hAnsi="Times New Roman" w:cs="Times New Roman"/>
          <w:sz w:val="20"/>
          <w:szCs w:val="20"/>
          <w:lang w:val="de-DE"/>
        </w:rPr>
        <w:t> </w:t>
      </w:r>
      <w:r w:rsidRPr="009737B5">
        <w:rPr>
          <w:rFonts w:ascii="Times New Roman" w:hAnsi="Times New Roman" w:cs="Times New Roman"/>
          <w:sz w:val="20"/>
          <w:szCs w:val="20"/>
          <w:lang w:val="de-DE"/>
        </w:rPr>
        <w:t>0,0116.</w:t>
      </w:r>
    </w:p>
    <w:p w14:paraId="756A00E1" w14:textId="77777777" w:rsidR="00010E8C" w:rsidRPr="009737B5" w:rsidRDefault="00010E8C">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5</w:t>
      </w:r>
      <w:r w:rsidRPr="009737B5">
        <w:rPr>
          <w:rFonts w:ascii="Times New Roman" w:hAnsi="Times New Roman" w:cs="Times New Roman"/>
          <w:sz w:val="20"/>
          <w:szCs w:val="20"/>
          <w:lang w:val="de-DE"/>
        </w:rPr>
        <w:tab/>
        <w:t>Patienten mit messbarer Erkrankung bei Behandlungsbeginn.</w:t>
      </w:r>
    </w:p>
    <w:p w14:paraId="7EB0B76A" w14:textId="77777777" w:rsidR="00010E8C" w:rsidRPr="009737B5" w:rsidRDefault="00010E8C">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6</w:t>
      </w:r>
      <w:r w:rsidRPr="009737B5">
        <w:rPr>
          <w:rFonts w:ascii="Times New Roman" w:hAnsi="Times New Roman" w:cs="Times New Roman"/>
          <w:sz w:val="20"/>
          <w:szCs w:val="20"/>
          <w:lang w:val="de-DE"/>
        </w:rPr>
        <w:tab/>
        <w:t>Endauswertung des Gesamtüberlebens, die durchgeführt wurde, nachdem 46,9</w:t>
      </w:r>
      <w:r w:rsidR="00322E40" w:rsidRPr="009737B5">
        <w:rPr>
          <w:rFonts w:ascii="Times New Roman" w:hAnsi="Times New Roman" w:cs="Times New Roman"/>
          <w:sz w:val="20"/>
          <w:szCs w:val="20"/>
          <w:lang w:val="de-DE"/>
        </w:rPr>
        <w:t> %</w:t>
      </w:r>
      <w:r w:rsidRPr="009737B5">
        <w:rPr>
          <w:rFonts w:ascii="Times New Roman" w:hAnsi="Times New Roman" w:cs="Times New Roman"/>
          <w:sz w:val="20"/>
          <w:szCs w:val="20"/>
          <w:lang w:val="de-DE"/>
        </w:rPr>
        <w:t xml:space="preserve"> der Patienten verstorben waren.</w:t>
      </w:r>
    </w:p>
    <w:p w14:paraId="5C794B20" w14:textId="77777777" w:rsidR="00010E8C" w:rsidRPr="009737B5" w:rsidRDefault="00010E8C" w:rsidP="005F4D08">
      <w:pPr>
        <w:suppressAutoHyphens/>
        <w:spacing w:after="0" w:line="240" w:lineRule="auto"/>
        <w:rPr>
          <w:rFonts w:ascii="Times New Roman" w:hAnsi="Times New Roman" w:cs="Times New Roman"/>
          <w:lang w:val="de-DE"/>
        </w:rPr>
      </w:pPr>
    </w:p>
    <w:p w14:paraId="344400F0" w14:textId="12FCAF48" w:rsidR="00010E8C" w:rsidRPr="009737B5" w:rsidRDefault="00010E8C" w:rsidP="008937CD">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zuvor festgelegten PFS-Analysen wurden mit Stichtag 29.</w:t>
      </w:r>
      <w:r w:rsidR="009B6D2A">
        <w:rPr>
          <w:rFonts w:ascii="Times New Roman" w:hAnsi="Times New Roman" w:cs="Times New Roman"/>
          <w:lang w:val="de-DE"/>
        </w:rPr>
        <w:t> </w:t>
      </w:r>
      <w:r w:rsidRPr="009737B5">
        <w:rPr>
          <w:rFonts w:ascii="Times New Roman" w:hAnsi="Times New Roman" w:cs="Times New Roman"/>
          <w:lang w:val="de-DE"/>
        </w:rPr>
        <w:t>September 2009 durchgeführt. Die Ergebnisse sind wie folgt:</w:t>
      </w:r>
    </w:p>
    <w:p w14:paraId="2FE4C9C3" w14:textId="77777777" w:rsidR="00010E8C" w:rsidRPr="009737B5" w:rsidRDefault="00010E8C" w:rsidP="008937CD">
      <w:pPr>
        <w:keepNext/>
        <w:suppressAutoHyphens/>
        <w:spacing w:after="0" w:line="240" w:lineRule="auto"/>
        <w:rPr>
          <w:rFonts w:ascii="Times New Roman" w:hAnsi="Times New Roman" w:cs="Times New Roman"/>
          <w:lang w:val="de-DE"/>
        </w:rPr>
      </w:pPr>
    </w:p>
    <w:p w14:paraId="771CF7C2" w14:textId="378BA669" w:rsidR="00010E8C" w:rsidRPr="009737B5" w:rsidRDefault="00010E8C" w:rsidP="008937CD">
      <w:pPr>
        <w:keepNext/>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Die im Prüfplan zuvor festgelegte Analyse des vom Prüfarzt bewerteten PFS (nicht zensiert hinsichtlich CA-125-Progression oder einer nicht im Protokoll festgelegten Behandlung [</w:t>
      </w:r>
      <w:r w:rsidRPr="009737B5">
        <w:rPr>
          <w:rFonts w:ascii="Times New Roman" w:hAnsi="Times New Roman" w:cs="Times New Roman"/>
          <w:i/>
          <w:lang w:val="de-DE"/>
        </w:rPr>
        <w:t>non-protocol therapy</w:t>
      </w:r>
      <w:r w:rsidRPr="009737B5">
        <w:rPr>
          <w:rFonts w:ascii="Times New Roman" w:hAnsi="Times New Roman" w:cs="Times New Roman"/>
          <w:lang w:val="de-DE"/>
        </w:rPr>
        <w:t>; NPT]) ergibt beim Vergleich von CPB15+ mit CPP ein</w:t>
      </w:r>
      <w:r w:rsidR="00DD5904" w:rsidRPr="009737B5">
        <w:rPr>
          <w:rFonts w:ascii="Times New Roman" w:hAnsi="Times New Roman" w:cs="Times New Roman"/>
          <w:lang w:val="de-DE"/>
        </w:rPr>
        <w:t>e</w:t>
      </w:r>
      <w:r w:rsidRPr="009737B5">
        <w:rPr>
          <w:rFonts w:ascii="Times New Roman" w:hAnsi="Times New Roman" w:cs="Times New Roman"/>
          <w:lang w:val="de-DE"/>
        </w:rPr>
        <w:t xml:space="preserve"> stratifizierte Hazard Ratio von 0,71 (95</w:t>
      </w:r>
      <w:r w:rsidR="00322E40" w:rsidRPr="009737B5">
        <w:rPr>
          <w:rFonts w:ascii="Times New Roman" w:hAnsi="Times New Roman" w:cs="Times New Roman"/>
          <w:lang w:val="de-DE"/>
        </w:rPr>
        <w:t> %</w:t>
      </w:r>
      <w:r w:rsidR="009B6D2A">
        <w:rPr>
          <w:rFonts w:ascii="Times New Roman" w:hAnsi="Times New Roman" w:cs="Times New Roman"/>
          <w:lang w:val="de-DE"/>
        </w:rPr>
        <w:t> </w:t>
      </w:r>
      <w:r w:rsidRPr="009737B5">
        <w:rPr>
          <w:rFonts w:ascii="Times New Roman" w:hAnsi="Times New Roman" w:cs="Times New Roman"/>
          <w:lang w:val="de-DE"/>
        </w:rPr>
        <w:t>KI: 0,61</w:t>
      </w:r>
      <w:r w:rsidR="009B6D2A">
        <w:rPr>
          <w:rFonts w:ascii="Times New Roman" w:hAnsi="Times New Roman" w:cs="Times New Roman"/>
          <w:lang w:val="de-DE"/>
        </w:rPr>
        <w:t> </w:t>
      </w:r>
      <w:r w:rsidR="00D7227D" w:rsidRPr="009737B5">
        <w:rPr>
          <w:rFonts w:ascii="Times New Roman" w:hAnsi="Times New Roman" w:cs="Times New Roman"/>
          <w:lang w:val="de-DE"/>
        </w:rPr>
        <w:t>-</w:t>
      </w:r>
      <w:r w:rsidR="009B6D2A">
        <w:rPr>
          <w:rFonts w:ascii="Times New Roman" w:hAnsi="Times New Roman" w:cs="Times New Roman"/>
          <w:lang w:val="de-DE"/>
        </w:rPr>
        <w:t> </w:t>
      </w:r>
      <w:r w:rsidRPr="009737B5">
        <w:rPr>
          <w:rFonts w:ascii="Times New Roman" w:hAnsi="Times New Roman" w:cs="Times New Roman"/>
          <w:lang w:val="de-DE"/>
        </w:rPr>
        <w:t xml:space="preserve">0,83; einseitiger Logrank p-Wert </w:t>
      </w:r>
      <w:r w:rsidR="00E32D5C" w:rsidRPr="009737B5">
        <w:rPr>
          <w:rFonts w:ascii="Times New Roman" w:hAnsi="Times New Roman" w:cs="Times New Roman"/>
          <w:lang w:val="de-DE"/>
        </w:rPr>
        <w:t>&lt; </w:t>
      </w:r>
      <w:r w:rsidRPr="009737B5">
        <w:rPr>
          <w:rFonts w:ascii="Times New Roman" w:hAnsi="Times New Roman" w:cs="Times New Roman"/>
          <w:lang w:val="de-DE"/>
        </w:rPr>
        <w:t>0,0001) mit einem medianen PFS von 10,4</w:t>
      </w:r>
      <w:r w:rsidR="009B6D2A">
        <w:rPr>
          <w:rFonts w:ascii="Times New Roman" w:hAnsi="Times New Roman" w:cs="Times New Roman"/>
          <w:lang w:val="de-DE"/>
        </w:rPr>
        <w:t> </w:t>
      </w:r>
      <w:r w:rsidRPr="009737B5">
        <w:rPr>
          <w:rFonts w:ascii="Times New Roman" w:hAnsi="Times New Roman" w:cs="Times New Roman"/>
          <w:lang w:val="de-DE"/>
        </w:rPr>
        <w:t>Monaten im CPP-Arm und 14,1</w:t>
      </w:r>
      <w:r w:rsidR="009B6D2A">
        <w:rPr>
          <w:rFonts w:ascii="Times New Roman" w:hAnsi="Times New Roman" w:cs="Times New Roman"/>
          <w:lang w:val="de-DE"/>
        </w:rPr>
        <w:t> </w:t>
      </w:r>
      <w:r w:rsidRPr="009737B5">
        <w:rPr>
          <w:rFonts w:ascii="Times New Roman" w:hAnsi="Times New Roman" w:cs="Times New Roman"/>
          <w:lang w:val="de-DE"/>
        </w:rPr>
        <w:t>Monaten im CPB15+-Arm.</w:t>
      </w:r>
    </w:p>
    <w:p w14:paraId="2D59B6FA" w14:textId="308B71B9" w:rsidR="00010E8C" w:rsidRPr="009737B5" w:rsidRDefault="00010E8C" w:rsidP="008937CD">
      <w:pPr>
        <w:keepNext/>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Die Primäranalyse des vom Prüfarzt bewerteten PFS (zensiert hinsichtlich CA-125</w:t>
      </w:r>
      <w:r w:rsidR="00DD5904" w:rsidRPr="009737B5">
        <w:rPr>
          <w:rFonts w:ascii="Times New Roman" w:hAnsi="Times New Roman" w:cs="Times New Roman"/>
          <w:lang w:val="de-DE"/>
        </w:rPr>
        <w:t>-</w:t>
      </w:r>
      <w:r w:rsidRPr="009737B5">
        <w:rPr>
          <w:rFonts w:ascii="Times New Roman" w:hAnsi="Times New Roman" w:cs="Times New Roman"/>
          <w:lang w:val="de-DE"/>
        </w:rPr>
        <w:t>Progression und NPT) ergibt beim Vergleich von CPB15+ mit CPP ein</w:t>
      </w:r>
      <w:r w:rsidR="00DD5904" w:rsidRPr="009737B5">
        <w:rPr>
          <w:rFonts w:ascii="Times New Roman" w:hAnsi="Times New Roman" w:cs="Times New Roman"/>
          <w:lang w:val="de-DE"/>
        </w:rPr>
        <w:t>e</w:t>
      </w:r>
      <w:r w:rsidRPr="009737B5">
        <w:rPr>
          <w:rFonts w:ascii="Times New Roman" w:hAnsi="Times New Roman" w:cs="Times New Roman"/>
          <w:lang w:val="de-DE"/>
        </w:rPr>
        <w:t xml:space="preserve"> stratifizierte Hazard Ratio von 0,62 (95</w:t>
      </w:r>
      <w:r w:rsidR="00322E40" w:rsidRPr="009737B5">
        <w:rPr>
          <w:rFonts w:ascii="Times New Roman" w:hAnsi="Times New Roman" w:cs="Times New Roman"/>
          <w:lang w:val="de-DE"/>
        </w:rPr>
        <w:t> %</w:t>
      </w:r>
      <w:r w:rsidR="009B6D2A">
        <w:rPr>
          <w:rFonts w:ascii="Times New Roman" w:hAnsi="Times New Roman" w:cs="Times New Roman"/>
          <w:lang w:val="de-DE"/>
        </w:rPr>
        <w:t> </w:t>
      </w:r>
      <w:r w:rsidRPr="009737B5">
        <w:rPr>
          <w:rFonts w:ascii="Times New Roman" w:hAnsi="Times New Roman" w:cs="Times New Roman"/>
          <w:lang w:val="de-DE"/>
        </w:rPr>
        <w:t>KI: 0,52</w:t>
      </w:r>
      <w:r w:rsidR="009B6D2A">
        <w:rPr>
          <w:rFonts w:ascii="Times New Roman" w:hAnsi="Times New Roman" w:cs="Times New Roman"/>
          <w:lang w:val="de-DE"/>
        </w:rPr>
        <w:t> </w:t>
      </w:r>
      <w:r w:rsidR="00D7227D" w:rsidRPr="009737B5">
        <w:rPr>
          <w:rFonts w:ascii="Times New Roman" w:hAnsi="Times New Roman" w:cs="Times New Roman"/>
          <w:lang w:val="de-DE"/>
        </w:rPr>
        <w:t>-</w:t>
      </w:r>
      <w:r w:rsidR="009B6D2A">
        <w:rPr>
          <w:rFonts w:ascii="Times New Roman" w:hAnsi="Times New Roman" w:cs="Times New Roman"/>
          <w:lang w:val="de-DE"/>
        </w:rPr>
        <w:t> </w:t>
      </w:r>
      <w:r w:rsidRPr="009737B5">
        <w:rPr>
          <w:rFonts w:ascii="Times New Roman" w:hAnsi="Times New Roman" w:cs="Times New Roman"/>
          <w:lang w:val="de-DE"/>
        </w:rPr>
        <w:t xml:space="preserve">0,75; einseitiger Logrank p-Wert </w:t>
      </w:r>
      <w:r w:rsidR="00E32D5C" w:rsidRPr="009737B5">
        <w:rPr>
          <w:rFonts w:ascii="Times New Roman" w:hAnsi="Times New Roman" w:cs="Times New Roman"/>
          <w:lang w:val="de-DE"/>
        </w:rPr>
        <w:t>&lt; </w:t>
      </w:r>
      <w:r w:rsidRPr="009737B5">
        <w:rPr>
          <w:rFonts w:ascii="Times New Roman" w:hAnsi="Times New Roman" w:cs="Times New Roman"/>
          <w:lang w:val="de-DE"/>
        </w:rPr>
        <w:t>0,0001) mit einem medianen PFS von 12,0</w:t>
      </w:r>
      <w:r w:rsidR="009B6D2A">
        <w:rPr>
          <w:rFonts w:ascii="Times New Roman" w:hAnsi="Times New Roman" w:cs="Times New Roman"/>
          <w:lang w:val="de-DE"/>
        </w:rPr>
        <w:t> </w:t>
      </w:r>
      <w:r w:rsidRPr="009737B5">
        <w:rPr>
          <w:rFonts w:ascii="Times New Roman" w:hAnsi="Times New Roman" w:cs="Times New Roman"/>
          <w:lang w:val="de-DE"/>
        </w:rPr>
        <w:t>Monaten im CPP-Arm und 18,2</w:t>
      </w:r>
      <w:r w:rsidR="009B6D2A">
        <w:rPr>
          <w:rFonts w:ascii="Times New Roman" w:hAnsi="Times New Roman" w:cs="Times New Roman"/>
          <w:lang w:val="de-DE"/>
        </w:rPr>
        <w:t> </w:t>
      </w:r>
      <w:r w:rsidRPr="009737B5">
        <w:rPr>
          <w:rFonts w:ascii="Times New Roman" w:hAnsi="Times New Roman" w:cs="Times New Roman"/>
          <w:lang w:val="de-DE"/>
        </w:rPr>
        <w:t>Monaten im CPB15+</w:t>
      </w:r>
      <w:r w:rsidR="003A14B7" w:rsidRPr="009737B5">
        <w:rPr>
          <w:rFonts w:ascii="Times New Roman" w:hAnsi="Times New Roman" w:cs="Times New Roman"/>
          <w:lang w:val="de-DE"/>
        </w:rPr>
        <w:t>-</w:t>
      </w:r>
      <w:r w:rsidRPr="009737B5">
        <w:rPr>
          <w:rFonts w:ascii="Times New Roman" w:hAnsi="Times New Roman" w:cs="Times New Roman"/>
          <w:lang w:val="de-DE"/>
        </w:rPr>
        <w:t>Arm.</w:t>
      </w:r>
    </w:p>
    <w:p w14:paraId="65CD6511" w14:textId="0ADE59CC" w:rsidR="00010E8C" w:rsidRPr="009737B5" w:rsidRDefault="00010E8C" w:rsidP="00136E27">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Die Analyse des vom unabhängigen Review-Komitee bewerteten PFS (zensiert hinsichtlich NPT) ergibt beim Vergleich von CPB15+ mit CPP ein</w:t>
      </w:r>
      <w:r w:rsidR="00DD5904" w:rsidRPr="009737B5">
        <w:rPr>
          <w:rFonts w:ascii="Times New Roman" w:hAnsi="Times New Roman" w:cs="Times New Roman"/>
          <w:lang w:val="de-DE"/>
        </w:rPr>
        <w:t>e</w:t>
      </w:r>
      <w:r w:rsidRPr="009737B5">
        <w:rPr>
          <w:rFonts w:ascii="Times New Roman" w:hAnsi="Times New Roman" w:cs="Times New Roman"/>
          <w:lang w:val="de-DE"/>
        </w:rPr>
        <w:t xml:space="preserve"> stratifizierte Hazard Ratio von 0,62 (95</w:t>
      </w:r>
      <w:r w:rsidR="00322E40" w:rsidRPr="009737B5">
        <w:rPr>
          <w:rFonts w:ascii="Times New Roman" w:hAnsi="Times New Roman" w:cs="Times New Roman"/>
          <w:lang w:val="de-DE"/>
        </w:rPr>
        <w:t> %</w:t>
      </w:r>
      <w:r w:rsidR="009B6D2A">
        <w:rPr>
          <w:rFonts w:ascii="Times New Roman" w:hAnsi="Times New Roman" w:cs="Times New Roman"/>
          <w:lang w:val="de-DE"/>
        </w:rPr>
        <w:t> </w:t>
      </w:r>
      <w:r w:rsidRPr="009737B5">
        <w:rPr>
          <w:rFonts w:ascii="Times New Roman" w:hAnsi="Times New Roman" w:cs="Times New Roman"/>
          <w:lang w:val="de-DE"/>
        </w:rPr>
        <w:t>KI: 0,50</w:t>
      </w:r>
      <w:r w:rsidR="009B6D2A">
        <w:rPr>
          <w:rFonts w:ascii="Times New Roman" w:hAnsi="Times New Roman" w:cs="Times New Roman"/>
          <w:lang w:val="de-DE"/>
        </w:rPr>
        <w:t> </w:t>
      </w:r>
      <w:r w:rsidR="00D7227D" w:rsidRPr="009737B5">
        <w:rPr>
          <w:rFonts w:ascii="Times New Roman" w:hAnsi="Times New Roman" w:cs="Times New Roman"/>
          <w:lang w:val="de-DE"/>
        </w:rPr>
        <w:t>-</w:t>
      </w:r>
      <w:r w:rsidR="009B6D2A">
        <w:rPr>
          <w:rFonts w:ascii="Times New Roman" w:hAnsi="Times New Roman" w:cs="Times New Roman"/>
          <w:lang w:val="de-DE"/>
        </w:rPr>
        <w:t> </w:t>
      </w:r>
      <w:r w:rsidRPr="009737B5">
        <w:rPr>
          <w:rFonts w:ascii="Times New Roman" w:hAnsi="Times New Roman" w:cs="Times New Roman"/>
          <w:lang w:val="de-DE"/>
        </w:rPr>
        <w:t xml:space="preserve">0,77; einseitiger Logrank-p-Wert </w:t>
      </w:r>
      <w:r w:rsidR="00E32D5C" w:rsidRPr="009737B5">
        <w:rPr>
          <w:rFonts w:ascii="Times New Roman" w:hAnsi="Times New Roman" w:cs="Times New Roman"/>
          <w:lang w:val="de-DE"/>
        </w:rPr>
        <w:t>&lt; </w:t>
      </w:r>
      <w:r w:rsidRPr="009737B5">
        <w:rPr>
          <w:rFonts w:ascii="Times New Roman" w:hAnsi="Times New Roman" w:cs="Times New Roman"/>
          <w:lang w:val="de-DE"/>
        </w:rPr>
        <w:t>0,0001) mit einem medianen PFS von 13,1</w:t>
      </w:r>
      <w:r w:rsidR="009B6D2A">
        <w:rPr>
          <w:rFonts w:ascii="Times New Roman" w:hAnsi="Times New Roman" w:cs="Times New Roman"/>
          <w:lang w:val="de-DE"/>
        </w:rPr>
        <w:t> </w:t>
      </w:r>
      <w:r w:rsidRPr="009737B5">
        <w:rPr>
          <w:rFonts w:ascii="Times New Roman" w:hAnsi="Times New Roman" w:cs="Times New Roman"/>
          <w:lang w:val="de-DE"/>
        </w:rPr>
        <w:t>Monaten im CPP-Arm und 19,1</w:t>
      </w:r>
      <w:r w:rsidR="009B6D2A">
        <w:rPr>
          <w:rFonts w:ascii="Times New Roman" w:hAnsi="Times New Roman" w:cs="Times New Roman"/>
          <w:lang w:val="de-DE"/>
        </w:rPr>
        <w:t> </w:t>
      </w:r>
      <w:r w:rsidRPr="009737B5">
        <w:rPr>
          <w:rFonts w:ascii="Times New Roman" w:hAnsi="Times New Roman" w:cs="Times New Roman"/>
          <w:lang w:val="de-DE"/>
        </w:rPr>
        <w:t>Monaten im CPB15+-Arm.</w:t>
      </w:r>
    </w:p>
    <w:p w14:paraId="13AB2BA0" w14:textId="77777777" w:rsidR="00010E8C" w:rsidRPr="009737B5" w:rsidRDefault="00010E8C" w:rsidP="005F4D08">
      <w:pPr>
        <w:suppressAutoHyphens/>
        <w:spacing w:after="0" w:line="240" w:lineRule="auto"/>
        <w:rPr>
          <w:rFonts w:ascii="Times New Roman" w:hAnsi="Times New Roman" w:cs="Times New Roman"/>
          <w:lang w:val="de-DE"/>
        </w:rPr>
      </w:pPr>
    </w:p>
    <w:p w14:paraId="28B54290" w14:textId="47FD80A4" w:rsidR="00010E8C" w:rsidRPr="009737B5" w:rsidRDefault="00010E8C" w:rsidP="00A16482">
      <w:pPr>
        <w:keepNext/>
        <w:keepLines/>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lastRenderedPageBreak/>
        <w:t>Die PFS-Subgruppenanalyse nach Krankheitsstadium und postoperativem Tumorrest ist in Tabelle</w:t>
      </w:r>
      <w:r w:rsidR="000206F4">
        <w:rPr>
          <w:rFonts w:ascii="Times New Roman" w:hAnsi="Times New Roman" w:cs="Times New Roman"/>
          <w:lang w:val="de-DE"/>
        </w:rPr>
        <w:t> </w:t>
      </w:r>
      <w:r w:rsidR="003E1054">
        <w:rPr>
          <w:rFonts w:ascii="Times New Roman" w:hAnsi="Times New Roman" w:cs="Times New Roman"/>
          <w:lang w:val="de-DE"/>
        </w:rPr>
        <w:t>17</w:t>
      </w:r>
      <w:r w:rsidR="003E1054" w:rsidRPr="009737B5">
        <w:rPr>
          <w:rFonts w:ascii="Times New Roman" w:hAnsi="Times New Roman" w:cs="Times New Roman"/>
          <w:lang w:val="de-DE"/>
        </w:rPr>
        <w:t xml:space="preserve"> </w:t>
      </w:r>
      <w:r w:rsidRPr="009737B5">
        <w:rPr>
          <w:rFonts w:ascii="Times New Roman" w:hAnsi="Times New Roman" w:cs="Times New Roman"/>
          <w:lang w:val="de-DE"/>
        </w:rPr>
        <w:t>zusammengefasst. Die Ergebnisse zeigen die Robustheit der in Tabelle</w:t>
      </w:r>
      <w:r w:rsidR="000206F4">
        <w:rPr>
          <w:rFonts w:ascii="Times New Roman" w:hAnsi="Times New Roman" w:cs="Times New Roman"/>
          <w:lang w:val="de-DE"/>
        </w:rPr>
        <w:t> </w:t>
      </w:r>
      <w:r w:rsidR="003E1054">
        <w:rPr>
          <w:rFonts w:ascii="Times New Roman" w:hAnsi="Times New Roman" w:cs="Times New Roman"/>
          <w:lang w:val="de-DE"/>
        </w:rPr>
        <w:t>16</w:t>
      </w:r>
      <w:r w:rsidR="003E1054" w:rsidRPr="009737B5">
        <w:rPr>
          <w:rFonts w:ascii="Times New Roman" w:hAnsi="Times New Roman" w:cs="Times New Roman"/>
          <w:lang w:val="de-DE"/>
        </w:rPr>
        <w:t xml:space="preserve"> </w:t>
      </w:r>
      <w:r w:rsidRPr="009737B5">
        <w:rPr>
          <w:rFonts w:ascii="Times New Roman" w:hAnsi="Times New Roman" w:cs="Times New Roman"/>
          <w:lang w:val="de-DE"/>
        </w:rPr>
        <w:t>dargestellten PFS-Analyse.</w:t>
      </w:r>
    </w:p>
    <w:p w14:paraId="4CC752F2" w14:textId="77777777" w:rsidR="00010E8C" w:rsidRPr="009737B5" w:rsidRDefault="00010E8C" w:rsidP="00A16482">
      <w:pPr>
        <w:keepNext/>
        <w:keepLines/>
        <w:suppressAutoHyphens/>
        <w:spacing w:after="0" w:line="240" w:lineRule="auto"/>
        <w:rPr>
          <w:rFonts w:ascii="Times New Roman" w:hAnsi="Times New Roman" w:cs="Times New Roman"/>
          <w:lang w:val="de-DE"/>
        </w:rPr>
      </w:pPr>
    </w:p>
    <w:p w14:paraId="15C5F671" w14:textId="7E5C52E9" w:rsidR="00010E8C" w:rsidRPr="009737B5" w:rsidRDefault="00010E8C">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9B6D2A">
        <w:rPr>
          <w:rFonts w:ascii="Times New Roman" w:hAnsi="Times New Roman" w:cs="Times New Roman"/>
          <w:b/>
          <w:lang w:val="de-DE"/>
        </w:rPr>
        <w:t> </w:t>
      </w:r>
      <w:r w:rsidR="007F77FC">
        <w:rPr>
          <w:rFonts w:ascii="Times New Roman" w:hAnsi="Times New Roman" w:cs="Times New Roman"/>
          <w:b/>
          <w:lang w:val="de-DE"/>
        </w:rPr>
        <w:t>1</w:t>
      </w:r>
      <w:r w:rsidR="003E1054">
        <w:rPr>
          <w:rFonts w:ascii="Times New Roman" w:hAnsi="Times New Roman" w:cs="Times New Roman"/>
          <w:b/>
          <w:lang w:val="de-DE"/>
        </w:rPr>
        <w:t>7</w:t>
      </w:r>
      <w:r w:rsidR="008574AB" w:rsidRPr="009737B5">
        <w:rPr>
          <w:rFonts w:ascii="Times New Roman" w:hAnsi="Times New Roman" w:cs="Times New Roman"/>
          <w:b/>
          <w:lang w:val="de-DE"/>
        </w:rPr>
        <w:t>.</w:t>
      </w:r>
      <w:r w:rsidRPr="009737B5">
        <w:rPr>
          <w:rFonts w:ascii="Times New Roman" w:hAnsi="Times New Roman" w:cs="Times New Roman"/>
          <w:b/>
          <w:lang w:val="de-DE"/>
        </w:rPr>
        <w:t xml:space="preserve"> PFS</w:t>
      </w:r>
      <w:r w:rsidRPr="009737B5">
        <w:rPr>
          <w:rFonts w:ascii="Times New Roman" w:hAnsi="Times New Roman" w:cs="Times New Roman"/>
          <w:b/>
          <w:vertAlign w:val="superscript"/>
          <w:lang w:val="de-DE"/>
        </w:rPr>
        <w:t>1</w:t>
      </w:r>
      <w:r w:rsidRPr="009737B5">
        <w:rPr>
          <w:rFonts w:ascii="Times New Roman" w:hAnsi="Times New Roman" w:cs="Times New Roman"/>
          <w:b/>
          <w:lang w:val="de-DE"/>
        </w:rPr>
        <w:t>-Ergebnisse nach Krankheitsstadium und postoperativem Tumorrest der Studie</w:t>
      </w:r>
      <w:r w:rsidR="009B6D2A">
        <w:rPr>
          <w:rFonts w:ascii="Times New Roman" w:hAnsi="Times New Roman" w:cs="Times New Roman"/>
          <w:b/>
          <w:lang w:val="de-DE"/>
        </w:rPr>
        <w:t> </w:t>
      </w:r>
      <w:r w:rsidRPr="009737B5">
        <w:rPr>
          <w:rFonts w:ascii="Times New Roman" w:hAnsi="Times New Roman" w:cs="Times New Roman"/>
          <w:b/>
          <w:lang w:val="de-DE"/>
        </w:rPr>
        <w:t>GOG-0218</w:t>
      </w:r>
    </w:p>
    <w:p w14:paraId="668C0F6F" w14:textId="77777777" w:rsidR="00010E8C" w:rsidRPr="009737B5" w:rsidRDefault="00010E8C">
      <w:pPr>
        <w:keepNext/>
        <w:suppressAutoHyphens/>
        <w:spacing w:after="0" w:line="240" w:lineRule="auto"/>
        <w:rPr>
          <w:rFonts w:ascii="Times New Roman" w:hAnsi="Times New Roman" w:cs="Times New Roman"/>
          <w:lang w:val="de-D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417"/>
        <w:gridCol w:w="1701"/>
        <w:gridCol w:w="1701"/>
      </w:tblGrid>
      <w:tr w:rsidR="00C1087D" w:rsidRPr="00B83674" w14:paraId="7699F21C" w14:textId="77777777" w:rsidTr="00C446E3">
        <w:trPr>
          <w:trHeight w:val="20"/>
        </w:trPr>
        <w:tc>
          <w:tcPr>
            <w:tcW w:w="9072" w:type="dxa"/>
            <w:gridSpan w:val="4"/>
            <w:noWrap/>
          </w:tcPr>
          <w:p w14:paraId="263912FB" w14:textId="77777777" w:rsidR="00C1087D" w:rsidRPr="00402720" w:rsidRDefault="00CF6CB9">
            <w:pPr>
              <w:pStyle w:val="Default"/>
              <w:keepNext/>
              <w:rPr>
                <w:sz w:val="22"/>
                <w:szCs w:val="22"/>
                <w:vertAlign w:val="superscript"/>
                <w:lang w:val="de-DE"/>
              </w:rPr>
            </w:pPr>
            <w:r w:rsidRPr="00402720">
              <w:rPr>
                <w:bCs/>
                <w:sz w:val="22"/>
                <w:szCs w:val="22"/>
                <w:lang w:val="de-DE"/>
              </w:rPr>
              <w:t>Randomisierte Patienten im FIGO-Stadium III, optimal operiert</w:t>
            </w:r>
            <w:r w:rsidRPr="00402720">
              <w:rPr>
                <w:bCs/>
                <w:sz w:val="22"/>
                <w:szCs w:val="22"/>
                <w:vertAlign w:val="superscript"/>
                <w:lang w:val="de-DE"/>
              </w:rPr>
              <w:t>2,</w:t>
            </w:r>
            <w:r w:rsidR="0010405B" w:rsidRPr="00402720">
              <w:rPr>
                <w:bCs/>
                <w:sz w:val="22"/>
                <w:szCs w:val="22"/>
                <w:vertAlign w:val="superscript"/>
                <w:lang w:val="de-DE"/>
              </w:rPr>
              <w:t xml:space="preserve"> </w:t>
            </w:r>
            <w:r w:rsidRPr="00402720">
              <w:rPr>
                <w:bCs/>
                <w:sz w:val="22"/>
                <w:szCs w:val="22"/>
                <w:vertAlign w:val="superscript"/>
                <w:lang w:val="de-DE"/>
              </w:rPr>
              <w:t>3</w:t>
            </w:r>
          </w:p>
        </w:tc>
      </w:tr>
      <w:tr w:rsidR="00C1087D" w:rsidRPr="00402720" w14:paraId="15B69796" w14:textId="77777777" w:rsidTr="00C446E3">
        <w:trPr>
          <w:trHeight w:val="20"/>
        </w:trPr>
        <w:tc>
          <w:tcPr>
            <w:tcW w:w="4253" w:type="dxa"/>
            <w:noWrap/>
          </w:tcPr>
          <w:p w14:paraId="0AEA0E97"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p>
        </w:tc>
        <w:tc>
          <w:tcPr>
            <w:tcW w:w="1417" w:type="dxa"/>
            <w:noWrap/>
          </w:tcPr>
          <w:p w14:paraId="503E786B"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CPP</w:t>
            </w:r>
          </w:p>
          <w:p w14:paraId="079E783E"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219)</w:t>
            </w:r>
          </w:p>
        </w:tc>
        <w:tc>
          <w:tcPr>
            <w:tcW w:w="1701" w:type="dxa"/>
            <w:noWrap/>
          </w:tcPr>
          <w:p w14:paraId="65778E0E"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CPB15</w:t>
            </w:r>
          </w:p>
          <w:p w14:paraId="36919D62" w14:textId="77777777" w:rsidR="00C1087D" w:rsidRPr="009737B5" w:rsidRDefault="00B93173"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204)</w:t>
            </w:r>
          </w:p>
        </w:tc>
        <w:tc>
          <w:tcPr>
            <w:tcW w:w="1701" w:type="dxa"/>
            <w:noWrap/>
          </w:tcPr>
          <w:p w14:paraId="0B4F7A78"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CPB15+</w:t>
            </w:r>
          </w:p>
          <w:p w14:paraId="0319F41C"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21</w:t>
            </w:r>
            <w:r w:rsidR="00B93173" w:rsidRPr="009737B5">
              <w:rPr>
                <w:rFonts w:ascii="Times New Roman" w:hAnsi="Times New Roman" w:cs="Times New Roman"/>
                <w:lang w:val="de-DE"/>
              </w:rPr>
              <w:t>6)</w:t>
            </w:r>
          </w:p>
        </w:tc>
      </w:tr>
      <w:tr w:rsidR="00C1087D" w:rsidRPr="00402720" w14:paraId="48141689" w14:textId="77777777" w:rsidTr="00C446E3">
        <w:trPr>
          <w:trHeight w:val="20"/>
        </w:trPr>
        <w:tc>
          <w:tcPr>
            <w:tcW w:w="4253" w:type="dxa"/>
            <w:noWrap/>
          </w:tcPr>
          <w:p w14:paraId="18E21EED" w14:textId="77777777" w:rsidR="00C1087D" w:rsidRPr="009737B5" w:rsidRDefault="00C1087D" w:rsidP="000B6CC4">
            <w:pPr>
              <w:keepNext/>
              <w:autoSpaceDE w:val="0"/>
              <w:autoSpaceDN w:val="0"/>
              <w:adjustRightInd w:val="0"/>
              <w:spacing w:after="0" w:line="240" w:lineRule="auto"/>
              <w:ind w:left="567"/>
              <w:rPr>
                <w:rFonts w:ascii="Times New Roman" w:hAnsi="Times New Roman" w:cs="Times New Roman"/>
                <w:lang w:val="de-DE"/>
              </w:rPr>
            </w:pPr>
            <w:r w:rsidRPr="009737B5">
              <w:rPr>
                <w:rFonts w:ascii="Times New Roman" w:hAnsi="Times New Roman" w:cs="Times New Roman"/>
                <w:lang w:val="de-DE"/>
              </w:rPr>
              <w:t>Median</w:t>
            </w:r>
            <w:r w:rsidR="006102F4" w:rsidRPr="009737B5">
              <w:rPr>
                <w:rFonts w:ascii="Times New Roman" w:hAnsi="Times New Roman" w:cs="Times New Roman"/>
                <w:lang w:val="de-DE"/>
              </w:rPr>
              <w:t>es</w:t>
            </w:r>
            <w:r w:rsidRPr="009737B5">
              <w:rPr>
                <w:rFonts w:ascii="Times New Roman" w:hAnsi="Times New Roman" w:cs="Times New Roman"/>
                <w:lang w:val="de-DE"/>
              </w:rPr>
              <w:t xml:space="preserve"> PFS (</w:t>
            </w:r>
            <w:r w:rsidR="00CF6CB9" w:rsidRPr="009737B5">
              <w:rPr>
                <w:rFonts w:ascii="Times New Roman" w:hAnsi="Times New Roman" w:cs="Times New Roman"/>
                <w:lang w:val="de-DE"/>
              </w:rPr>
              <w:t>Monate</w:t>
            </w:r>
            <w:r w:rsidRPr="009737B5">
              <w:rPr>
                <w:rFonts w:ascii="Times New Roman" w:hAnsi="Times New Roman" w:cs="Times New Roman"/>
                <w:lang w:val="de-DE"/>
              </w:rPr>
              <w:t>)</w:t>
            </w:r>
          </w:p>
        </w:tc>
        <w:tc>
          <w:tcPr>
            <w:tcW w:w="1417" w:type="dxa"/>
            <w:noWrap/>
          </w:tcPr>
          <w:p w14:paraId="35C934E1"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12,4</w:t>
            </w:r>
          </w:p>
        </w:tc>
        <w:tc>
          <w:tcPr>
            <w:tcW w:w="1701" w:type="dxa"/>
            <w:noWrap/>
          </w:tcPr>
          <w:p w14:paraId="02FE59DC"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14,3</w:t>
            </w:r>
          </w:p>
        </w:tc>
        <w:tc>
          <w:tcPr>
            <w:tcW w:w="1701" w:type="dxa"/>
            <w:noWrap/>
          </w:tcPr>
          <w:p w14:paraId="72C9F049"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17,5</w:t>
            </w:r>
          </w:p>
        </w:tc>
      </w:tr>
      <w:tr w:rsidR="00C1087D" w:rsidRPr="00402720" w14:paraId="30BE8576" w14:textId="77777777" w:rsidTr="00C446E3">
        <w:trPr>
          <w:trHeight w:val="20"/>
        </w:trPr>
        <w:tc>
          <w:tcPr>
            <w:tcW w:w="4253" w:type="dxa"/>
            <w:noWrap/>
          </w:tcPr>
          <w:p w14:paraId="45B15378" w14:textId="2349B22C" w:rsidR="00C1087D" w:rsidRPr="009737B5" w:rsidRDefault="00C1087D" w:rsidP="000B6CC4">
            <w:pPr>
              <w:keepNext/>
              <w:autoSpaceDE w:val="0"/>
              <w:autoSpaceDN w:val="0"/>
              <w:adjustRightInd w:val="0"/>
              <w:spacing w:after="0" w:line="240" w:lineRule="auto"/>
              <w:ind w:left="567"/>
              <w:rPr>
                <w:rFonts w:ascii="Times New Roman" w:hAnsi="Times New Roman" w:cs="Times New Roman"/>
                <w:lang w:val="de-DE"/>
              </w:rPr>
            </w:pPr>
            <w:r w:rsidRPr="009737B5">
              <w:rPr>
                <w:rFonts w:ascii="Times New Roman" w:hAnsi="Times New Roman" w:cs="Times New Roman"/>
                <w:lang w:val="de-DE"/>
              </w:rPr>
              <w:t xml:space="preserve">Hazard </w:t>
            </w:r>
            <w:r w:rsidR="007866D7" w:rsidRPr="009737B5">
              <w:rPr>
                <w:rFonts w:ascii="Times New Roman" w:hAnsi="Times New Roman" w:cs="Times New Roman"/>
                <w:lang w:val="de-DE"/>
              </w:rPr>
              <w:t>R</w:t>
            </w:r>
            <w:r w:rsidRPr="009737B5">
              <w:rPr>
                <w:rFonts w:ascii="Times New Roman" w:hAnsi="Times New Roman" w:cs="Times New Roman"/>
                <w:lang w:val="de-DE"/>
              </w:rPr>
              <w:t>atio (95</w:t>
            </w:r>
            <w:r w:rsidR="00905FDC">
              <w:rPr>
                <w:rFonts w:ascii="Times New Roman" w:hAnsi="Times New Roman" w:cs="Times New Roman"/>
                <w:lang w:val="de-DE"/>
              </w:rPr>
              <w:t> </w:t>
            </w:r>
            <w:r w:rsidR="00322E40" w:rsidRPr="009737B5">
              <w:rPr>
                <w:rFonts w:ascii="Times New Roman" w:hAnsi="Times New Roman" w:cs="Times New Roman"/>
                <w:lang w:val="de-DE"/>
              </w:rPr>
              <w:t>%</w:t>
            </w:r>
            <w:r w:rsidR="00905FDC">
              <w:rPr>
                <w:rFonts w:ascii="Times New Roman" w:hAnsi="Times New Roman" w:cs="Times New Roman"/>
                <w:lang w:val="de-DE"/>
              </w:rPr>
              <w:t> </w:t>
            </w:r>
            <w:r w:rsidR="00360138" w:rsidRPr="009737B5">
              <w:rPr>
                <w:rFonts w:ascii="Times New Roman" w:hAnsi="Times New Roman" w:cs="Times New Roman"/>
                <w:lang w:val="de-DE"/>
              </w:rPr>
              <w:t>KI</w:t>
            </w:r>
            <w:r w:rsidRPr="009737B5">
              <w:rPr>
                <w:rFonts w:ascii="Times New Roman" w:hAnsi="Times New Roman" w:cs="Times New Roman"/>
                <w:lang w:val="de-DE"/>
              </w:rPr>
              <w:t>)</w:t>
            </w:r>
            <w:r w:rsidRPr="009737B5">
              <w:rPr>
                <w:rFonts w:ascii="Times New Roman" w:hAnsi="Times New Roman" w:cs="Times New Roman"/>
                <w:vertAlign w:val="superscript"/>
                <w:lang w:val="de-DE"/>
              </w:rPr>
              <w:t>4</w:t>
            </w:r>
          </w:p>
        </w:tc>
        <w:tc>
          <w:tcPr>
            <w:tcW w:w="1417" w:type="dxa"/>
            <w:noWrap/>
          </w:tcPr>
          <w:p w14:paraId="3EDC0A4B"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p>
        </w:tc>
        <w:tc>
          <w:tcPr>
            <w:tcW w:w="1701" w:type="dxa"/>
            <w:noWrap/>
          </w:tcPr>
          <w:p w14:paraId="1A83C813"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0,81</w:t>
            </w:r>
          </w:p>
          <w:p w14:paraId="4C9F38CC"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(0,62</w:t>
            </w:r>
            <w:r w:rsidR="001C5C5F" w:rsidRPr="009737B5">
              <w:rPr>
                <w:rFonts w:ascii="Times New Roman" w:hAnsi="Times New Roman" w:cs="Times New Roman"/>
                <w:lang w:val="de-DE"/>
              </w:rPr>
              <w:t xml:space="preserve">; </w:t>
            </w:r>
            <w:r w:rsidRPr="009737B5">
              <w:rPr>
                <w:rFonts w:ascii="Times New Roman" w:hAnsi="Times New Roman" w:cs="Times New Roman"/>
                <w:lang w:val="de-DE"/>
              </w:rPr>
              <w:t>1,05)</w:t>
            </w:r>
          </w:p>
        </w:tc>
        <w:tc>
          <w:tcPr>
            <w:tcW w:w="1701" w:type="dxa"/>
            <w:noWrap/>
          </w:tcPr>
          <w:p w14:paraId="1352D748"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0,66</w:t>
            </w:r>
          </w:p>
          <w:p w14:paraId="6C19B195"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(0,50</w:t>
            </w:r>
            <w:r w:rsidR="001C5C5F" w:rsidRPr="009737B5">
              <w:rPr>
                <w:rFonts w:ascii="Times New Roman" w:hAnsi="Times New Roman" w:cs="Times New Roman"/>
                <w:lang w:val="de-DE"/>
              </w:rPr>
              <w:t xml:space="preserve">; </w:t>
            </w:r>
            <w:r w:rsidRPr="009737B5">
              <w:rPr>
                <w:rFonts w:ascii="Times New Roman" w:hAnsi="Times New Roman" w:cs="Times New Roman"/>
                <w:lang w:val="de-DE"/>
              </w:rPr>
              <w:t>0,86)</w:t>
            </w:r>
          </w:p>
        </w:tc>
      </w:tr>
      <w:tr w:rsidR="00C1087D" w:rsidRPr="00B83674" w14:paraId="21B8FA29" w14:textId="77777777" w:rsidTr="00C446E3">
        <w:trPr>
          <w:trHeight w:val="20"/>
        </w:trPr>
        <w:tc>
          <w:tcPr>
            <w:tcW w:w="9072" w:type="dxa"/>
            <w:gridSpan w:val="4"/>
            <w:noWrap/>
          </w:tcPr>
          <w:p w14:paraId="1812BBBD" w14:textId="77777777" w:rsidR="00C1087D" w:rsidRPr="009737B5" w:rsidRDefault="00082EA7" w:rsidP="000B6CC4">
            <w:pPr>
              <w:keepNext/>
              <w:autoSpaceDE w:val="0"/>
              <w:autoSpaceDN w:val="0"/>
              <w:adjustRightInd w:val="0"/>
              <w:spacing w:after="0" w:line="240" w:lineRule="auto"/>
              <w:rPr>
                <w:rFonts w:ascii="Times New Roman" w:hAnsi="Times New Roman" w:cs="Times New Roman"/>
                <w:lang w:val="de-DE"/>
              </w:rPr>
            </w:pPr>
            <w:r w:rsidRPr="009737B5">
              <w:rPr>
                <w:rFonts w:ascii="Times New Roman" w:hAnsi="Times New Roman" w:cs="Times New Roman"/>
                <w:lang w:val="de-DE"/>
              </w:rPr>
              <w:t>Randomisierte Patienten im FIGO-Stadium III, suboptimal operiert</w:t>
            </w:r>
            <w:r w:rsidRPr="009737B5">
              <w:rPr>
                <w:rFonts w:ascii="Times New Roman" w:hAnsi="Times New Roman" w:cs="Times New Roman"/>
                <w:vertAlign w:val="superscript"/>
                <w:lang w:val="de-DE"/>
              </w:rPr>
              <w:t>3</w:t>
            </w:r>
          </w:p>
        </w:tc>
      </w:tr>
      <w:tr w:rsidR="00C1087D" w:rsidRPr="00402720" w14:paraId="08AD9BE5" w14:textId="77777777" w:rsidTr="00C446E3">
        <w:trPr>
          <w:trHeight w:val="20"/>
        </w:trPr>
        <w:tc>
          <w:tcPr>
            <w:tcW w:w="4253" w:type="dxa"/>
            <w:noWrap/>
          </w:tcPr>
          <w:p w14:paraId="5061A8B9" w14:textId="77777777" w:rsidR="00C1087D" w:rsidRPr="009737B5" w:rsidRDefault="00C1087D" w:rsidP="000B6CC4">
            <w:pPr>
              <w:keepNext/>
              <w:autoSpaceDE w:val="0"/>
              <w:autoSpaceDN w:val="0"/>
              <w:adjustRightInd w:val="0"/>
              <w:spacing w:after="0" w:line="240" w:lineRule="auto"/>
              <w:rPr>
                <w:rFonts w:ascii="Times New Roman" w:hAnsi="Times New Roman" w:cs="Times New Roman"/>
                <w:lang w:val="de-DE"/>
              </w:rPr>
            </w:pPr>
          </w:p>
        </w:tc>
        <w:tc>
          <w:tcPr>
            <w:tcW w:w="1417" w:type="dxa"/>
            <w:noWrap/>
          </w:tcPr>
          <w:p w14:paraId="4D929307"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CPP</w:t>
            </w:r>
          </w:p>
          <w:p w14:paraId="0B1F5ADF"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253)</w:t>
            </w:r>
          </w:p>
        </w:tc>
        <w:tc>
          <w:tcPr>
            <w:tcW w:w="1701" w:type="dxa"/>
            <w:noWrap/>
          </w:tcPr>
          <w:p w14:paraId="4CEDE2FF"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CPB15</w:t>
            </w:r>
          </w:p>
          <w:p w14:paraId="5D2A1D23"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256)</w:t>
            </w:r>
          </w:p>
        </w:tc>
        <w:tc>
          <w:tcPr>
            <w:tcW w:w="1701" w:type="dxa"/>
            <w:noWrap/>
          </w:tcPr>
          <w:p w14:paraId="33ACB303"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CPB15+</w:t>
            </w:r>
          </w:p>
          <w:p w14:paraId="035C5821"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242)</w:t>
            </w:r>
          </w:p>
        </w:tc>
      </w:tr>
      <w:tr w:rsidR="00C1087D" w:rsidRPr="00402720" w14:paraId="3338A323" w14:textId="77777777" w:rsidTr="00C446E3">
        <w:trPr>
          <w:trHeight w:val="20"/>
        </w:trPr>
        <w:tc>
          <w:tcPr>
            <w:tcW w:w="4253" w:type="dxa"/>
            <w:noWrap/>
          </w:tcPr>
          <w:p w14:paraId="0742529F" w14:textId="77777777" w:rsidR="00C1087D" w:rsidRPr="009737B5" w:rsidRDefault="00C1087D" w:rsidP="000B6CC4">
            <w:pPr>
              <w:keepNext/>
              <w:autoSpaceDE w:val="0"/>
              <w:autoSpaceDN w:val="0"/>
              <w:adjustRightInd w:val="0"/>
              <w:spacing w:after="0" w:line="240" w:lineRule="auto"/>
              <w:ind w:left="567"/>
              <w:rPr>
                <w:rFonts w:ascii="Times New Roman" w:hAnsi="Times New Roman" w:cs="Times New Roman"/>
                <w:lang w:val="de-DE"/>
              </w:rPr>
            </w:pPr>
            <w:r w:rsidRPr="009737B5">
              <w:rPr>
                <w:rFonts w:ascii="Times New Roman" w:hAnsi="Times New Roman" w:cs="Times New Roman"/>
                <w:lang w:val="de-DE"/>
              </w:rPr>
              <w:t>Median</w:t>
            </w:r>
            <w:r w:rsidR="006102F4" w:rsidRPr="009737B5">
              <w:rPr>
                <w:rFonts w:ascii="Times New Roman" w:hAnsi="Times New Roman" w:cs="Times New Roman"/>
                <w:lang w:val="de-DE"/>
              </w:rPr>
              <w:t>es</w:t>
            </w:r>
            <w:r w:rsidRPr="009737B5">
              <w:rPr>
                <w:rFonts w:ascii="Times New Roman" w:hAnsi="Times New Roman" w:cs="Times New Roman"/>
                <w:lang w:val="de-DE"/>
              </w:rPr>
              <w:t xml:space="preserve"> PFS (</w:t>
            </w:r>
            <w:r w:rsidR="00CF6CB9" w:rsidRPr="009737B5">
              <w:rPr>
                <w:rFonts w:ascii="Times New Roman" w:hAnsi="Times New Roman" w:cs="Times New Roman"/>
                <w:lang w:val="de-DE"/>
              </w:rPr>
              <w:t>Monate</w:t>
            </w:r>
            <w:r w:rsidRPr="009737B5">
              <w:rPr>
                <w:rFonts w:ascii="Times New Roman" w:hAnsi="Times New Roman" w:cs="Times New Roman"/>
                <w:lang w:val="de-DE"/>
              </w:rPr>
              <w:t>)</w:t>
            </w:r>
          </w:p>
        </w:tc>
        <w:tc>
          <w:tcPr>
            <w:tcW w:w="1417" w:type="dxa"/>
            <w:noWrap/>
          </w:tcPr>
          <w:p w14:paraId="16685A9B"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10,1</w:t>
            </w:r>
          </w:p>
        </w:tc>
        <w:tc>
          <w:tcPr>
            <w:tcW w:w="1701" w:type="dxa"/>
            <w:noWrap/>
          </w:tcPr>
          <w:p w14:paraId="3C68B2AB"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10,9</w:t>
            </w:r>
          </w:p>
        </w:tc>
        <w:tc>
          <w:tcPr>
            <w:tcW w:w="1701" w:type="dxa"/>
            <w:noWrap/>
          </w:tcPr>
          <w:p w14:paraId="179B131B"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13,9</w:t>
            </w:r>
          </w:p>
        </w:tc>
      </w:tr>
      <w:tr w:rsidR="00C1087D" w:rsidRPr="00402720" w14:paraId="0DD3F9A1" w14:textId="77777777" w:rsidTr="00C446E3">
        <w:trPr>
          <w:trHeight w:val="20"/>
        </w:trPr>
        <w:tc>
          <w:tcPr>
            <w:tcW w:w="4253" w:type="dxa"/>
            <w:noWrap/>
          </w:tcPr>
          <w:p w14:paraId="1ED755A0" w14:textId="3D40F6BC" w:rsidR="00C1087D" w:rsidRPr="009737B5" w:rsidRDefault="00C1087D" w:rsidP="000B6CC4">
            <w:pPr>
              <w:keepNext/>
              <w:autoSpaceDE w:val="0"/>
              <w:autoSpaceDN w:val="0"/>
              <w:adjustRightInd w:val="0"/>
              <w:spacing w:after="0" w:line="240" w:lineRule="auto"/>
              <w:ind w:left="567"/>
              <w:rPr>
                <w:rFonts w:ascii="Times New Roman" w:hAnsi="Times New Roman" w:cs="Times New Roman"/>
                <w:lang w:val="de-DE"/>
              </w:rPr>
            </w:pPr>
            <w:r w:rsidRPr="009737B5">
              <w:rPr>
                <w:rFonts w:ascii="Times New Roman" w:hAnsi="Times New Roman" w:cs="Times New Roman"/>
                <w:lang w:val="de-DE"/>
              </w:rPr>
              <w:t xml:space="preserve">Hazard </w:t>
            </w:r>
            <w:r w:rsidR="007866D7" w:rsidRPr="009737B5">
              <w:rPr>
                <w:rFonts w:ascii="Times New Roman" w:hAnsi="Times New Roman" w:cs="Times New Roman"/>
                <w:lang w:val="de-DE"/>
              </w:rPr>
              <w:t>R</w:t>
            </w:r>
            <w:r w:rsidRPr="009737B5">
              <w:rPr>
                <w:rFonts w:ascii="Times New Roman" w:hAnsi="Times New Roman" w:cs="Times New Roman"/>
                <w:lang w:val="de-DE"/>
              </w:rPr>
              <w:t>atio (95</w:t>
            </w:r>
            <w:r w:rsidR="00905FDC">
              <w:rPr>
                <w:rFonts w:ascii="Times New Roman" w:hAnsi="Times New Roman" w:cs="Times New Roman"/>
                <w:lang w:val="de-DE"/>
              </w:rPr>
              <w:t> </w:t>
            </w:r>
            <w:r w:rsidR="00322E40" w:rsidRPr="009737B5">
              <w:rPr>
                <w:rFonts w:ascii="Times New Roman" w:hAnsi="Times New Roman" w:cs="Times New Roman"/>
                <w:lang w:val="de-DE"/>
              </w:rPr>
              <w:t>%</w:t>
            </w:r>
            <w:r w:rsidR="00905FDC">
              <w:rPr>
                <w:rFonts w:ascii="Times New Roman" w:hAnsi="Times New Roman" w:cs="Times New Roman"/>
                <w:lang w:val="de-DE"/>
              </w:rPr>
              <w:t> </w:t>
            </w:r>
            <w:r w:rsidR="00CF6CB9" w:rsidRPr="009737B5">
              <w:rPr>
                <w:rFonts w:ascii="Times New Roman" w:hAnsi="Times New Roman" w:cs="Times New Roman"/>
                <w:lang w:val="de-DE"/>
              </w:rPr>
              <w:t>KI</w:t>
            </w:r>
            <w:r w:rsidRPr="009737B5">
              <w:rPr>
                <w:rFonts w:ascii="Times New Roman" w:hAnsi="Times New Roman" w:cs="Times New Roman"/>
                <w:lang w:val="de-DE"/>
              </w:rPr>
              <w:t>)</w:t>
            </w:r>
            <w:r w:rsidRPr="009737B5">
              <w:rPr>
                <w:rFonts w:ascii="Times New Roman" w:hAnsi="Times New Roman" w:cs="Times New Roman"/>
                <w:vertAlign w:val="superscript"/>
                <w:lang w:val="de-DE"/>
              </w:rPr>
              <w:t>4</w:t>
            </w:r>
          </w:p>
        </w:tc>
        <w:tc>
          <w:tcPr>
            <w:tcW w:w="1417" w:type="dxa"/>
            <w:noWrap/>
          </w:tcPr>
          <w:p w14:paraId="45FCA1C8"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p>
        </w:tc>
        <w:tc>
          <w:tcPr>
            <w:tcW w:w="1701" w:type="dxa"/>
            <w:noWrap/>
          </w:tcPr>
          <w:p w14:paraId="07D75A83"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0,93</w:t>
            </w:r>
          </w:p>
          <w:p w14:paraId="6BB819CC"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(0,77</w:t>
            </w:r>
            <w:r w:rsidR="001C5C5F" w:rsidRPr="009737B5">
              <w:rPr>
                <w:rFonts w:ascii="Times New Roman" w:hAnsi="Times New Roman" w:cs="Times New Roman"/>
                <w:lang w:val="de-DE"/>
              </w:rPr>
              <w:t xml:space="preserve">; </w:t>
            </w:r>
            <w:r w:rsidRPr="009737B5">
              <w:rPr>
                <w:rFonts w:ascii="Times New Roman" w:hAnsi="Times New Roman" w:cs="Times New Roman"/>
                <w:lang w:val="de-DE"/>
              </w:rPr>
              <w:t>1,14)</w:t>
            </w:r>
          </w:p>
        </w:tc>
        <w:tc>
          <w:tcPr>
            <w:tcW w:w="1701" w:type="dxa"/>
            <w:noWrap/>
          </w:tcPr>
          <w:p w14:paraId="10C28885"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0,78</w:t>
            </w:r>
          </w:p>
          <w:p w14:paraId="11FC0EE4"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(0,63</w:t>
            </w:r>
            <w:r w:rsidR="001C5C5F" w:rsidRPr="009737B5">
              <w:rPr>
                <w:rFonts w:ascii="Times New Roman" w:hAnsi="Times New Roman" w:cs="Times New Roman"/>
                <w:lang w:val="de-DE"/>
              </w:rPr>
              <w:t>;</w:t>
            </w:r>
            <w:r w:rsidRPr="009737B5">
              <w:rPr>
                <w:rFonts w:ascii="Times New Roman" w:hAnsi="Times New Roman" w:cs="Times New Roman"/>
                <w:lang w:val="de-DE"/>
              </w:rPr>
              <w:t xml:space="preserve"> </w:t>
            </w:r>
            <w:r w:rsidR="001C5C5F" w:rsidRPr="009737B5">
              <w:rPr>
                <w:rFonts w:ascii="Times New Roman" w:hAnsi="Times New Roman" w:cs="Times New Roman"/>
                <w:lang w:val="de-DE"/>
              </w:rPr>
              <w:t>0</w:t>
            </w:r>
            <w:r w:rsidRPr="009737B5">
              <w:rPr>
                <w:rFonts w:ascii="Times New Roman" w:hAnsi="Times New Roman" w:cs="Times New Roman"/>
                <w:lang w:val="de-DE"/>
              </w:rPr>
              <w:t>,96)</w:t>
            </w:r>
          </w:p>
        </w:tc>
      </w:tr>
      <w:tr w:rsidR="001C5C5F" w:rsidRPr="00AA0497" w14:paraId="0E56525B" w14:textId="77777777" w:rsidTr="00C446E3">
        <w:trPr>
          <w:trHeight w:val="20"/>
        </w:trPr>
        <w:tc>
          <w:tcPr>
            <w:tcW w:w="9072" w:type="dxa"/>
            <w:gridSpan w:val="4"/>
            <w:noWrap/>
          </w:tcPr>
          <w:p w14:paraId="181C3CD4" w14:textId="77777777" w:rsidR="001C5C5F" w:rsidRPr="009737B5" w:rsidRDefault="001C5C5F" w:rsidP="000B6CC4">
            <w:pPr>
              <w:keepNext/>
              <w:autoSpaceDE w:val="0"/>
              <w:autoSpaceDN w:val="0"/>
              <w:adjustRightInd w:val="0"/>
              <w:spacing w:after="0" w:line="240" w:lineRule="auto"/>
              <w:rPr>
                <w:rFonts w:ascii="Times New Roman" w:hAnsi="Times New Roman" w:cs="Times New Roman"/>
                <w:lang w:val="de-DE"/>
              </w:rPr>
            </w:pPr>
            <w:r w:rsidRPr="009737B5">
              <w:rPr>
                <w:rFonts w:ascii="Times New Roman" w:hAnsi="Times New Roman" w:cs="Times New Roman"/>
                <w:lang w:val="de-DE"/>
              </w:rPr>
              <w:t>Randomisierte Patienten im FIGO-Stadium IV</w:t>
            </w:r>
          </w:p>
        </w:tc>
      </w:tr>
      <w:tr w:rsidR="00DB3A7D" w:rsidRPr="00402720" w14:paraId="574CA228" w14:textId="77777777" w:rsidTr="00C446E3">
        <w:trPr>
          <w:trHeight w:val="20"/>
        </w:trPr>
        <w:tc>
          <w:tcPr>
            <w:tcW w:w="4253" w:type="dxa"/>
            <w:noWrap/>
          </w:tcPr>
          <w:p w14:paraId="20A22F86" w14:textId="77777777" w:rsidR="00DB3A7D" w:rsidRPr="009737B5" w:rsidRDefault="00DB3A7D" w:rsidP="000B6CC4">
            <w:pPr>
              <w:keepNext/>
              <w:autoSpaceDE w:val="0"/>
              <w:autoSpaceDN w:val="0"/>
              <w:adjustRightInd w:val="0"/>
              <w:spacing w:after="0" w:line="240" w:lineRule="auto"/>
              <w:ind w:left="567"/>
              <w:rPr>
                <w:rFonts w:ascii="Times New Roman" w:hAnsi="Times New Roman" w:cs="Times New Roman"/>
                <w:lang w:val="de-DE"/>
              </w:rPr>
            </w:pPr>
          </w:p>
        </w:tc>
        <w:tc>
          <w:tcPr>
            <w:tcW w:w="1417" w:type="dxa"/>
            <w:noWrap/>
          </w:tcPr>
          <w:p w14:paraId="0905DF94" w14:textId="77777777" w:rsidR="00DB3A7D" w:rsidRPr="009737B5" w:rsidRDefault="00DB3A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CPP</w:t>
            </w:r>
          </w:p>
          <w:p w14:paraId="415EF793" w14:textId="77777777" w:rsidR="00DB3A7D" w:rsidRPr="009737B5" w:rsidRDefault="00DB3A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153)</w:t>
            </w:r>
          </w:p>
        </w:tc>
        <w:tc>
          <w:tcPr>
            <w:tcW w:w="1701" w:type="dxa"/>
            <w:noWrap/>
          </w:tcPr>
          <w:p w14:paraId="734C8ED4" w14:textId="77777777" w:rsidR="00DB3A7D" w:rsidRPr="009737B5" w:rsidRDefault="00DB3A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CPB15</w:t>
            </w:r>
          </w:p>
          <w:p w14:paraId="5B103F58" w14:textId="77777777" w:rsidR="00DB3A7D" w:rsidRPr="009737B5" w:rsidRDefault="00DB3A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165)</w:t>
            </w:r>
          </w:p>
        </w:tc>
        <w:tc>
          <w:tcPr>
            <w:tcW w:w="1701" w:type="dxa"/>
            <w:noWrap/>
          </w:tcPr>
          <w:p w14:paraId="195AF534" w14:textId="77777777" w:rsidR="00DB3A7D" w:rsidRPr="009737B5" w:rsidRDefault="00DB3A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CPB15+</w:t>
            </w:r>
          </w:p>
          <w:p w14:paraId="517D8463" w14:textId="77777777" w:rsidR="00DB3A7D" w:rsidRPr="009737B5" w:rsidRDefault="00DB3A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165)</w:t>
            </w:r>
          </w:p>
        </w:tc>
      </w:tr>
      <w:tr w:rsidR="00762872" w:rsidRPr="00402720" w14:paraId="62D522C6" w14:textId="77777777" w:rsidTr="00C446E3">
        <w:trPr>
          <w:trHeight w:val="20"/>
        </w:trPr>
        <w:tc>
          <w:tcPr>
            <w:tcW w:w="4253" w:type="dxa"/>
            <w:noWrap/>
          </w:tcPr>
          <w:p w14:paraId="31F5AA5B" w14:textId="77777777" w:rsidR="00762872" w:rsidRPr="009737B5" w:rsidRDefault="00762872" w:rsidP="000B6CC4">
            <w:pPr>
              <w:keepNext/>
              <w:autoSpaceDE w:val="0"/>
              <w:autoSpaceDN w:val="0"/>
              <w:adjustRightInd w:val="0"/>
              <w:spacing w:after="0" w:line="240" w:lineRule="auto"/>
              <w:ind w:left="567"/>
              <w:rPr>
                <w:rFonts w:ascii="Times New Roman" w:hAnsi="Times New Roman" w:cs="Times New Roman"/>
                <w:lang w:val="de-DE"/>
              </w:rPr>
            </w:pPr>
            <w:r w:rsidRPr="009737B5">
              <w:rPr>
                <w:rFonts w:ascii="Times New Roman" w:hAnsi="Times New Roman" w:cs="Times New Roman"/>
                <w:lang w:val="de-DE"/>
              </w:rPr>
              <w:t>Medianes PFS (Monate)</w:t>
            </w:r>
          </w:p>
        </w:tc>
        <w:tc>
          <w:tcPr>
            <w:tcW w:w="1417" w:type="dxa"/>
            <w:noWrap/>
          </w:tcPr>
          <w:p w14:paraId="38952606" w14:textId="77777777" w:rsidR="00762872" w:rsidRPr="009737B5" w:rsidRDefault="00B816FA"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9,5</w:t>
            </w:r>
          </w:p>
        </w:tc>
        <w:tc>
          <w:tcPr>
            <w:tcW w:w="1701" w:type="dxa"/>
            <w:noWrap/>
          </w:tcPr>
          <w:p w14:paraId="4CE07A2A" w14:textId="77777777" w:rsidR="00762872" w:rsidRPr="009737B5" w:rsidRDefault="00B816FA"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10,4</w:t>
            </w:r>
          </w:p>
        </w:tc>
        <w:tc>
          <w:tcPr>
            <w:tcW w:w="1701" w:type="dxa"/>
            <w:noWrap/>
          </w:tcPr>
          <w:p w14:paraId="5ABB69C2" w14:textId="77777777" w:rsidR="00762872" w:rsidRPr="009737B5" w:rsidRDefault="00B816FA"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12,8</w:t>
            </w:r>
          </w:p>
        </w:tc>
      </w:tr>
      <w:tr w:rsidR="00C1087D" w:rsidRPr="00402720" w14:paraId="2889DB02" w14:textId="77777777" w:rsidTr="00C446E3">
        <w:trPr>
          <w:trHeight w:val="20"/>
        </w:trPr>
        <w:tc>
          <w:tcPr>
            <w:tcW w:w="4253" w:type="dxa"/>
            <w:noWrap/>
          </w:tcPr>
          <w:p w14:paraId="25A3E3F7" w14:textId="2437EA06" w:rsidR="00C1087D" w:rsidRPr="009737B5" w:rsidRDefault="00C1087D" w:rsidP="000B6CC4">
            <w:pPr>
              <w:keepNext/>
              <w:autoSpaceDE w:val="0"/>
              <w:autoSpaceDN w:val="0"/>
              <w:adjustRightInd w:val="0"/>
              <w:spacing w:after="0" w:line="240" w:lineRule="auto"/>
              <w:ind w:left="567"/>
              <w:rPr>
                <w:rFonts w:ascii="Times New Roman" w:hAnsi="Times New Roman" w:cs="Times New Roman"/>
                <w:lang w:val="de-DE"/>
              </w:rPr>
            </w:pPr>
            <w:r w:rsidRPr="009737B5">
              <w:rPr>
                <w:rFonts w:ascii="Times New Roman" w:hAnsi="Times New Roman" w:cs="Times New Roman"/>
                <w:lang w:val="de-DE"/>
              </w:rPr>
              <w:t xml:space="preserve">Hazard </w:t>
            </w:r>
            <w:r w:rsidR="007866D7" w:rsidRPr="009737B5">
              <w:rPr>
                <w:rFonts w:ascii="Times New Roman" w:hAnsi="Times New Roman" w:cs="Times New Roman"/>
                <w:lang w:val="de-DE"/>
              </w:rPr>
              <w:t>R</w:t>
            </w:r>
            <w:r w:rsidRPr="009737B5">
              <w:rPr>
                <w:rFonts w:ascii="Times New Roman" w:hAnsi="Times New Roman" w:cs="Times New Roman"/>
                <w:lang w:val="de-DE"/>
              </w:rPr>
              <w:t>atio (95</w:t>
            </w:r>
            <w:r w:rsidR="00905FDC">
              <w:rPr>
                <w:rFonts w:ascii="Times New Roman" w:hAnsi="Times New Roman" w:cs="Times New Roman"/>
                <w:lang w:val="de-DE"/>
              </w:rPr>
              <w:t> </w:t>
            </w:r>
            <w:r w:rsidR="00322E40" w:rsidRPr="009737B5">
              <w:rPr>
                <w:rFonts w:ascii="Times New Roman" w:hAnsi="Times New Roman" w:cs="Times New Roman"/>
                <w:lang w:val="de-DE"/>
              </w:rPr>
              <w:t>%</w:t>
            </w:r>
            <w:r w:rsidR="00905FDC">
              <w:rPr>
                <w:rFonts w:ascii="Times New Roman" w:hAnsi="Times New Roman" w:cs="Times New Roman"/>
                <w:lang w:val="de-DE"/>
              </w:rPr>
              <w:t> </w:t>
            </w:r>
            <w:r w:rsidR="00B93173" w:rsidRPr="009737B5">
              <w:rPr>
                <w:rFonts w:ascii="Times New Roman" w:hAnsi="Times New Roman" w:cs="Times New Roman"/>
                <w:lang w:val="de-DE"/>
              </w:rPr>
              <w:t>KI</w:t>
            </w:r>
            <w:r w:rsidRPr="009737B5">
              <w:rPr>
                <w:rFonts w:ascii="Times New Roman" w:hAnsi="Times New Roman" w:cs="Times New Roman"/>
                <w:lang w:val="de-DE"/>
              </w:rPr>
              <w:t>)</w:t>
            </w:r>
            <w:r w:rsidRPr="009737B5">
              <w:rPr>
                <w:rFonts w:ascii="Times New Roman" w:hAnsi="Times New Roman" w:cs="Times New Roman"/>
                <w:vertAlign w:val="superscript"/>
                <w:lang w:val="de-DE"/>
              </w:rPr>
              <w:t>4</w:t>
            </w:r>
          </w:p>
        </w:tc>
        <w:tc>
          <w:tcPr>
            <w:tcW w:w="1417" w:type="dxa"/>
            <w:noWrap/>
          </w:tcPr>
          <w:p w14:paraId="1B6D5300"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p>
        </w:tc>
        <w:tc>
          <w:tcPr>
            <w:tcW w:w="1701" w:type="dxa"/>
            <w:noWrap/>
          </w:tcPr>
          <w:p w14:paraId="4C15D96D"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0,90</w:t>
            </w:r>
          </w:p>
          <w:p w14:paraId="7D430DCD"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(0,70</w:t>
            </w:r>
            <w:r w:rsidR="00DB3A7D" w:rsidRPr="009737B5">
              <w:rPr>
                <w:rFonts w:ascii="Times New Roman" w:hAnsi="Times New Roman" w:cs="Times New Roman"/>
                <w:lang w:val="de-DE"/>
              </w:rPr>
              <w:t>;</w:t>
            </w:r>
            <w:r w:rsidRPr="009737B5">
              <w:rPr>
                <w:rFonts w:ascii="Times New Roman" w:hAnsi="Times New Roman" w:cs="Times New Roman"/>
                <w:lang w:val="de-DE"/>
              </w:rPr>
              <w:t xml:space="preserve"> 1,16)</w:t>
            </w:r>
          </w:p>
        </w:tc>
        <w:tc>
          <w:tcPr>
            <w:tcW w:w="1701" w:type="dxa"/>
            <w:noWrap/>
          </w:tcPr>
          <w:p w14:paraId="10755E32"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0,64</w:t>
            </w:r>
          </w:p>
          <w:p w14:paraId="01AB6D39" w14:textId="77777777" w:rsidR="00C1087D" w:rsidRPr="009737B5" w:rsidRDefault="00C1087D"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(0,49</w:t>
            </w:r>
            <w:r w:rsidR="00DB3A7D" w:rsidRPr="009737B5">
              <w:rPr>
                <w:rFonts w:ascii="Times New Roman" w:hAnsi="Times New Roman" w:cs="Times New Roman"/>
                <w:lang w:val="de-DE"/>
              </w:rPr>
              <w:t>;</w:t>
            </w:r>
            <w:r w:rsidRPr="009737B5">
              <w:rPr>
                <w:rFonts w:ascii="Times New Roman" w:hAnsi="Times New Roman" w:cs="Times New Roman"/>
                <w:lang w:val="de-DE"/>
              </w:rPr>
              <w:t xml:space="preserve"> 0,82)</w:t>
            </w:r>
          </w:p>
        </w:tc>
      </w:tr>
    </w:tbl>
    <w:p w14:paraId="4BA39127" w14:textId="1019A52D" w:rsidR="00010E8C" w:rsidRPr="009737B5" w:rsidRDefault="00010E8C"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1</w:t>
      </w:r>
      <w:r w:rsidRPr="009737B5">
        <w:rPr>
          <w:rFonts w:ascii="Times New Roman" w:hAnsi="Times New Roman" w:cs="Times New Roman"/>
          <w:sz w:val="20"/>
          <w:szCs w:val="20"/>
          <w:lang w:val="de-DE"/>
        </w:rPr>
        <w:tab/>
        <w:t>PFS-Analyse gemäß Bewertung durch den Prüfarzt, wie im GOG-Prüfplan festgelegt (nicht zensiert hinsichtlich CA-125-Progression und einer nicht im Protokoll festgelegten Behandlung [</w:t>
      </w:r>
      <w:r w:rsidRPr="009737B5">
        <w:rPr>
          <w:rFonts w:ascii="Times New Roman" w:hAnsi="Times New Roman" w:cs="Times New Roman"/>
          <w:i/>
          <w:sz w:val="20"/>
          <w:szCs w:val="20"/>
          <w:lang w:val="de-DE"/>
        </w:rPr>
        <w:t>non-protocol therapy</w:t>
      </w:r>
      <w:r w:rsidRPr="009737B5">
        <w:rPr>
          <w:rFonts w:ascii="Times New Roman" w:hAnsi="Times New Roman" w:cs="Times New Roman"/>
          <w:sz w:val="20"/>
          <w:szCs w:val="20"/>
          <w:lang w:val="de-DE"/>
        </w:rPr>
        <w:t>; NPT] vor Krankheitsprogression), mit Stichtag 25.</w:t>
      </w:r>
      <w:r w:rsidR="009B6D2A">
        <w:rPr>
          <w:rFonts w:ascii="Times New Roman" w:hAnsi="Times New Roman" w:cs="Times New Roman"/>
          <w:sz w:val="20"/>
          <w:szCs w:val="20"/>
          <w:lang w:val="de-DE"/>
        </w:rPr>
        <w:t> </w:t>
      </w:r>
      <w:r w:rsidRPr="009737B5">
        <w:rPr>
          <w:rFonts w:ascii="Times New Roman" w:hAnsi="Times New Roman" w:cs="Times New Roman"/>
          <w:sz w:val="20"/>
          <w:szCs w:val="20"/>
          <w:lang w:val="de-DE"/>
        </w:rPr>
        <w:t>Februar 2010.</w:t>
      </w:r>
    </w:p>
    <w:p w14:paraId="5D046334" w14:textId="77777777" w:rsidR="00010E8C" w:rsidRPr="009737B5" w:rsidRDefault="00010E8C"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2</w:t>
      </w:r>
      <w:r w:rsidR="00C1087D" w:rsidRPr="009737B5">
        <w:rPr>
          <w:rFonts w:ascii="Times New Roman" w:hAnsi="Times New Roman" w:cs="Times New Roman"/>
          <w:sz w:val="20"/>
          <w:szCs w:val="20"/>
          <w:lang w:val="de-DE"/>
        </w:rPr>
        <w:tab/>
      </w:r>
      <w:r w:rsidRPr="009737B5">
        <w:rPr>
          <w:rFonts w:ascii="Times New Roman" w:hAnsi="Times New Roman" w:cs="Times New Roman"/>
          <w:sz w:val="20"/>
          <w:szCs w:val="20"/>
          <w:lang w:val="de-DE"/>
        </w:rPr>
        <w:t>Per Definition mit großem postoperativem Tumorrest.</w:t>
      </w:r>
    </w:p>
    <w:p w14:paraId="0C5E9A29" w14:textId="42E26BAA" w:rsidR="00010E8C" w:rsidRPr="009737B5" w:rsidRDefault="00010E8C"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3</w:t>
      </w:r>
      <w:r w:rsidR="00C1087D" w:rsidRPr="009737B5">
        <w:rPr>
          <w:rFonts w:ascii="Times New Roman" w:hAnsi="Times New Roman" w:cs="Times New Roman"/>
          <w:sz w:val="20"/>
          <w:szCs w:val="20"/>
          <w:lang w:val="de-DE"/>
        </w:rPr>
        <w:tab/>
      </w:r>
      <w:r w:rsidRPr="009737B5">
        <w:rPr>
          <w:rFonts w:ascii="Times New Roman" w:hAnsi="Times New Roman" w:cs="Times New Roman"/>
          <w:sz w:val="20"/>
          <w:szCs w:val="20"/>
          <w:lang w:val="de-DE"/>
        </w:rPr>
        <w:t>3,7</w:t>
      </w:r>
      <w:r w:rsidR="00322E40" w:rsidRPr="009737B5">
        <w:rPr>
          <w:rFonts w:ascii="Times New Roman" w:hAnsi="Times New Roman" w:cs="Times New Roman"/>
          <w:sz w:val="20"/>
          <w:szCs w:val="20"/>
          <w:lang w:val="de-DE"/>
        </w:rPr>
        <w:t> %</w:t>
      </w:r>
      <w:r w:rsidRPr="009737B5">
        <w:rPr>
          <w:rFonts w:ascii="Times New Roman" w:hAnsi="Times New Roman" w:cs="Times New Roman"/>
          <w:sz w:val="20"/>
          <w:szCs w:val="20"/>
          <w:lang w:val="de-DE"/>
        </w:rPr>
        <w:t xml:space="preserve"> aller randomisierten Patienten befanden sich im FIGO-Stadium</w:t>
      </w:r>
      <w:r w:rsidR="009B6D2A">
        <w:rPr>
          <w:rFonts w:ascii="Times New Roman" w:hAnsi="Times New Roman" w:cs="Times New Roman"/>
          <w:sz w:val="20"/>
          <w:szCs w:val="20"/>
          <w:lang w:val="de-DE"/>
        </w:rPr>
        <w:t> </w:t>
      </w:r>
      <w:r w:rsidRPr="009737B5">
        <w:rPr>
          <w:rFonts w:ascii="Times New Roman" w:hAnsi="Times New Roman" w:cs="Times New Roman"/>
          <w:sz w:val="20"/>
          <w:szCs w:val="20"/>
          <w:lang w:val="de-DE"/>
        </w:rPr>
        <w:t>IIIB.</w:t>
      </w:r>
    </w:p>
    <w:p w14:paraId="244CC953" w14:textId="77777777" w:rsidR="00010E8C" w:rsidRPr="009737B5" w:rsidRDefault="00010E8C"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4</w:t>
      </w:r>
      <w:r w:rsidRPr="009737B5">
        <w:rPr>
          <w:rFonts w:ascii="Times New Roman" w:hAnsi="Times New Roman" w:cs="Times New Roman"/>
          <w:sz w:val="20"/>
          <w:szCs w:val="20"/>
          <w:lang w:val="de-DE"/>
        </w:rPr>
        <w:tab/>
        <w:t>Relativ zum Kontrollarm.</w:t>
      </w:r>
    </w:p>
    <w:p w14:paraId="30D431FF" w14:textId="77777777" w:rsidR="00010E8C" w:rsidRPr="009737B5" w:rsidRDefault="00010E8C" w:rsidP="005F4D08">
      <w:pPr>
        <w:suppressAutoHyphens/>
        <w:spacing w:after="0" w:line="240" w:lineRule="auto"/>
        <w:rPr>
          <w:rFonts w:ascii="Times New Roman" w:hAnsi="Times New Roman" w:cs="Times New Roman"/>
          <w:lang w:val="de-DE"/>
        </w:rPr>
      </w:pPr>
    </w:p>
    <w:p w14:paraId="578EC9FE" w14:textId="77777777" w:rsidR="00010E8C" w:rsidRPr="009737B5" w:rsidRDefault="00010E8C" w:rsidP="00EE1811">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BO17707 (ICON7)</w:t>
      </w:r>
    </w:p>
    <w:p w14:paraId="1BE8049F" w14:textId="1933E954"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der Studie BO17707 handelte es sich um eine zweiarmige, multizentrische, randomisierte, kontrollierte, offene Studie der Phase</w:t>
      </w:r>
      <w:r w:rsidR="009B6D2A">
        <w:rPr>
          <w:rFonts w:ascii="Times New Roman" w:hAnsi="Times New Roman" w:cs="Times New Roman"/>
          <w:lang w:val="de-DE"/>
        </w:rPr>
        <w:t> </w:t>
      </w:r>
      <w:r w:rsidRPr="009737B5">
        <w:rPr>
          <w:rFonts w:ascii="Times New Roman" w:hAnsi="Times New Roman" w:cs="Times New Roman"/>
          <w:lang w:val="de-DE"/>
        </w:rPr>
        <w:t xml:space="preserve">III, in der die Wirkung der Zugabe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zu Carboplatin plus Paclitaxel bei Patienten mit epithelialem Ovarialkarzinom, Eileiterkarzinom oder primärem</w:t>
      </w:r>
      <w:r w:rsidR="00BC4F4D" w:rsidRPr="009737B5">
        <w:rPr>
          <w:rFonts w:ascii="Times New Roman" w:hAnsi="Times New Roman" w:cs="Times New Roman"/>
          <w:lang w:val="de-DE"/>
        </w:rPr>
        <w:t xml:space="preserve"> </w:t>
      </w:r>
      <w:r w:rsidRPr="009737B5">
        <w:rPr>
          <w:rFonts w:ascii="Times New Roman" w:hAnsi="Times New Roman" w:cs="Times New Roman"/>
          <w:lang w:val="de-DE"/>
        </w:rPr>
        <w:t>Peritonealkarzinom im FIGO-Stadium</w:t>
      </w:r>
      <w:r w:rsidR="009B6D2A">
        <w:rPr>
          <w:rFonts w:ascii="Times New Roman" w:hAnsi="Times New Roman" w:cs="Times New Roman"/>
          <w:lang w:val="de-DE"/>
        </w:rPr>
        <w:t> </w:t>
      </w:r>
      <w:r w:rsidRPr="009737B5">
        <w:rPr>
          <w:rFonts w:ascii="Times New Roman" w:hAnsi="Times New Roman" w:cs="Times New Roman"/>
          <w:lang w:val="de-DE"/>
        </w:rPr>
        <w:t>I oder IIA (Grad</w:t>
      </w:r>
      <w:r w:rsidR="009510FB">
        <w:rPr>
          <w:rFonts w:ascii="Times New Roman" w:hAnsi="Times New Roman" w:cs="Times New Roman"/>
          <w:lang w:val="de-DE"/>
        </w:rPr>
        <w:t> </w:t>
      </w:r>
      <w:r w:rsidRPr="009737B5">
        <w:rPr>
          <w:rFonts w:ascii="Times New Roman" w:hAnsi="Times New Roman" w:cs="Times New Roman"/>
          <w:lang w:val="de-DE"/>
        </w:rPr>
        <w:t>3 oder nur Klarzell-Histologie; n</w:t>
      </w:r>
      <w:r w:rsidR="0094399B">
        <w:rPr>
          <w:rFonts w:ascii="Times New Roman" w:hAnsi="Times New Roman" w:cs="Times New Roman"/>
          <w:lang w:val="de-DE"/>
        </w:rPr>
        <w:t> </w:t>
      </w:r>
      <w:r w:rsidRPr="009737B5">
        <w:rPr>
          <w:rFonts w:ascii="Times New Roman" w:hAnsi="Times New Roman" w:cs="Times New Roman"/>
          <w:lang w:val="de-DE"/>
        </w:rPr>
        <w:t>=</w:t>
      </w:r>
      <w:r w:rsidR="0094399B">
        <w:rPr>
          <w:rFonts w:ascii="Times New Roman" w:hAnsi="Times New Roman" w:cs="Times New Roman"/>
          <w:lang w:val="de-DE"/>
        </w:rPr>
        <w:t> </w:t>
      </w:r>
      <w:r w:rsidRPr="009737B5">
        <w:rPr>
          <w:rFonts w:ascii="Times New Roman" w:hAnsi="Times New Roman" w:cs="Times New Roman"/>
          <w:lang w:val="de-DE"/>
        </w:rPr>
        <w:t>142) oder FIGO-Stadium</w:t>
      </w:r>
      <w:r w:rsidR="009B6D2A">
        <w:rPr>
          <w:rFonts w:ascii="Times New Roman" w:hAnsi="Times New Roman" w:cs="Times New Roman"/>
          <w:lang w:val="de-DE"/>
        </w:rPr>
        <w:t> </w:t>
      </w:r>
      <w:r w:rsidRPr="009737B5">
        <w:rPr>
          <w:rFonts w:ascii="Times New Roman" w:hAnsi="Times New Roman" w:cs="Times New Roman"/>
          <w:lang w:val="de-DE"/>
        </w:rPr>
        <w:t>IIB - IV (alle Grade und histologische Typen, n</w:t>
      </w:r>
      <w:r w:rsidR="009B6D2A">
        <w:rPr>
          <w:rFonts w:ascii="Times New Roman" w:hAnsi="Times New Roman" w:cs="Times New Roman"/>
          <w:lang w:val="de-DE"/>
        </w:rPr>
        <w:t> </w:t>
      </w:r>
      <w:r w:rsidRPr="009737B5">
        <w:rPr>
          <w:rFonts w:ascii="Times New Roman" w:hAnsi="Times New Roman" w:cs="Times New Roman"/>
          <w:lang w:val="de-DE"/>
        </w:rPr>
        <w:t>=</w:t>
      </w:r>
      <w:r w:rsidR="009B6D2A">
        <w:rPr>
          <w:rFonts w:ascii="Times New Roman" w:hAnsi="Times New Roman" w:cs="Times New Roman"/>
          <w:lang w:val="de-DE"/>
        </w:rPr>
        <w:t> </w:t>
      </w:r>
      <w:r w:rsidRPr="009737B5">
        <w:rPr>
          <w:rFonts w:ascii="Times New Roman" w:hAnsi="Times New Roman" w:cs="Times New Roman"/>
          <w:lang w:val="de-DE"/>
        </w:rPr>
        <w:t>1</w:t>
      </w:r>
      <w:r w:rsidR="00CA2B95">
        <w:rPr>
          <w:rFonts w:ascii="Times New Roman" w:hAnsi="Times New Roman" w:cs="Times New Roman"/>
          <w:lang w:val="de-DE"/>
        </w:rPr>
        <w:t> </w:t>
      </w:r>
      <w:r w:rsidRPr="009737B5">
        <w:rPr>
          <w:rFonts w:ascii="Times New Roman" w:hAnsi="Times New Roman" w:cs="Times New Roman"/>
          <w:lang w:val="de-DE"/>
        </w:rPr>
        <w:t>386) nach einer Operation untersucht wurde (NCI-CTCAE v.3). In dieser Studie wurde die FIGO-Klassifikation von 1988 verwendet.</w:t>
      </w:r>
    </w:p>
    <w:p w14:paraId="2F05F818" w14:textId="77777777" w:rsidR="00010E8C" w:rsidRPr="009737B5" w:rsidRDefault="00010E8C" w:rsidP="005F4D08">
      <w:pPr>
        <w:suppressAutoHyphens/>
        <w:spacing w:after="0" w:line="240" w:lineRule="auto"/>
        <w:rPr>
          <w:rFonts w:ascii="Times New Roman" w:hAnsi="Times New Roman" w:cs="Times New Roman"/>
          <w:lang w:val="de-DE"/>
        </w:rPr>
      </w:pPr>
    </w:p>
    <w:p w14:paraId="130B6A44" w14:textId="754228C2"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Patienten, die zuvor bereits eine Bevacizumab-Therapie oder eine systemische Ovarialkarzinom</w:t>
      </w:r>
      <w:r w:rsidR="00F9336A" w:rsidRPr="009737B5">
        <w:rPr>
          <w:rFonts w:ascii="Times New Roman" w:hAnsi="Times New Roman" w:cs="Times New Roman"/>
          <w:lang w:val="de-DE"/>
        </w:rPr>
        <w:t>-</w:t>
      </w:r>
      <w:r w:rsidRPr="009737B5">
        <w:rPr>
          <w:rFonts w:ascii="Times New Roman" w:hAnsi="Times New Roman" w:cs="Times New Roman"/>
          <w:lang w:val="de-DE"/>
        </w:rPr>
        <w:t>Behandlung (z.</w:t>
      </w:r>
      <w:r w:rsidR="00905FDC">
        <w:rPr>
          <w:rFonts w:ascii="Times New Roman" w:hAnsi="Times New Roman" w:cs="Times New Roman"/>
          <w:lang w:val="de-DE"/>
        </w:rPr>
        <w:t> </w:t>
      </w:r>
      <w:r w:rsidRPr="009737B5">
        <w:rPr>
          <w:rFonts w:ascii="Times New Roman" w:hAnsi="Times New Roman" w:cs="Times New Roman"/>
          <w:lang w:val="de-DE"/>
        </w:rPr>
        <w:t>B. Chemotherapie, monoklonale Antikörper-Therapie, Tyrosinkinaseinhibitor</w:t>
      </w:r>
      <w:r w:rsidR="00F9336A" w:rsidRPr="009737B5">
        <w:rPr>
          <w:rFonts w:ascii="Times New Roman" w:hAnsi="Times New Roman" w:cs="Times New Roman"/>
          <w:lang w:val="de-DE"/>
        </w:rPr>
        <w:t>-</w:t>
      </w:r>
      <w:r w:rsidRPr="009737B5">
        <w:rPr>
          <w:rFonts w:ascii="Times New Roman" w:hAnsi="Times New Roman" w:cs="Times New Roman"/>
          <w:lang w:val="de-DE"/>
        </w:rPr>
        <w:t>Therapie oder Hormontherapie) oder eine Strahlentherapie des Abdomens oder des Beckens erhalten hatten, wurden von der Studienteilnahme ausgeschlossen.</w:t>
      </w:r>
    </w:p>
    <w:p w14:paraId="37F8795C" w14:textId="77777777" w:rsidR="00010E8C" w:rsidRPr="009737B5" w:rsidRDefault="00010E8C" w:rsidP="005F4D08">
      <w:pPr>
        <w:suppressAutoHyphens/>
        <w:spacing w:after="0" w:line="240" w:lineRule="auto"/>
        <w:rPr>
          <w:rFonts w:ascii="Times New Roman" w:hAnsi="Times New Roman" w:cs="Times New Roman"/>
          <w:lang w:val="de-DE"/>
        </w:rPr>
      </w:pPr>
    </w:p>
    <w:p w14:paraId="5254A346" w14:textId="778AF415" w:rsidR="00010E8C" w:rsidRPr="009737B5" w:rsidRDefault="00010E8C" w:rsidP="00EE1811">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Insgesamt wurden 1</w:t>
      </w:r>
      <w:r w:rsidR="00CA2B95">
        <w:rPr>
          <w:rFonts w:ascii="Times New Roman" w:hAnsi="Times New Roman" w:cs="Times New Roman"/>
          <w:lang w:val="de-DE"/>
        </w:rPr>
        <w:t> </w:t>
      </w:r>
      <w:r w:rsidRPr="009737B5">
        <w:rPr>
          <w:rFonts w:ascii="Times New Roman" w:hAnsi="Times New Roman" w:cs="Times New Roman"/>
          <w:lang w:val="de-DE"/>
        </w:rPr>
        <w:t>528</w:t>
      </w:r>
      <w:r w:rsidR="009B6D2A">
        <w:rPr>
          <w:rFonts w:ascii="Times New Roman" w:hAnsi="Times New Roman" w:cs="Times New Roman"/>
          <w:lang w:val="de-DE"/>
        </w:rPr>
        <w:t> </w:t>
      </w:r>
      <w:r w:rsidRPr="009737B5">
        <w:rPr>
          <w:rFonts w:ascii="Times New Roman" w:hAnsi="Times New Roman" w:cs="Times New Roman"/>
          <w:lang w:val="de-DE"/>
        </w:rPr>
        <w:t>Patienten im Verhältnis</w:t>
      </w:r>
      <w:r w:rsidR="009B6D2A">
        <w:rPr>
          <w:rFonts w:ascii="Times New Roman" w:hAnsi="Times New Roman" w:cs="Times New Roman"/>
          <w:lang w:val="de-DE"/>
        </w:rPr>
        <w:t> </w:t>
      </w:r>
      <w:r w:rsidRPr="009737B5">
        <w:rPr>
          <w:rFonts w:ascii="Times New Roman" w:hAnsi="Times New Roman" w:cs="Times New Roman"/>
          <w:lang w:val="de-DE"/>
        </w:rPr>
        <w:t>1:1 einem der zwei folgenden Studienarme randomisiert zugeteilt:</w:t>
      </w:r>
    </w:p>
    <w:p w14:paraId="1408A101" w14:textId="77777777" w:rsidR="00010E8C" w:rsidRPr="009737B5" w:rsidRDefault="00010E8C" w:rsidP="00EE1811">
      <w:pPr>
        <w:keepNext/>
        <w:suppressAutoHyphens/>
        <w:spacing w:after="0" w:line="240" w:lineRule="auto"/>
        <w:rPr>
          <w:rFonts w:ascii="Times New Roman" w:hAnsi="Times New Roman" w:cs="Times New Roman"/>
          <w:lang w:val="de-DE"/>
        </w:rPr>
      </w:pPr>
    </w:p>
    <w:p w14:paraId="2A155E69" w14:textId="63C549C3" w:rsidR="00010E8C" w:rsidRPr="009737B5" w:rsidRDefault="00010E8C" w:rsidP="00A94D06">
      <w:pPr>
        <w:keepNext/>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CP-Arm: Carboplatin (AUC</w:t>
      </w:r>
      <w:r w:rsidR="009B6D2A">
        <w:rPr>
          <w:rFonts w:ascii="Times New Roman" w:hAnsi="Times New Roman" w:cs="Times New Roman"/>
          <w:lang w:val="de-DE"/>
        </w:rPr>
        <w:t xml:space="preserve"> </w:t>
      </w:r>
      <w:r w:rsidRPr="009737B5">
        <w:rPr>
          <w:rFonts w:ascii="Times New Roman" w:hAnsi="Times New Roman" w:cs="Times New Roman"/>
          <w:lang w:val="de-DE"/>
        </w:rPr>
        <w:t>6) und Paclitaxel (175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über sechs 3-wöchige Zyklen.</w:t>
      </w:r>
    </w:p>
    <w:p w14:paraId="10D39AB8" w14:textId="3D67FD5E" w:rsidR="00010E8C" w:rsidRPr="009737B5" w:rsidRDefault="00010E8C" w:rsidP="00BC4F4D">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CPB7,5+-Arm: Carboplatin (AUC</w:t>
      </w:r>
      <w:r w:rsidR="009B6D2A">
        <w:rPr>
          <w:rFonts w:ascii="Times New Roman" w:hAnsi="Times New Roman" w:cs="Times New Roman"/>
          <w:lang w:val="de-DE"/>
        </w:rPr>
        <w:t> </w:t>
      </w:r>
      <w:r w:rsidRPr="009737B5">
        <w:rPr>
          <w:rFonts w:ascii="Times New Roman" w:hAnsi="Times New Roman" w:cs="Times New Roman"/>
          <w:lang w:val="de-DE"/>
        </w:rPr>
        <w:t>6) und Paclitaxel (175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über sechs 3-wöchige Zyklen plus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(7,5</w:t>
      </w:r>
      <w:r w:rsidR="00AB26B9" w:rsidRPr="009737B5">
        <w:rPr>
          <w:rFonts w:ascii="Times New Roman" w:hAnsi="Times New Roman" w:cs="Times New Roman"/>
          <w:lang w:val="de-DE"/>
        </w:rPr>
        <w:t> mg</w:t>
      </w:r>
      <w:r w:rsidRPr="009737B5">
        <w:rPr>
          <w:rFonts w:ascii="Times New Roman" w:hAnsi="Times New Roman" w:cs="Times New Roman"/>
          <w:lang w:val="de-DE"/>
        </w:rPr>
        <w:t>/kg einmal alle drei Wochen) bis zu 12</w:t>
      </w:r>
      <w:r w:rsidR="009B6D2A">
        <w:rPr>
          <w:rFonts w:ascii="Times New Roman" w:hAnsi="Times New Roman" w:cs="Times New Roman"/>
          <w:lang w:val="de-DE"/>
        </w:rPr>
        <w:t> </w:t>
      </w:r>
      <w:r w:rsidRPr="009737B5">
        <w:rPr>
          <w:rFonts w:ascii="Times New Roman" w:hAnsi="Times New Roman" w:cs="Times New Roman"/>
          <w:lang w:val="de-DE"/>
        </w:rPr>
        <w:t>Monate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wurde im zweiten Chemotherapie-Zyklus begonnen, wenn die Behandlung innerhalb von 4</w:t>
      </w:r>
      <w:r w:rsidR="00D5199D">
        <w:rPr>
          <w:rFonts w:ascii="Times New Roman" w:hAnsi="Times New Roman" w:cs="Times New Roman"/>
          <w:lang w:val="de-DE"/>
        </w:rPr>
        <w:t> </w:t>
      </w:r>
      <w:r w:rsidRPr="009737B5">
        <w:rPr>
          <w:rFonts w:ascii="Times New Roman" w:hAnsi="Times New Roman" w:cs="Times New Roman"/>
          <w:lang w:val="de-DE"/>
        </w:rPr>
        <w:t>Wochen nach einer Operation begonnen wurde, oder im 1.</w:t>
      </w:r>
      <w:r w:rsidR="009B6D2A">
        <w:rPr>
          <w:rFonts w:ascii="Times New Roman" w:hAnsi="Times New Roman" w:cs="Times New Roman"/>
          <w:lang w:val="de-DE"/>
        </w:rPr>
        <w:t> </w:t>
      </w:r>
      <w:r w:rsidRPr="009737B5">
        <w:rPr>
          <w:rFonts w:ascii="Times New Roman" w:hAnsi="Times New Roman" w:cs="Times New Roman"/>
          <w:lang w:val="de-DE"/>
        </w:rPr>
        <w:t>Zyklus, wenn die Behandlung später als 4</w:t>
      </w:r>
      <w:r w:rsidR="009B6D2A">
        <w:rPr>
          <w:rFonts w:ascii="Times New Roman" w:hAnsi="Times New Roman" w:cs="Times New Roman"/>
          <w:lang w:val="de-DE"/>
        </w:rPr>
        <w:t> </w:t>
      </w:r>
      <w:r w:rsidRPr="009737B5">
        <w:rPr>
          <w:rFonts w:ascii="Times New Roman" w:hAnsi="Times New Roman" w:cs="Times New Roman"/>
          <w:lang w:val="de-DE"/>
        </w:rPr>
        <w:t>Wochen nach einer Operation begonnen wurde).</w:t>
      </w:r>
    </w:p>
    <w:p w14:paraId="20E33DA4" w14:textId="77777777" w:rsidR="00010E8C" w:rsidRPr="009737B5" w:rsidRDefault="00010E8C" w:rsidP="005F4D08">
      <w:pPr>
        <w:suppressAutoHyphens/>
        <w:spacing w:after="0" w:line="240" w:lineRule="auto"/>
        <w:rPr>
          <w:rFonts w:ascii="Times New Roman" w:hAnsi="Times New Roman" w:cs="Times New Roman"/>
          <w:lang w:val="de-DE"/>
        </w:rPr>
      </w:pPr>
    </w:p>
    <w:p w14:paraId="48C08A47" w14:textId="076F1DE2"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Mehrzahl der in die Studie eingeschlossenen Patienten waren Weiße (96</w:t>
      </w:r>
      <w:r w:rsidR="00322E40" w:rsidRPr="009737B5">
        <w:rPr>
          <w:rFonts w:ascii="Times New Roman" w:hAnsi="Times New Roman" w:cs="Times New Roman"/>
          <w:lang w:val="de-DE"/>
        </w:rPr>
        <w:t> %</w:t>
      </w:r>
      <w:r w:rsidRPr="009737B5">
        <w:rPr>
          <w:rFonts w:ascii="Times New Roman" w:hAnsi="Times New Roman" w:cs="Times New Roman"/>
          <w:lang w:val="de-DE"/>
        </w:rPr>
        <w:t>); das Alter betrug in beiden Behandlungsarmen im Median 57</w:t>
      </w:r>
      <w:r w:rsidR="0091668D" w:rsidRPr="009737B5">
        <w:rPr>
          <w:rFonts w:ascii="Times New Roman" w:hAnsi="Times New Roman" w:cs="Times New Roman"/>
          <w:lang w:val="de-DE"/>
        </w:rPr>
        <w:t> </w:t>
      </w:r>
      <w:r w:rsidRPr="009737B5">
        <w:rPr>
          <w:rFonts w:ascii="Times New Roman" w:hAnsi="Times New Roman" w:cs="Times New Roman"/>
          <w:lang w:val="de-DE"/>
        </w:rPr>
        <w:t>Jahre; 25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in jedem Behandlungsarm waren</w:t>
      </w:r>
      <w:r w:rsidR="00385004" w:rsidRPr="009737B5">
        <w:rPr>
          <w:rFonts w:ascii="Times New Roman" w:hAnsi="Times New Roman" w:cs="Times New Roman"/>
          <w:lang w:val="de-DE"/>
        </w:rPr>
        <w:t xml:space="preserve"> </w:t>
      </w:r>
      <w:r w:rsidRPr="009737B5">
        <w:rPr>
          <w:rFonts w:ascii="Times New Roman" w:hAnsi="Times New Roman" w:cs="Times New Roman"/>
          <w:lang w:val="de-DE"/>
        </w:rPr>
        <w:lastRenderedPageBreak/>
        <w:t>65</w:t>
      </w:r>
      <w:r w:rsidR="0091668D" w:rsidRPr="009737B5">
        <w:rPr>
          <w:rFonts w:ascii="Times New Roman" w:hAnsi="Times New Roman" w:cs="Times New Roman"/>
          <w:lang w:val="de-DE"/>
        </w:rPr>
        <w:t> </w:t>
      </w:r>
      <w:r w:rsidRPr="009737B5">
        <w:rPr>
          <w:rFonts w:ascii="Times New Roman" w:hAnsi="Times New Roman" w:cs="Times New Roman"/>
          <w:lang w:val="de-DE"/>
        </w:rPr>
        <w:t>Jahre oder älter. Ca. 50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hatten einen ECOG-Performance-Status (PS) von</w:t>
      </w:r>
      <w:r w:rsidR="009B6D2A">
        <w:rPr>
          <w:rFonts w:ascii="Times New Roman" w:hAnsi="Times New Roman" w:cs="Times New Roman"/>
          <w:lang w:val="de-DE"/>
        </w:rPr>
        <w:t> </w:t>
      </w:r>
      <w:r w:rsidRPr="009737B5">
        <w:rPr>
          <w:rFonts w:ascii="Times New Roman" w:hAnsi="Times New Roman" w:cs="Times New Roman"/>
          <w:lang w:val="de-DE"/>
        </w:rPr>
        <w:t>1, und</w:t>
      </w:r>
      <w:r w:rsidR="00385004" w:rsidRPr="009737B5">
        <w:rPr>
          <w:rFonts w:ascii="Times New Roman" w:hAnsi="Times New Roman" w:cs="Times New Roman"/>
          <w:lang w:val="de-DE"/>
        </w:rPr>
        <w:t xml:space="preserve"> </w:t>
      </w:r>
      <w:r w:rsidRPr="009737B5">
        <w:rPr>
          <w:rFonts w:ascii="Times New Roman" w:hAnsi="Times New Roman" w:cs="Times New Roman"/>
          <w:lang w:val="de-DE"/>
        </w:rPr>
        <w:t>7</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in jedem Behandlungsarm hatten einen ECOG-PS von</w:t>
      </w:r>
      <w:r w:rsidR="009B6D2A">
        <w:rPr>
          <w:rFonts w:ascii="Times New Roman" w:hAnsi="Times New Roman" w:cs="Times New Roman"/>
          <w:lang w:val="de-DE"/>
        </w:rPr>
        <w:t> </w:t>
      </w:r>
      <w:r w:rsidRPr="009737B5">
        <w:rPr>
          <w:rFonts w:ascii="Times New Roman" w:hAnsi="Times New Roman" w:cs="Times New Roman"/>
          <w:lang w:val="de-DE"/>
        </w:rPr>
        <w:t>2. Die Mehrzahl der Patienten hatte ein epitheliales Ovarialkarzinom (87,7</w:t>
      </w:r>
      <w:r w:rsidR="00322E40" w:rsidRPr="009737B5">
        <w:rPr>
          <w:rFonts w:ascii="Times New Roman" w:hAnsi="Times New Roman" w:cs="Times New Roman"/>
          <w:lang w:val="de-DE"/>
        </w:rPr>
        <w:t> %</w:t>
      </w:r>
      <w:r w:rsidRPr="009737B5">
        <w:rPr>
          <w:rFonts w:ascii="Times New Roman" w:hAnsi="Times New Roman" w:cs="Times New Roman"/>
          <w:lang w:val="de-DE"/>
        </w:rPr>
        <w:t>), gefolgt von einem primären</w:t>
      </w:r>
      <w:r w:rsidR="00385004" w:rsidRPr="009737B5">
        <w:rPr>
          <w:rFonts w:ascii="Times New Roman" w:hAnsi="Times New Roman" w:cs="Times New Roman"/>
          <w:lang w:val="de-DE"/>
        </w:rPr>
        <w:t xml:space="preserve"> </w:t>
      </w:r>
      <w:r w:rsidRPr="009737B5">
        <w:rPr>
          <w:rFonts w:ascii="Times New Roman" w:hAnsi="Times New Roman" w:cs="Times New Roman"/>
          <w:lang w:val="de-DE"/>
        </w:rPr>
        <w:t>Peritonealkarzinom (6,9</w:t>
      </w:r>
      <w:r w:rsidR="00322E40" w:rsidRPr="009737B5">
        <w:rPr>
          <w:rFonts w:ascii="Times New Roman" w:hAnsi="Times New Roman" w:cs="Times New Roman"/>
          <w:lang w:val="de-DE"/>
        </w:rPr>
        <w:t> %</w:t>
      </w:r>
      <w:r w:rsidRPr="009737B5">
        <w:rPr>
          <w:rFonts w:ascii="Times New Roman" w:hAnsi="Times New Roman" w:cs="Times New Roman"/>
          <w:lang w:val="de-DE"/>
        </w:rPr>
        <w:t>) und einem Eileiterkarzinom (3,7</w:t>
      </w:r>
      <w:r w:rsidR="00322E40" w:rsidRPr="009737B5">
        <w:rPr>
          <w:rFonts w:ascii="Times New Roman" w:hAnsi="Times New Roman" w:cs="Times New Roman"/>
          <w:lang w:val="de-DE"/>
        </w:rPr>
        <w:t> %</w:t>
      </w:r>
      <w:r w:rsidRPr="009737B5">
        <w:rPr>
          <w:rFonts w:ascii="Times New Roman" w:hAnsi="Times New Roman" w:cs="Times New Roman"/>
          <w:lang w:val="de-DE"/>
        </w:rPr>
        <w:t>), oder eine Mischung dieser drei</w:t>
      </w:r>
      <w:r w:rsidR="00385004" w:rsidRPr="009737B5">
        <w:rPr>
          <w:rFonts w:ascii="Times New Roman" w:hAnsi="Times New Roman" w:cs="Times New Roman"/>
          <w:lang w:val="de-DE"/>
        </w:rPr>
        <w:t xml:space="preserve"> </w:t>
      </w:r>
      <w:r w:rsidRPr="009737B5">
        <w:rPr>
          <w:rFonts w:ascii="Times New Roman" w:hAnsi="Times New Roman" w:cs="Times New Roman"/>
          <w:lang w:val="de-DE"/>
        </w:rPr>
        <w:t>Typen (1,7</w:t>
      </w:r>
      <w:r w:rsidR="00322E40" w:rsidRPr="009737B5">
        <w:rPr>
          <w:rFonts w:ascii="Times New Roman" w:hAnsi="Times New Roman" w:cs="Times New Roman"/>
          <w:lang w:val="de-DE"/>
        </w:rPr>
        <w:t> %</w:t>
      </w:r>
      <w:r w:rsidRPr="009737B5">
        <w:rPr>
          <w:rFonts w:ascii="Times New Roman" w:hAnsi="Times New Roman" w:cs="Times New Roman"/>
          <w:lang w:val="de-DE"/>
        </w:rPr>
        <w:t>). Die meisten Patienten befanden sich im FIGO-Stadium</w:t>
      </w:r>
      <w:r w:rsidR="009B6D2A">
        <w:rPr>
          <w:rFonts w:ascii="Times New Roman" w:hAnsi="Times New Roman" w:cs="Times New Roman"/>
          <w:lang w:val="de-DE"/>
        </w:rPr>
        <w:t> </w:t>
      </w:r>
      <w:r w:rsidRPr="009737B5">
        <w:rPr>
          <w:rFonts w:ascii="Times New Roman" w:hAnsi="Times New Roman" w:cs="Times New Roman"/>
          <w:lang w:val="de-DE"/>
        </w:rPr>
        <w:t>III (68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beiden</w:t>
      </w:r>
      <w:r w:rsidR="00385004" w:rsidRPr="009737B5">
        <w:rPr>
          <w:rFonts w:ascii="Times New Roman" w:hAnsi="Times New Roman" w:cs="Times New Roman"/>
          <w:lang w:val="de-DE"/>
        </w:rPr>
        <w:t xml:space="preserve"> </w:t>
      </w:r>
      <w:r w:rsidRPr="009737B5">
        <w:rPr>
          <w:rFonts w:ascii="Times New Roman" w:hAnsi="Times New Roman" w:cs="Times New Roman"/>
          <w:lang w:val="de-DE"/>
        </w:rPr>
        <w:t>Behandlungsarmen), gefolgt von 13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bzw. 14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FIGO-Stadium</w:t>
      </w:r>
      <w:r w:rsidR="009B6D2A">
        <w:rPr>
          <w:rFonts w:ascii="Times New Roman" w:hAnsi="Times New Roman" w:cs="Times New Roman"/>
          <w:lang w:val="de-DE"/>
        </w:rPr>
        <w:t> </w:t>
      </w:r>
      <w:r w:rsidRPr="009737B5">
        <w:rPr>
          <w:rFonts w:ascii="Times New Roman" w:hAnsi="Times New Roman" w:cs="Times New Roman"/>
          <w:lang w:val="de-DE"/>
        </w:rPr>
        <w:t>IV, 10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bzw. 11</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FIGO-Stadium</w:t>
      </w:r>
      <w:r w:rsidR="009B6D2A">
        <w:rPr>
          <w:rFonts w:ascii="Times New Roman" w:hAnsi="Times New Roman" w:cs="Times New Roman"/>
          <w:lang w:val="de-DE"/>
        </w:rPr>
        <w:t> </w:t>
      </w:r>
      <w:r w:rsidRPr="009737B5">
        <w:rPr>
          <w:rFonts w:ascii="Times New Roman" w:hAnsi="Times New Roman" w:cs="Times New Roman"/>
          <w:lang w:val="de-DE"/>
        </w:rPr>
        <w:t>II und 9</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bzw. 7</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FIGO-Stadium</w:t>
      </w:r>
      <w:r w:rsidR="009B6D2A">
        <w:rPr>
          <w:rFonts w:ascii="Times New Roman" w:hAnsi="Times New Roman" w:cs="Times New Roman"/>
          <w:lang w:val="de-DE"/>
        </w:rPr>
        <w:t> </w:t>
      </w:r>
      <w:r w:rsidRPr="009737B5">
        <w:rPr>
          <w:rFonts w:ascii="Times New Roman" w:hAnsi="Times New Roman" w:cs="Times New Roman"/>
          <w:lang w:val="de-DE"/>
        </w:rPr>
        <w:t>I. Die Mehrzahl der Patienten in jedem</w:t>
      </w:r>
      <w:r w:rsidR="00385004" w:rsidRPr="009737B5">
        <w:rPr>
          <w:rFonts w:ascii="Times New Roman" w:hAnsi="Times New Roman" w:cs="Times New Roman"/>
          <w:lang w:val="de-DE"/>
        </w:rPr>
        <w:t xml:space="preserve"> </w:t>
      </w:r>
      <w:r w:rsidRPr="009737B5">
        <w:rPr>
          <w:rFonts w:ascii="Times New Roman" w:hAnsi="Times New Roman" w:cs="Times New Roman"/>
          <w:lang w:val="de-DE"/>
        </w:rPr>
        <w:t>Behandlungsarm (74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bzw. 71</w:t>
      </w:r>
      <w:r w:rsidR="00322E40" w:rsidRPr="009737B5">
        <w:rPr>
          <w:rFonts w:ascii="Times New Roman" w:hAnsi="Times New Roman" w:cs="Times New Roman"/>
          <w:lang w:val="de-DE"/>
        </w:rPr>
        <w:t> %</w:t>
      </w:r>
      <w:r w:rsidRPr="009737B5">
        <w:rPr>
          <w:rFonts w:ascii="Times New Roman" w:hAnsi="Times New Roman" w:cs="Times New Roman"/>
          <w:lang w:val="de-DE"/>
        </w:rPr>
        <w:t>) hatte schlecht differenzierte (Grad</w:t>
      </w:r>
      <w:r w:rsidR="009B6D2A">
        <w:rPr>
          <w:rFonts w:ascii="Times New Roman" w:hAnsi="Times New Roman" w:cs="Times New Roman"/>
          <w:lang w:val="de-DE"/>
        </w:rPr>
        <w:t> </w:t>
      </w:r>
      <w:r w:rsidRPr="009737B5">
        <w:rPr>
          <w:rFonts w:ascii="Times New Roman" w:hAnsi="Times New Roman" w:cs="Times New Roman"/>
          <w:lang w:val="de-DE"/>
        </w:rPr>
        <w:t>3) Primärtumore vor</w:t>
      </w:r>
      <w:r w:rsidR="00385004" w:rsidRPr="009737B5">
        <w:rPr>
          <w:rFonts w:ascii="Times New Roman" w:hAnsi="Times New Roman" w:cs="Times New Roman"/>
          <w:lang w:val="de-DE"/>
        </w:rPr>
        <w:t xml:space="preserve"> </w:t>
      </w:r>
      <w:r w:rsidRPr="009737B5">
        <w:rPr>
          <w:rFonts w:ascii="Times New Roman" w:hAnsi="Times New Roman" w:cs="Times New Roman"/>
          <w:lang w:val="de-DE"/>
        </w:rPr>
        <w:t>Behandlungsbeginn. Die Inzidenz jedes histologischen Subtyps des epithelialen Ovarialkarzinoms war in den Behandlungsarmen vergleichbar; 69</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in jedem Behandlungsarm hatten eine seröse Adenokarzinom-Histologie.</w:t>
      </w:r>
    </w:p>
    <w:p w14:paraId="1D85AD7F" w14:textId="77777777" w:rsidR="00010E8C" w:rsidRPr="009737B5" w:rsidRDefault="00010E8C" w:rsidP="005F4D08">
      <w:pPr>
        <w:suppressAutoHyphens/>
        <w:spacing w:after="0" w:line="240" w:lineRule="auto"/>
        <w:rPr>
          <w:rFonts w:ascii="Times New Roman" w:hAnsi="Times New Roman" w:cs="Times New Roman"/>
          <w:lang w:val="de-DE"/>
        </w:rPr>
      </w:pPr>
    </w:p>
    <w:p w14:paraId="2C5DA39A"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Der primäre Endpunkt war das PFS, das durch den Prüfarzt nach RECIST beurteilt wurde.</w:t>
      </w:r>
    </w:p>
    <w:p w14:paraId="1F5A02D8" w14:textId="77777777" w:rsidR="00010E8C" w:rsidRPr="009737B5" w:rsidRDefault="00010E8C" w:rsidP="005F4D08">
      <w:pPr>
        <w:suppressAutoHyphens/>
        <w:spacing w:after="0" w:line="240" w:lineRule="auto"/>
        <w:rPr>
          <w:rFonts w:ascii="Times New Roman" w:hAnsi="Times New Roman" w:cs="Times New Roman"/>
          <w:lang w:val="de-DE"/>
        </w:rPr>
      </w:pPr>
    </w:p>
    <w:p w14:paraId="5B2BDF46" w14:textId="4CDA1DA6"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Der primäre Endpunkt dieser Studie, die Verbesserung des PFS, wurde erreicht. Verglichen mit Patienten, die in der Primärbehandlung nur Chemotherapie erhielten (Carboplatin und Paclitaxel), kam es bei Patienten, die mit Bevacizumab in einer Dosierung von 7,5</w:t>
      </w:r>
      <w:r w:rsidR="00AB26B9" w:rsidRPr="009737B5">
        <w:rPr>
          <w:rFonts w:ascii="Times New Roman" w:hAnsi="Times New Roman" w:cs="Times New Roman"/>
          <w:lang w:val="de-DE"/>
        </w:rPr>
        <w:t> mg</w:t>
      </w:r>
      <w:r w:rsidRPr="009737B5">
        <w:rPr>
          <w:rFonts w:ascii="Times New Roman" w:hAnsi="Times New Roman" w:cs="Times New Roman"/>
          <w:lang w:val="de-DE"/>
        </w:rPr>
        <w:t>/kg einmal alle drei Wochen in Kombination mit Chemotherapie und im weiteren Verlauf mit Bevacizumab über eine Dauer von bis zu 18</w:t>
      </w:r>
      <w:r w:rsidR="009B6D2A">
        <w:rPr>
          <w:rFonts w:ascii="Times New Roman" w:hAnsi="Times New Roman" w:cs="Times New Roman"/>
          <w:lang w:val="de-DE"/>
        </w:rPr>
        <w:t> </w:t>
      </w:r>
      <w:r w:rsidRPr="009737B5">
        <w:rPr>
          <w:rFonts w:ascii="Times New Roman" w:hAnsi="Times New Roman" w:cs="Times New Roman"/>
          <w:lang w:val="de-DE"/>
        </w:rPr>
        <w:t>Zyklen behandelt wurden, zu einer statistisch signifikanten Verbesserung des progressionsfreien Überlebens.</w:t>
      </w:r>
    </w:p>
    <w:p w14:paraId="3D217338" w14:textId="77777777" w:rsidR="00010E8C" w:rsidRPr="009737B5" w:rsidRDefault="00010E8C" w:rsidP="005F4D08">
      <w:pPr>
        <w:suppressAutoHyphens/>
        <w:spacing w:after="0" w:line="240" w:lineRule="auto"/>
        <w:rPr>
          <w:rFonts w:ascii="Times New Roman" w:hAnsi="Times New Roman" w:cs="Times New Roman"/>
          <w:lang w:val="de-DE"/>
        </w:rPr>
      </w:pPr>
    </w:p>
    <w:p w14:paraId="474E0FAC" w14:textId="4D27AA86"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Ergebnisse dieser Studie sind in Tabelle</w:t>
      </w:r>
      <w:r w:rsidR="000206F4">
        <w:rPr>
          <w:rFonts w:ascii="Times New Roman" w:hAnsi="Times New Roman" w:cs="Times New Roman"/>
          <w:lang w:val="de-DE"/>
        </w:rPr>
        <w:t> </w:t>
      </w:r>
      <w:r w:rsidR="003E1054">
        <w:rPr>
          <w:rFonts w:ascii="Times New Roman" w:hAnsi="Times New Roman" w:cs="Times New Roman"/>
          <w:lang w:val="de-DE"/>
        </w:rPr>
        <w:t>18</w:t>
      </w:r>
      <w:r w:rsidR="003E1054" w:rsidRPr="009737B5">
        <w:rPr>
          <w:rFonts w:ascii="Times New Roman" w:hAnsi="Times New Roman" w:cs="Times New Roman"/>
          <w:lang w:val="de-DE"/>
        </w:rPr>
        <w:t xml:space="preserve"> </w:t>
      </w:r>
      <w:r w:rsidRPr="009737B5">
        <w:rPr>
          <w:rFonts w:ascii="Times New Roman" w:hAnsi="Times New Roman" w:cs="Times New Roman"/>
          <w:lang w:val="de-DE"/>
        </w:rPr>
        <w:t>zusammengefasst.</w:t>
      </w:r>
    </w:p>
    <w:p w14:paraId="18BC1BA5" w14:textId="77777777" w:rsidR="00010E8C" w:rsidRPr="009737B5" w:rsidRDefault="00010E8C" w:rsidP="005F4D08">
      <w:pPr>
        <w:suppressAutoHyphens/>
        <w:spacing w:after="0" w:line="240" w:lineRule="auto"/>
        <w:rPr>
          <w:rFonts w:ascii="Times New Roman" w:hAnsi="Times New Roman" w:cs="Times New Roman"/>
          <w:lang w:val="de-DE"/>
        </w:rPr>
      </w:pPr>
    </w:p>
    <w:p w14:paraId="037D3A79" w14:textId="66B04C22" w:rsidR="00010E8C" w:rsidRPr="009737B5" w:rsidRDefault="00010E8C">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0206F4">
        <w:rPr>
          <w:rFonts w:ascii="Times New Roman" w:hAnsi="Times New Roman" w:cs="Times New Roman"/>
          <w:b/>
          <w:lang w:val="de-DE"/>
        </w:rPr>
        <w:t> </w:t>
      </w:r>
      <w:r w:rsidR="007F77FC">
        <w:rPr>
          <w:rFonts w:ascii="Times New Roman" w:hAnsi="Times New Roman" w:cs="Times New Roman"/>
          <w:b/>
          <w:lang w:val="de-DE"/>
        </w:rPr>
        <w:t>1</w:t>
      </w:r>
      <w:r w:rsidR="003E1054">
        <w:rPr>
          <w:rFonts w:ascii="Times New Roman" w:hAnsi="Times New Roman" w:cs="Times New Roman"/>
          <w:b/>
          <w:lang w:val="de-DE"/>
        </w:rPr>
        <w:t>8</w:t>
      </w:r>
      <w:r w:rsidR="008574AB" w:rsidRPr="009737B5">
        <w:rPr>
          <w:rFonts w:ascii="Times New Roman" w:hAnsi="Times New Roman" w:cs="Times New Roman"/>
          <w:b/>
          <w:lang w:val="de-DE"/>
        </w:rPr>
        <w:t>.</w:t>
      </w:r>
      <w:r w:rsidRPr="009737B5">
        <w:rPr>
          <w:rFonts w:ascii="Times New Roman" w:hAnsi="Times New Roman" w:cs="Times New Roman"/>
          <w:b/>
          <w:lang w:val="de-DE"/>
        </w:rPr>
        <w:t xml:space="preserve"> Wirksamkeitsergebnisse der Studie</w:t>
      </w:r>
      <w:r w:rsidR="009B6D2A">
        <w:rPr>
          <w:rFonts w:ascii="Times New Roman" w:hAnsi="Times New Roman" w:cs="Times New Roman"/>
          <w:b/>
          <w:lang w:val="de-DE"/>
        </w:rPr>
        <w:t> </w:t>
      </w:r>
      <w:r w:rsidRPr="009737B5">
        <w:rPr>
          <w:rFonts w:ascii="Times New Roman" w:hAnsi="Times New Roman" w:cs="Times New Roman"/>
          <w:b/>
          <w:lang w:val="de-DE"/>
        </w:rPr>
        <w:t>BO17707 (ICON7)</w:t>
      </w:r>
    </w:p>
    <w:p w14:paraId="7638E9E7" w14:textId="77777777" w:rsidR="00385004" w:rsidRPr="009737B5" w:rsidRDefault="00385004">
      <w:pPr>
        <w:keepNext/>
        <w:keepLines/>
        <w:suppressAutoHyphens/>
        <w:spacing w:after="0" w:line="240" w:lineRule="auto"/>
        <w:rPr>
          <w:rFonts w:ascii="Times New Roman" w:hAnsi="Times New Roman" w:cs="Times New Roman"/>
          <w:lang w:val="de-DE"/>
        </w:rPr>
      </w:pPr>
    </w:p>
    <w:tbl>
      <w:tblPr>
        <w:tblW w:w="88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0" w:type="dxa"/>
          <w:right w:w="16" w:type="dxa"/>
        </w:tblCellMar>
        <w:tblLook w:val="04A0" w:firstRow="1" w:lastRow="0" w:firstColumn="1" w:lastColumn="0" w:noHBand="0" w:noVBand="1"/>
      </w:tblPr>
      <w:tblGrid>
        <w:gridCol w:w="2977"/>
        <w:gridCol w:w="3025"/>
        <w:gridCol w:w="2835"/>
      </w:tblGrid>
      <w:tr w:rsidR="00CA13FC" w:rsidRPr="00402720" w14:paraId="3943DC7E" w14:textId="77777777" w:rsidTr="00A94D06">
        <w:trPr>
          <w:trHeight w:val="20"/>
        </w:trPr>
        <w:tc>
          <w:tcPr>
            <w:tcW w:w="8837" w:type="dxa"/>
            <w:gridSpan w:val="3"/>
          </w:tcPr>
          <w:p w14:paraId="00723ABC" w14:textId="77777777" w:rsidR="00CA13FC" w:rsidRPr="00402720" w:rsidRDefault="00CA13FC">
            <w:pPr>
              <w:keepNext/>
              <w:spacing w:after="0" w:line="240" w:lineRule="auto"/>
              <w:rPr>
                <w:rFonts w:ascii="Times New Roman" w:hAnsi="Times New Roman" w:cs="Times New Roman"/>
                <w:lang w:val="de-DE"/>
              </w:rPr>
            </w:pPr>
            <w:r w:rsidRPr="00402720">
              <w:rPr>
                <w:rFonts w:ascii="Times New Roman" w:hAnsi="Times New Roman" w:cs="Times New Roman"/>
                <w:lang w:val="de-DE"/>
              </w:rPr>
              <w:t>Progressionsfreies Überleben</w:t>
            </w:r>
          </w:p>
        </w:tc>
      </w:tr>
      <w:tr w:rsidR="00385004" w:rsidRPr="00402720" w14:paraId="4D7E7065" w14:textId="77777777" w:rsidTr="00A94D06">
        <w:trPr>
          <w:trHeight w:val="20"/>
        </w:trPr>
        <w:tc>
          <w:tcPr>
            <w:tcW w:w="2977" w:type="dxa"/>
          </w:tcPr>
          <w:p w14:paraId="7B6EAF54" w14:textId="77777777" w:rsidR="00385004" w:rsidRPr="00402720" w:rsidRDefault="00385004">
            <w:pPr>
              <w:keepNext/>
              <w:keepLines/>
              <w:spacing w:after="0" w:line="240" w:lineRule="auto"/>
              <w:rPr>
                <w:rFonts w:ascii="Times New Roman" w:hAnsi="Times New Roman" w:cs="Times New Roman"/>
                <w:lang w:val="de-DE"/>
              </w:rPr>
            </w:pPr>
          </w:p>
        </w:tc>
        <w:tc>
          <w:tcPr>
            <w:tcW w:w="3025" w:type="dxa"/>
          </w:tcPr>
          <w:p w14:paraId="604921D9" w14:textId="77777777" w:rsidR="00385004" w:rsidRPr="00402720" w:rsidRDefault="0038500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CP</w:t>
            </w:r>
          </w:p>
          <w:p w14:paraId="70A4773E" w14:textId="77777777" w:rsidR="00385004" w:rsidRPr="00402720" w:rsidRDefault="0038500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(n = 764)</w:t>
            </w:r>
          </w:p>
        </w:tc>
        <w:tc>
          <w:tcPr>
            <w:tcW w:w="2835" w:type="dxa"/>
          </w:tcPr>
          <w:p w14:paraId="707F7790" w14:textId="77777777" w:rsidR="00385004" w:rsidRPr="00402720" w:rsidRDefault="0038500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CPB7,5+</w:t>
            </w:r>
          </w:p>
          <w:p w14:paraId="651ABAD5" w14:textId="77777777" w:rsidR="00385004" w:rsidRPr="00402720" w:rsidRDefault="0038500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(n = 764)</w:t>
            </w:r>
          </w:p>
        </w:tc>
      </w:tr>
      <w:tr w:rsidR="00385004" w:rsidRPr="00402720" w14:paraId="2FABB767" w14:textId="77777777" w:rsidTr="00A94D06">
        <w:trPr>
          <w:trHeight w:val="20"/>
        </w:trPr>
        <w:tc>
          <w:tcPr>
            <w:tcW w:w="2977" w:type="dxa"/>
          </w:tcPr>
          <w:p w14:paraId="06AAA591" w14:textId="77777777" w:rsidR="00385004" w:rsidRPr="00402720" w:rsidRDefault="00385004">
            <w:pPr>
              <w:keepNext/>
              <w:keepLines/>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PFS (Monate)</w:t>
            </w:r>
            <w:r w:rsidRPr="00402720">
              <w:rPr>
                <w:rFonts w:ascii="Times New Roman" w:hAnsi="Times New Roman" w:cs="Times New Roman"/>
                <w:vertAlign w:val="superscript"/>
                <w:lang w:val="de-DE"/>
              </w:rPr>
              <w:t>2</w:t>
            </w:r>
            <w:r w:rsidRPr="00402720">
              <w:rPr>
                <w:rFonts w:ascii="Times New Roman" w:hAnsi="Times New Roman" w:cs="Times New Roman"/>
                <w:lang w:val="de-DE"/>
              </w:rPr>
              <w:t xml:space="preserve"> </w:t>
            </w:r>
          </w:p>
        </w:tc>
        <w:tc>
          <w:tcPr>
            <w:tcW w:w="3025" w:type="dxa"/>
          </w:tcPr>
          <w:p w14:paraId="5B9E5B1B" w14:textId="77777777" w:rsidR="00385004" w:rsidRPr="00402720" w:rsidRDefault="0038500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16,9</w:t>
            </w:r>
          </w:p>
        </w:tc>
        <w:tc>
          <w:tcPr>
            <w:tcW w:w="2835" w:type="dxa"/>
          </w:tcPr>
          <w:p w14:paraId="6519F3D2" w14:textId="77777777" w:rsidR="00385004" w:rsidRPr="00402720" w:rsidRDefault="0038500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19,3</w:t>
            </w:r>
          </w:p>
        </w:tc>
      </w:tr>
      <w:tr w:rsidR="00385004" w:rsidRPr="00402720" w14:paraId="587C7AB6" w14:textId="77777777" w:rsidTr="00C127FB">
        <w:trPr>
          <w:trHeight w:val="567"/>
        </w:trPr>
        <w:tc>
          <w:tcPr>
            <w:tcW w:w="2977" w:type="dxa"/>
          </w:tcPr>
          <w:p w14:paraId="69A7A469" w14:textId="1A6838CF" w:rsidR="00385004" w:rsidRPr="00402720" w:rsidRDefault="00385004">
            <w:pPr>
              <w:keepNext/>
              <w:keepLines/>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KI)</w:t>
            </w:r>
            <w:r w:rsidRPr="00402720">
              <w:rPr>
                <w:rFonts w:ascii="Times New Roman" w:hAnsi="Times New Roman" w:cs="Times New Roman"/>
                <w:vertAlign w:val="superscript"/>
                <w:lang w:val="de-DE"/>
              </w:rPr>
              <w:t>2</w:t>
            </w:r>
            <w:r w:rsidRPr="00402720">
              <w:rPr>
                <w:rFonts w:ascii="Times New Roman" w:hAnsi="Times New Roman" w:cs="Times New Roman"/>
                <w:lang w:val="de-DE"/>
              </w:rPr>
              <w:t xml:space="preserve"> </w:t>
            </w:r>
          </w:p>
        </w:tc>
        <w:tc>
          <w:tcPr>
            <w:tcW w:w="5860" w:type="dxa"/>
            <w:gridSpan w:val="2"/>
          </w:tcPr>
          <w:p w14:paraId="5F5B409C" w14:textId="77777777" w:rsidR="00385004" w:rsidRPr="00402720" w:rsidRDefault="0038500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0,86 [0,75; 0,98]</w:t>
            </w:r>
          </w:p>
          <w:p w14:paraId="4ACA9329" w14:textId="77777777" w:rsidR="00385004" w:rsidRPr="00402720" w:rsidRDefault="0038500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(p-Wert = 0,0185)</w:t>
            </w:r>
          </w:p>
        </w:tc>
      </w:tr>
      <w:tr w:rsidR="00CA13FC" w:rsidRPr="00402720" w14:paraId="56E40ADE" w14:textId="77777777" w:rsidTr="00A94D06">
        <w:trPr>
          <w:trHeight w:val="20"/>
        </w:trPr>
        <w:tc>
          <w:tcPr>
            <w:tcW w:w="8837" w:type="dxa"/>
            <w:gridSpan w:val="3"/>
          </w:tcPr>
          <w:p w14:paraId="3A7C8AC2" w14:textId="77777777" w:rsidR="00CA13FC" w:rsidRPr="00402720" w:rsidRDefault="00CA13FC">
            <w:pPr>
              <w:keepNext/>
              <w:keepLines/>
              <w:spacing w:after="0" w:line="240" w:lineRule="auto"/>
              <w:rPr>
                <w:rFonts w:ascii="Times New Roman" w:hAnsi="Times New Roman" w:cs="Times New Roman"/>
                <w:lang w:val="de-DE"/>
              </w:rPr>
            </w:pPr>
            <w:r w:rsidRPr="00402720">
              <w:rPr>
                <w:rFonts w:ascii="Times New Roman" w:hAnsi="Times New Roman" w:cs="Times New Roman"/>
                <w:lang w:val="de-DE"/>
              </w:rPr>
              <w:t>Objektive Ansprechrate</w:t>
            </w:r>
            <w:r w:rsidRPr="00402720">
              <w:rPr>
                <w:rFonts w:ascii="Times New Roman" w:hAnsi="Times New Roman" w:cs="Times New Roman"/>
                <w:vertAlign w:val="superscript"/>
                <w:lang w:val="de-DE"/>
              </w:rPr>
              <w:t>1</w:t>
            </w:r>
          </w:p>
        </w:tc>
      </w:tr>
      <w:tr w:rsidR="00385004" w:rsidRPr="00402720" w14:paraId="5214B70D" w14:textId="77777777" w:rsidTr="00A94D06">
        <w:trPr>
          <w:trHeight w:val="20"/>
        </w:trPr>
        <w:tc>
          <w:tcPr>
            <w:tcW w:w="2977" w:type="dxa"/>
          </w:tcPr>
          <w:p w14:paraId="0581D10D" w14:textId="77777777" w:rsidR="00385004" w:rsidRPr="00402720" w:rsidRDefault="00385004">
            <w:pPr>
              <w:keepNext/>
              <w:keepLines/>
              <w:spacing w:after="0" w:line="240" w:lineRule="auto"/>
              <w:rPr>
                <w:rFonts w:ascii="Times New Roman" w:hAnsi="Times New Roman" w:cs="Times New Roman"/>
                <w:lang w:val="de-DE"/>
              </w:rPr>
            </w:pPr>
          </w:p>
        </w:tc>
        <w:tc>
          <w:tcPr>
            <w:tcW w:w="3025" w:type="dxa"/>
          </w:tcPr>
          <w:p w14:paraId="603D9080" w14:textId="77777777" w:rsidR="00385004" w:rsidRPr="00402720" w:rsidRDefault="0038500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CP</w:t>
            </w:r>
          </w:p>
          <w:p w14:paraId="34DD61DB" w14:textId="77777777" w:rsidR="00385004" w:rsidRPr="00402720" w:rsidRDefault="0038500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(n = 277)</w:t>
            </w:r>
          </w:p>
        </w:tc>
        <w:tc>
          <w:tcPr>
            <w:tcW w:w="2835" w:type="dxa"/>
          </w:tcPr>
          <w:p w14:paraId="2BFFE2DB" w14:textId="77777777" w:rsidR="00385004" w:rsidRPr="00402720" w:rsidRDefault="0038500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CPB7,5+</w:t>
            </w:r>
          </w:p>
          <w:p w14:paraId="12AEAC4D" w14:textId="77777777" w:rsidR="00385004" w:rsidRPr="00402720" w:rsidRDefault="00385004">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(n = 272)</w:t>
            </w:r>
          </w:p>
        </w:tc>
      </w:tr>
      <w:tr w:rsidR="00473C51" w:rsidRPr="00402720" w14:paraId="3364255B" w14:textId="77777777" w:rsidTr="00A94D06">
        <w:trPr>
          <w:trHeight w:val="20"/>
        </w:trPr>
        <w:tc>
          <w:tcPr>
            <w:tcW w:w="2977" w:type="dxa"/>
            <w:vMerge w:val="restart"/>
          </w:tcPr>
          <w:p w14:paraId="7FBF4696" w14:textId="77777777" w:rsidR="00473C51" w:rsidRPr="00402720" w:rsidRDefault="00473C51">
            <w:pPr>
              <w:keepNext/>
              <w:keepLines/>
              <w:spacing w:after="0" w:line="240" w:lineRule="auto"/>
              <w:ind w:left="567"/>
              <w:rPr>
                <w:rFonts w:ascii="Times New Roman" w:hAnsi="Times New Roman" w:cs="Times New Roman"/>
                <w:lang w:val="de-DE"/>
              </w:rPr>
            </w:pPr>
            <w:r w:rsidRPr="00402720">
              <w:rPr>
                <w:rFonts w:ascii="Times New Roman" w:hAnsi="Times New Roman" w:cs="Times New Roman"/>
                <w:lang w:val="de-DE"/>
              </w:rPr>
              <w:t>Ansprechrate (%)</w:t>
            </w:r>
          </w:p>
        </w:tc>
        <w:tc>
          <w:tcPr>
            <w:tcW w:w="3025" w:type="dxa"/>
          </w:tcPr>
          <w:p w14:paraId="6803D2AA" w14:textId="77777777" w:rsidR="00473C51" w:rsidRPr="00402720" w:rsidRDefault="00473C51">
            <w:pPr>
              <w:keepNext/>
              <w:keepLines/>
              <w:tabs>
                <w:tab w:val="center" w:pos="1141"/>
                <w:tab w:val="center" w:pos="3541"/>
              </w:tabs>
              <w:spacing w:after="0" w:line="240" w:lineRule="auto"/>
              <w:jc w:val="center"/>
              <w:rPr>
                <w:rFonts w:ascii="Times New Roman" w:hAnsi="Times New Roman" w:cs="Times New Roman"/>
                <w:lang w:val="de-DE"/>
              </w:rPr>
            </w:pPr>
            <w:r w:rsidRPr="00402720">
              <w:rPr>
                <w:rFonts w:ascii="Times New Roman" w:hAnsi="Times New Roman" w:cs="Times New Roman"/>
                <w:lang w:val="de-DE"/>
              </w:rPr>
              <w:t>54,9 %</w:t>
            </w:r>
          </w:p>
        </w:tc>
        <w:tc>
          <w:tcPr>
            <w:tcW w:w="2835" w:type="dxa"/>
          </w:tcPr>
          <w:p w14:paraId="75B5AC6E" w14:textId="77777777" w:rsidR="00473C51" w:rsidRPr="00402720" w:rsidRDefault="00473C51">
            <w:pPr>
              <w:keepNext/>
              <w:keepLines/>
              <w:tabs>
                <w:tab w:val="center" w:pos="1141"/>
                <w:tab w:val="center" w:pos="3541"/>
              </w:tabs>
              <w:spacing w:after="0" w:line="240" w:lineRule="auto"/>
              <w:jc w:val="center"/>
              <w:rPr>
                <w:rFonts w:ascii="Times New Roman" w:hAnsi="Times New Roman" w:cs="Times New Roman"/>
                <w:lang w:val="de-DE"/>
              </w:rPr>
            </w:pPr>
            <w:r w:rsidRPr="00402720">
              <w:rPr>
                <w:rFonts w:ascii="Times New Roman" w:hAnsi="Times New Roman" w:cs="Times New Roman"/>
                <w:lang w:val="de-DE"/>
              </w:rPr>
              <w:t>64,7 %</w:t>
            </w:r>
          </w:p>
          <w:p w14:paraId="55A4EEA5" w14:textId="77777777" w:rsidR="00473C51" w:rsidRPr="00402720" w:rsidRDefault="00473C51">
            <w:pPr>
              <w:keepNext/>
              <w:keepLines/>
              <w:tabs>
                <w:tab w:val="center" w:pos="1141"/>
                <w:tab w:val="center" w:pos="3541"/>
              </w:tabs>
              <w:spacing w:after="0" w:line="240" w:lineRule="auto"/>
              <w:jc w:val="center"/>
              <w:rPr>
                <w:rFonts w:ascii="Times New Roman" w:hAnsi="Times New Roman" w:cs="Times New Roman"/>
                <w:lang w:val="de-DE"/>
              </w:rPr>
            </w:pPr>
          </w:p>
        </w:tc>
      </w:tr>
      <w:tr w:rsidR="00473C51" w:rsidRPr="00402720" w14:paraId="2C50F720" w14:textId="77777777" w:rsidTr="00C127FB">
        <w:trPr>
          <w:trHeight w:val="283"/>
        </w:trPr>
        <w:tc>
          <w:tcPr>
            <w:tcW w:w="2977" w:type="dxa"/>
            <w:vMerge/>
          </w:tcPr>
          <w:p w14:paraId="23F9DFBD" w14:textId="77777777" w:rsidR="00473C51" w:rsidRPr="00402720" w:rsidRDefault="00473C51" w:rsidP="000B6CC4">
            <w:pPr>
              <w:keepNext/>
              <w:spacing w:after="0" w:line="240" w:lineRule="auto"/>
              <w:ind w:left="567"/>
              <w:rPr>
                <w:rFonts w:ascii="Times New Roman" w:hAnsi="Times New Roman" w:cs="Times New Roman"/>
                <w:lang w:val="de-DE"/>
              </w:rPr>
            </w:pPr>
          </w:p>
        </w:tc>
        <w:tc>
          <w:tcPr>
            <w:tcW w:w="5860" w:type="dxa"/>
            <w:gridSpan w:val="2"/>
          </w:tcPr>
          <w:p w14:paraId="44091AAB" w14:textId="77777777" w:rsidR="00473C51" w:rsidRPr="00402720" w:rsidRDefault="00473C51" w:rsidP="000B6CC4">
            <w:pPr>
              <w:keepNext/>
              <w:tabs>
                <w:tab w:val="center" w:pos="1141"/>
                <w:tab w:val="center" w:pos="3541"/>
              </w:tabs>
              <w:spacing w:after="0" w:line="240" w:lineRule="auto"/>
              <w:jc w:val="center"/>
              <w:rPr>
                <w:rFonts w:ascii="Times New Roman" w:hAnsi="Times New Roman" w:cs="Times New Roman"/>
                <w:lang w:val="de-DE"/>
              </w:rPr>
            </w:pPr>
            <w:r w:rsidRPr="00402720">
              <w:rPr>
                <w:rFonts w:ascii="Times New Roman" w:hAnsi="Times New Roman" w:cs="Times New Roman"/>
                <w:lang w:val="de-DE"/>
              </w:rPr>
              <w:t>(p-Wert = 0,0188)</w:t>
            </w:r>
          </w:p>
        </w:tc>
      </w:tr>
      <w:tr w:rsidR="00CA13FC" w:rsidRPr="00402720" w14:paraId="691810BB" w14:textId="77777777" w:rsidTr="00A94D06">
        <w:trPr>
          <w:trHeight w:val="20"/>
        </w:trPr>
        <w:tc>
          <w:tcPr>
            <w:tcW w:w="8837" w:type="dxa"/>
            <w:gridSpan w:val="3"/>
          </w:tcPr>
          <w:p w14:paraId="39255AC5" w14:textId="77777777" w:rsidR="00CA13FC" w:rsidRPr="00402720" w:rsidRDefault="00CA13FC" w:rsidP="000B6CC4">
            <w:pPr>
              <w:keepNext/>
              <w:spacing w:after="0" w:line="240" w:lineRule="auto"/>
              <w:rPr>
                <w:rFonts w:ascii="Times New Roman" w:hAnsi="Times New Roman" w:cs="Times New Roman"/>
                <w:lang w:val="de-DE"/>
              </w:rPr>
            </w:pPr>
            <w:r w:rsidRPr="00402720">
              <w:rPr>
                <w:rFonts w:ascii="Times New Roman" w:hAnsi="Times New Roman" w:cs="Times New Roman"/>
                <w:lang w:val="de-DE"/>
              </w:rPr>
              <w:t>Gesamtüberleben</w:t>
            </w:r>
            <w:r w:rsidRPr="00402720">
              <w:rPr>
                <w:rFonts w:ascii="Times New Roman" w:hAnsi="Times New Roman" w:cs="Times New Roman"/>
                <w:vertAlign w:val="superscript"/>
                <w:lang w:val="de-DE"/>
              </w:rPr>
              <w:t>3</w:t>
            </w:r>
          </w:p>
        </w:tc>
      </w:tr>
      <w:tr w:rsidR="00CA13FC" w:rsidRPr="00402720" w14:paraId="149E7A04" w14:textId="77777777" w:rsidTr="00A94D06">
        <w:trPr>
          <w:trHeight w:val="20"/>
        </w:trPr>
        <w:tc>
          <w:tcPr>
            <w:tcW w:w="2977" w:type="dxa"/>
          </w:tcPr>
          <w:p w14:paraId="5B46B59E" w14:textId="77777777" w:rsidR="00CA13FC" w:rsidRPr="00402720" w:rsidRDefault="00CA13FC" w:rsidP="000B6CC4">
            <w:pPr>
              <w:keepNext/>
              <w:spacing w:after="0" w:line="240" w:lineRule="auto"/>
              <w:ind w:left="567"/>
              <w:rPr>
                <w:rFonts w:ascii="Times New Roman" w:hAnsi="Times New Roman" w:cs="Times New Roman"/>
                <w:lang w:val="de-DE"/>
              </w:rPr>
            </w:pPr>
          </w:p>
        </w:tc>
        <w:tc>
          <w:tcPr>
            <w:tcW w:w="3025" w:type="dxa"/>
          </w:tcPr>
          <w:p w14:paraId="42B24684" w14:textId="77777777" w:rsidR="00CA13FC" w:rsidRPr="00402720" w:rsidRDefault="00CA13FC"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CP</w:t>
            </w:r>
          </w:p>
          <w:p w14:paraId="4C4800CE" w14:textId="77777777" w:rsidR="00CA13FC" w:rsidRPr="00402720" w:rsidRDefault="00CA13FC"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764)</w:t>
            </w:r>
          </w:p>
        </w:tc>
        <w:tc>
          <w:tcPr>
            <w:tcW w:w="2835" w:type="dxa"/>
          </w:tcPr>
          <w:p w14:paraId="0153CA4A" w14:textId="77777777" w:rsidR="00CA13FC" w:rsidRPr="00402720" w:rsidRDefault="00CA13FC"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CPB7,5+</w:t>
            </w:r>
          </w:p>
          <w:p w14:paraId="06841822" w14:textId="77777777" w:rsidR="00CA13FC" w:rsidRPr="00402720" w:rsidRDefault="00CA13FC"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764)</w:t>
            </w:r>
          </w:p>
        </w:tc>
      </w:tr>
      <w:tr w:rsidR="00CA13FC" w:rsidRPr="00402720" w14:paraId="75EC7622" w14:textId="77777777" w:rsidTr="00A94D06">
        <w:trPr>
          <w:trHeight w:val="20"/>
        </w:trPr>
        <w:tc>
          <w:tcPr>
            <w:tcW w:w="2977" w:type="dxa"/>
          </w:tcPr>
          <w:p w14:paraId="1EBBAA21" w14:textId="77777777" w:rsidR="00CA13FC" w:rsidRPr="00402720" w:rsidRDefault="00F9336A"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 (Monate)</w:t>
            </w:r>
          </w:p>
        </w:tc>
        <w:tc>
          <w:tcPr>
            <w:tcW w:w="3025" w:type="dxa"/>
          </w:tcPr>
          <w:p w14:paraId="207A70D0" w14:textId="77777777" w:rsidR="00CA13FC" w:rsidRPr="00402720" w:rsidRDefault="00CA13FC"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58,0</w:t>
            </w:r>
          </w:p>
        </w:tc>
        <w:tc>
          <w:tcPr>
            <w:tcW w:w="2835" w:type="dxa"/>
          </w:tcPr>
          <w:p w14:paraId="1446A9CA" w14:textId="77777777" w:rsidR="00CA13FC" w:rsidRPr="00402720" w:rsidRDefault="00CA13FC"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57,4</w:t>
            </w:r>
          </w:p>
        </w:tc>
      </w:tr>
      <w:tr w:rsidR="00CA13FC" w:rsidRPr="00402720" w14:paraId="09ADDAA6" w14:textId="77777777" w:rsidTr="00C127FB">
        <w:trPr>
          <w:trHeight w:val="567"/>
        </w:trPr>
        <w:tc>
          <w:tcPr>
            <w:tcW w:w="2977" w:type="dxa"/>
          </w:tcPr>
          <w:p w14:paraId="0B7CE8B2" w14:textId="6BC3F72F" w:rsidR="00CA13FC" w:rsidRPr="00402720" w:rsidRDefault="00CA13FC"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 xml:space="preserve">KI) </w:t>
            </w:r>
          </w:p>
        </w:tc>
        <w:tc>
          <w:tcPr>
            <w:tcW w:w="5860" w:type="dxa"/>
            <w:gridSpan w:val="2"/>
          </w:tcPr>
          <w:p w14:paraId="51F7AF55" w14:textId="77777777" w:rsidR="00CA13FC" w:rsidRPr="00402720" w:rsidRDefault="00CA13FC"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0,99 [0,85; 1,15]</w:t>
            </w:r>
          </w:p>
          <w:p w14:paraId="260E3256" w14:textId="77777777" w:rsidR="00CA13FC" w:rsidRPr="00402720" w:rsidRDefault="00CA13FC"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(p-Wert = 0,8910)</w:t>
            </w:r>
          </w:p>
        </w:tc>
      </w:tr>
    </w:tbl>
    <w:p w14:paraId="6DA9B7C4" w14:textId="77777777" w:rsidR="00010E8C" w:rsidRPr="009737B5" w:rsidRDefault="00010E8C"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1</w:t>
      </w:r>
      <w:r w:rsidRPr="009737B5">
        <w:rPr>
          <w:rFonts w:ascii="Times New Roman" w:hAnsi="Times New Roman" w:cs="Times New Roman"/>
          <w:sz w:val="20"/>
          <w:szCs w:val="20"/>
          <w:lang w:val="de-DE"/>
        </w:rPr>
        <w:tab/>
        <w:t>Bei Patienten mit messbarer Erkrankung bei Behandlungsbeginn.</w:t>
      </w:r>
    </w:p>
    <w:p w14:paraId="22FBD384" w14:textId="57EEA708" w:rsidR="00010E8C" w:rsidRPr="009737B5" w:rsidRDefault="00010E8C"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2</w:t>
      </w:r>
      <w:r w:rsidRPr="009737B5">
        <w:rPr>
          <w:rFonts w:ascii="Times New Roman" w:hAnsi="Times New Roman" w:cs="Times New Roman"/>
          <w:sz w:val="20"/>
          <w:szCs w:val="20"/>
          <w:lang w:val="de-DE"/>
        </w:rPr>
        <w:tab/>
        <w:t>PFS-Analyse gemäß Bewertung durch den Prüfarzt, mit Stichtag 30.</w:t>
      </w:r>
      <w:r w:rsidR="009B6D2A">
        <w:rPr>
          <w:rFonts w:ascii="Times New Roman" w:hAnsi="Times New Roman" w:cs="Times New Roman"/>
          <w:sz w:val="20"/>
          <w:szCs w:val="20"/>
          <w:lang w:val="de-DE"/>
        </w:rPr>
        <w:t> </w:t>
      </w:r>
      <w:r w:rsidRPr="009737B5">
        <w:rPr>
          <w:rFonts w:ascii="Times New Roman" w:hAnsi="Times New Roman" w:cs="Times New Roman"/>
          <w:sz w:val="20"/>
          <w:szCs w:val="20"/>
          <w:lang w:val="de-DE"/>
        </w:rPr>
        <w:t>November 2010.</w:t>
      </w:r>
    </w:p>
    <w:p w14:paraId="31EE256D" w14:textId="798AB98A" w:rsidR="00010E8C" w:rsidRPr="009737B5" w:rsidRDefault="00010E8C"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3</w:t>
      </w:r>
      <w:r w:rsidRPr="009737B5">
        <w:rPr>
          <w:rFonts w:ascii="Times New Roman" w:hAnsi="Times New Roman" w:cs="Times New Roman"/>
          <w:sz w:val="20"/>
          <w:szCs w:val="20"/>
          <w:lang w:val="de-DE"/>
        </w:rPr>
        <w:tab/>
        <w:t>Finale Analyse des Gesamtüberlebens durchgeführt</w:t>
      </w:r>
      <w:r w:rsidR="0010405B" w:rsidRPr="009737B5">
        <w:rPr>
          <w:rFonts w:ascii="Times New Roman" w:hAnsi="Times New Roman" w:cs="Times New Roman"/>
          <w:sz w:val="20"/>
          <w:szCs w:val="20"/>
          <w:lang w:val="de-DE"/>
        </w:rPr>
        <w:t>,</w:t>
      </w:r>
      <w:r w:rsidRPr="009737B5">
        <w:rPr>
          <w:rFonts w:ascii="Times New Roman" w:hAnsi="Times New Roman" w:cs="Times New Roman"/>
          <w:sz w:val="20"/>
          <w:szCs w:val="20"/>
          <w:lang w:val="de-DE"/>
        </w:rPr>
        <w:t xml:space="preserve"> nachdem 46,7</w:t>
      </w:r>
      <w:r w:rsidR="00322E40" w:rsidRPr="009737B5">
        <w:rPr>
          <w:rFonts w:ascii="Times New Roman" w:hAnsi="Times New Roman" w:cs="Times New Roman"/>
          <w:sz w:val="20"/>
          <w:szCs w:val="20"/>
          <w:lang w:val="de-DE"/>
        </w:rPr>
        <w:t> %</w:t>
      </w:r>
      <w:r w:rsidRPr="009737B5">
        <w:rPr>
          <w:rFonts w:ascii="Times New Roman" w:hAnsi="Times New Roman" w:cs="Times New Roman"/>
          <w:sz w:val="20"/>
          <w:szCs w:val="20"/>
          <w:lang w:val="de-DE"/>
        </w:rPr>
        <w:t xml:space="preserve"> der Patienten verstorben waren, mit Stichtag 31.</w:t>
      </w:r>
      <w:r w:rsidR="009B6D2A">
        <w:rPr>
          <w:rFonts w:ascii="Times New Roman" w:hAnsi="Times New Roman" w:cs="Times New Roman"/>
          <w:sz w:val="20"/>
          <w:szCs w:val="20"/>
          <w:lang w:val="de-DE"/>
        </w:rPr>
        <w:t> </w:t>
      </w:r>
      <w:r w:rsidRPr="009737B5">
        <w:rPr>
          <w:rFonts w:ascii="Times New Roman" w:hAnsi="Times New Roman" w:cs="Times New Roman"/>
          <w:sz w:val="20"/>
          <w:szCs w:val="20"/>
          <w:lang w:val="de-DE"/>
        </w:rPr>
        <w:t>März 2013.</w:t>
      </w:r>
    </w:p>
    <w:p w14:paraId="181EA276" w14:textId="77777777" w:rsidR="00010E8C" w:rsidRPr="009737B5" w:rsidRDefault="00010E8C" w:rsidP="005F4D08">
      <w:pPr>
        <w:suppressAutoHyphens/>
        <w:spacing w:after="0" w:line="240" w:lineRule="auto"/>
        <w:rPr>
          <w:rFonts w:ascii="Times New Roman" w:hAnsi="Times New Roman" w:cs="Times New Roman"/>
          <w:lang w:val="de-DE"/>
        </w:rPr>
      </w:pPr>
    </w:p>
    <w:p w14:paraId="6A4B56DE" w14:textId="31C9ED1E"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Primäranalyse des vom Prüfarzt bewerteten PFS zum Stichtag 28. Februar 2010 zeigt eine nicht stratifizierte Hazard Ratio von 0,79 (95</w:t>
      </w:r>
      <w:r w:rsidR="00322E40" w:rsidRPr="009737B5">
        <w:rPr>
          <w:rFonts w:ascii="Times New Roman" w:hAnsi="Times New Roman" w:cs="Times New Roman"/>
          <w:lang w:val="de-DE"/>
        </w:rPr>
        <w:t> %</w:t>
      </w:r>
      <w:r w:rsidR="009B6D2A">
        <w:rPr>
          <w:rFonts w:ascii="Times New Roman" w:hAnsi="Times New Roman" w:cs="Times New Roman"/>
          <w:lang w:val="de-DE"/>
        </w:rPr>
        <w:t> </w:t>
      </w:r>
      <w:r w:rsidRPr="009737B5">
        <w:rPr>
          <w:rFonts w:ascii="Times New Roman" w:hAnsi="Times New Roman" w:cs="Times New Roman"/>
          <w:lang w:val="de-DE"/>
        </w:rPr>
        <w:t>KI: 0,68</w:t>
      </w:r>
      <w:r w:rsidR="009B6D2A">
        <w:rPr>
          <w:rFonts w:ascii="Times New Roman" w:hAnsi="Times New Roman" w:cs="Times New Roman"/>
          <w:lang w:val="de-DE"/>
        </w:rPr>
        <w:t> </w:t>
      </w:r>
      <w:r w:rsidR="00D7227D" w:rsidRPr="009737B5">
        <w:rPr>
          <w:rFonts w:ascii="Times New Roman" w:hAnsi="Times New Roman" w:cs="Times New Roman"/>
          <w:lang w:val="de-DE"/>
        </w:rPr>
        <w:t>-</w:t>
      </w:r>
      <w:r w:rsidR="009B6D2A">
        <w:rPr>
          <w:rFonts w:ascii="Times New Roman" w:hAnsi="Times New Roman" w:cs="Times New Roman"/>
          <w:lang w:val="de-DE"/>
        </w:rPr>
        <w:t> </w:t>
      </w:r>
      <w:r w:rsidRPr="009737B5">
        <w:rPr>
          <w:rFonts w:ascii="Times New Roman" w:hAnsi="Times New Roman" w:cs="Times New Roman"/>
          <w:lang w:val="de-DE"/>
        </w:rPr>
        <w:t>0,91; zweiseitiger Logrank p-Wert</w:t>
      </w:r>
      <w:r w:rsidR="009B6D2A">
        <w:rPr>
          <w:rFonts w:ascii="Times New Roman" w:hAnsi="Times New Roman" w:cs="Times New Roman"/>
          <w:lang w:val="de-DE"/>
        </w:rPr>
        <w:t> </w:t>
      </w:r>
      <w:r w:rsidRPr="009737B5">
        <w:rPr>
          <w:rFonts w:ascii="Times New Roman" w:hAnsi="Times New Roman" w:cs="Times New Roman"/>
          <w:lang w:val="de-DE"/>
        </w:rPr>
        <w:t>=</w:t>
      </w:r>
      <w:r w:rsidR="009B6D2A">
        <w:rPr>
          <w:rFonts w:ascii="Times New Roman" w:hAnsi="Times New Roman" w:cs="Times New Roman"/>
          <w:lang w:val="de-DE"/>
        </w:rPr>
        <w:t> </w:t>
      </w:r>
      <w:r w:rsidRPr="009737B5">
        <w:rPr>
          <w:rFonts w:ascii="Times New Roman" w:hAnsi="Times New Roman" w:cs="Times New Roman"/>
          <w:lang w:val="de-DE"/>
        </w:rPr>
        <w:t>0,0010) mit einem medianen PFS von 16,0</w:t>
      </w:r>
      <w:r w:rsidR="009B6D2A">
        <w:rPr>
          <w:rFonts w:ascii="Times New Roman" w:hAnsi="Times New Roman" w:cs="Times New Roman"/>
          <w:lang w:val="de-DE"/>
        </w:rPr>
        <w:t> </w:t>
      </w:r>
      <w:r w:rsidRPr="009737B5">
        <w:rPr>
          <w:rFonts w:ascii="Times New Roman" w:hAnsi="Times New Roman" w:cs="Times New Roman"/>
          <w:lang w:val="de-DE"/>
        </w:rPr>
        <w:t>Monaten im CP-Arm und 18,3</w:t>
      </w:r>
      <w:r w:rsidR="009B6D2A">
        <w:rPr>
          <w:rFonts w:ascii="Times New Roman" w:hAnsi="Times New Roman" w:cs="Times New Roman"/>
          <w:lang w:val="de-DE"/>
        </w:rPr>
        <w:t> </w:t>
      </w:r>
      <w:r w:rsidRPr="009737B5">
        <w:rPr>
          <w:rFonts w:ascii="Times New Roman" w:hAnsi="Times New Roman" w:cs="Times New Roman"/>
          <w:lang w:val="de-DE"/>
        </w:rPr>
        <w:t>Monaten im CPB7,5+-Arm.</w:t>
      </w:r>
    </w:p>
    <w:p w14:paraId="67505FDB" w14:textId="77777777" w:rsidR="00010E8C" w:rsidRPr="009737B5" w:rsidRDefault="00010E8C" w:rsidP="005F4D08">
      <w:pPr>
        <w:suppressAutoHyphens/>
        <w:spacing w:after="0" w:line="240" w:lineRule="auto"/>
        <w:rPr>
          <w:rFonts w:ascii="Times New Roman" w:hAnsi="Times New Roman" w:cs="Times New Roman"/>
          <w:lang w:val="de-DE"/>
        </w:rPr>
      </w:pPr>
    </w:p>
    <w:p w14:paraId="117A5344" w14:textId="2FAF8162"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PFS-Subgruppenanalyse nach Krankheitsstadium und postoperativem Tumorrest ist in Tabelle</w:t>
      </w:r>
      <w:r w:rsidR="000206F4">
        <w:rPr>
          <w:rFonts w:ascii="Times New Roman" w:hAnsi="Times New Roman" w:cs="Times New Roman"/>
          <w:lang w:val="de-DE"/>
        </w:rPr>
        <w:t> </w:t>
      </w:r>
      <w:r w:rsidR="003E1054">
        <w:rPr>
          <w:rFonts w:ascii="Times New Roman" w:hAnsi="Times New Roman" w:cs="Times New Roman"/>
          <w:lang w:val="de-DE"/>
        </w:rPr>
        <w:t>19</w:t>
      </w:r>
      <w:r w:rsidR="003E1054" w:rsidRPr="009737B5">
        <w:rPr>
          <w:rFonts w:ascii="Times New Roman" w:hAnsi="Times New Roman" w:cs="Times New Roman"/>
          <w:lang w:val="de-DE"/>
        </w:rPr>
        <w:t xml:space="preserve"> </w:t>
      </w:r>
      <w:r w:rsidRPr="009737B5">
        <w:rPr>
          <w:rFonts w:ascii="Times New Roman" w:hAnsi="Times New Roman" w:cs="Times New Roman"/>
          <w:lang w:val="de-DE"/>
        </w:rPr>
        <w:t>zusammengefasst. Die Ergebnisse zeigen die Robustheit der in Tabelle</w:t>
      </w:r>
      <w:r w:rsidR="000206F4">
        <w:rPr>
          <w:rFonts w:ascii="Times New Roman" w:hAnsi="Times New Roman" w:cs="Times New Roman"/>
          <w:lang w:val="de-DE"/>
        </w:rPr>
        <w:t> </w:t>
      </w:r>
      <w:r w:rsidR="003E1054">
        <w:rPr>
          <w:rFonts w:ascii="Times New Roman" w:hAnsi="Times New Roman" w:cs="Times New Roman"/>
          <w:lang w:val="de-DE"/>
        </w:rPr>
        <w:t>18</w:t>
      </w:r>
      <w:r w:rsidR="003E1054" w:rsidRPr="009737B5">
        <w:rPr>
          <w:rFonts w:ascii="Times New Roman" w:hAnsi="Times New Roman" w:cs="Times New Roman"/>
          <w:lang w:val="de-DE"/>
        </w:rPr>
        <w:t xml:space="preserve"> </w:t>
      </w:r>
      <w:r w:rsidRPr="009737B5">
        <w:rPr>
          <w:rFonts w:ascii="Times New Roman" w:hAnsi="Times New Roman" w:cs="Times New Roman"/>
          <w:lang w:val="de-DE"/>
        </w:rPr>
        <w:t xml:space="preserve">dargestellten </w:t>
      </w:r>
      <w:r w:rsidR="0010405B" w:rsidRPr="009737B5">
        <w:rPr>
          <w:rFonts w:ascii="Times New Roman" w:hAnsi="Times New Roman" w:cs="Times New Roman"/>
          <w:lang w:val="de-DE"/>
        </w:rPr>
        <w:t xml:space="preserve">primären </w:t>
      </w:r>
      <w:r w:rsidRPr="009737B5">
        <w:rPr>
          <w:rFonts w:ascii="Times New Roman" w:hAnsi="Times New Roman" w:cs="Times New Roman"/>
          <w:lang w:val="de-DE"/>
        </w:rPr>
        <w:t>PFS-Analyse.</w:t>
      </w:r>
    </w:p>
    <w:p w14:paraId="1CD9111A" w14:textId="77777777" w:rsidR="00010E8C" w:rsidRPr="009737B5" w:rsidRDefault="00010E8C" w:rsidP="005F4D08">
      <w:pPr>
        <w:suppressAutoHyphens/>
        <w:spacing w:after="0" w:line="240" w:lineRule="auto"/>
        <w:rPr>
          <w:rFonts w:ascii="Times New Roman" w:hAnsi="Times New Roman" w:cs="Times New Roman"/>
          <w:lang w:val="de-DE"/>
        </w:rPr>
      </w:pPr>
    </w:p>
    <w:p w14:paraId="4E71CB2A" w14:textId="2A9A66E0" w:rsidR="00010E8C" w:rsidRPr="009737B5" w:rsidRDefault="00010E8C">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lastRenderedPageBreak/>
        <w:t>Tabelle</w:t>
      </w:r>
      <w:r w:rsidR="000206F4">
        <w:rPr>
          <w:rFonts w:ascii="Times New Roman" w:hAnsi="Times New Roman" w:cs="Times New Roman"/>
          <w:b/>
          <w:lang w:val="de-DE"/>
        </w:rPr>
        <w:t> </w:t>
      </w:r>
      <w:r w:rsidR="007F77FC">
        <w:rPr>
          <w:rFonts w:ascii="Times New Roman" w:hAnsi="Times New Roman" w:cs="Times New Roman"/>
          <w:b/>
          <w:lang w:val="de-DE"/>
        </w:rPr>
        <w:t>1</w:t>
      </w:r>
      <w:r w:rsidR="003E1054">
        <w:rPr>
          <w:rFonts w:ascii="Times New Roman" w:hAnsi="Times New Roman" w:cs="Times New Roman"/>
          <w:b/>
          <w:lang w:val="de-DE"/>
        </w:rPr>
        <w:t>9</w:t>
      </w:r>
      <w:r w:rsidR="00B82F72" w:rsidRPr="009737B5">
        <w:rPr>
          <w:rFonts w:ascii="Times New Roman" w:hAnsi="Times New Roman" w:cs="Times New Roman"/>
          <w:b/>
          <w:lang w:val="de-DE"/>
        </w:rPr>
        <w:t>.</w:t>
      </w:r>
      <w:r w:rsidRPr="009737B5">
        <w:rPr>
          <w:rFonts w:ascii="Times New Roman" w:hAnsi="Times New Roman" w:cs="Times New Roman"/>
          <w:b/>
          <w:lang w:val="de-DE"/>
        </w:rPr>
        <w:t xml:space="preserve"> PFS</w:t>
      </w:r>
      <w:r w:rsidRPr="009737B5">
        <w:rPr>
          <w:rFonts w:ascii="Times New Roman" w:hAnsi="Times New Roman" w:cs="Times New Roman"/>
          <w:b/>
          <w:vertAlign w:val="superscript"/>
          <w:lang w:val="de-DE"/>
        </w:rPr>
        <w:t>1</w:t>
      </w:r>
      <w:r w:rsidRPr="009737B5">
        <w:rPr>
          <w:rFonts w:ascii="Times New Roman" w:hAnsi="Times New Roman" w:cs="Times New Roman"/>
          <w:b/>
          <w:lang w:val="de-DE"/>
        </w:rPr>
        <w:t>-Ergebnisse nach Krankheitsstadium und postoperativem Tumorrest der Studie</w:t>
      </w:r>
      <w:r w:rsidR="009B6D2A">
        <w:rPr>
          <w:rFonts w:ascii="Times New Roman" w:hAnsi="Times New Roman" w:cs="Times New Roman"/>
          <w:b/>
          <w:lang w:val="de-DE"/>
        </w:rPr>
        <w:t> </w:t>
      </w:r>
      <w:r w:rsidRPr="009737B5">
        <w:rPr>
          <w:rFonts w:ascii="Times New Roman" w:hAnsi="Times New Roman" w:cs="Times New Roman"/>
          <w:b/>
          <w:lang w:val="de-DE"/>
        </w:rPr>
        <w:t>BO17707 (ICON7)</w:t>
      </w:r>
    </w:p>
    <w:p w14:paraId="7E8BF75A" w14:textId="77777777" w:rsidR="00010E8C" w:rsidRPr="009737B5" w:rsidRDefault="00010E8C">
      <w:pPr>
        <w:keepNext/>
        <w:suppressAutoHyphens/>
        <w:spacing w:after="0" w:line="240" w:lineRule="auto"/>
        <w:rPr>
          <w:rFonts w:ascii="Times New Roman" w:hAnsi="Times New Roman" w:cs="Times New Roman"/>
          <w:lang w:val="de-DE"/>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1"/>
        <w:gridCol w:w="2508"/>
        <w:gridCol w:w="2552"/>
      </w:tblGrid>
      <w:tr w:rsidR="007B2CB7" w:rsidRPr="00B83674" w14:paraId="5968677A" w14:textId="77777777" w:rsidTr="00F5639E">
        <w:trPr>
          <w:trHeight w:val="20"/>
        </w:trPr>
        <w:tc>
          <w:tcPr>
            <w:tcW w:w="8931" w:type="dxa"/>
            <w:gridSpan w:val="3"/>
            <w:noWrap/>
          </w:tcPr>
          <w:p w14:paraId="5A9D2384" w14:textId="77777777" w:rsidR="007B2CB7" w:rsidRPr="009737B5" w:rsidRDefault="004E7F2C" w:rsidP="000B6CC4">
            <w:pPr>
              <w:keepNext/>
              <w:autoSpaceDE w:val="0"/>
              <w:autoSpaceDN w:val="0"/>
              <w:adjustRightInd w:val="0"/>
              <w:spacing w:after="0" w:line="240" w:lineRule="auto"/>
              <w:rPr>
                <w:rFonts w:ascii="Times New Roman" w:hAnsi="Times New Roman" w:cs="Times New Roman"/>
                <w:lang w:val="de-DE"/>
              </w:rPr>
            </w:pPr>
            <w:r w:rsidRPr="009737B5">
              <w:rPr>
                <w:rFonts w:ascii="Times New Roman" w:hAnsi="Times New Roman" w:cs="Times New Roman"/>
                <w:bCs/>
                <w:lang w:val="de-DE"/>
              </w:rPr>
              <w:t>Randomisierte Patienten im FIGO-Stadium III, optimal operiert</w:t>
            </w:r>
            <w:r w:rsidRPr="009737B5">
              <w:rPr>
                <w:rFonts w:ascii="Times New Roman" w:hAnsi="Times New Roman" w:cs="Times New Roman"/>
                <w:bCs/>
                <w:vertAlign w:val="superscript"/>
                <w:lang w:val="de-DE"/>
              </w:rPr>
              <w:t>2,</w:t>
            </w:r>
            <w:r w:rsidR="008B3E64" w:rsidRPr="009737B5">
              <w:rPr>
                <w:rFonts w:ascii="Times New Roman" w:hAnsi="Times New Roman" w:cs="Times New Roman"/>
                <w:bCs/>
                <w:vertAlign w:val="superscript"/>
                <w:lang w:val="de-DE"/>
              </w:rPr>
              <w:t xml:space="preserve"> </w:t>
            </w:r>
            <w:r w:rsidRPr="009737B5">
              <w:rPr>
                <w:rFonts w:ascii="Times New Roman" w:hAnsi="Times New Roman" w:cs="Times New Roman"/>
                <w:bCs/>
                <w:vertAlign w:val="superscript"/>
                <w:lang w:val="de-DE"/>
              </w:rPr>
              <w:t>3</w:t>
            </w:r>
          </w:p>
        </w:tc>
      </w:tr>
      <w:tr w:rsidR="007B2CB7" w:rsidRPr="00402720" w14:paraId="5082C258" w14:textId="77777777" w:rsidTr="00F35F02">
        <w:trPr>
          <w:trHeight w:val="20"/>
        </w:trPr>
        <w:tc>
          <w:tcPr>
            <w:tcW w:w="3871" w:type="dxa"/>
            <w:noWrap/>
          </w:tcPr>
          <w:p w14:paraId="15569C13" w14:textId="77777777" w:rsidR="007B2CB7" w:rsidRPr="009737B5" w:rsidRDefault="007B2CB7" w:rsidP="000B6CC4">
            <w:pPr>
              <w:keepNext/>
              <w:autoSpaceDE w:val="0"/>
              <w:autoSpaceDN w:val="0"/>
              <w:adjustRightInd w:val="0"/>
              <w:spacing w:after="0" w:line="240" w:lineRule="auto"/>
              <w:rPr>
                <w:rFonts w:ascii="Times New Roman" w:hAnsi="Times New Roman" w:cs="Times New Roman"/>
                <w:lang w:val="de-DE"/>
              </w:rPr>
            </w:pPr>
          </w:p>
        </w:tc>
        <w:tc>
          <w:tcPr>
            <w:tcW w:w="2508" w:type="dxa"/>
            <w:noWrap/>
          </w:tcPr>
          <w:p w14:paraId="36AE35D5" w14:textId="77777777" w:rsidR="007B2CB7" w:rsidRPr="009737B5" w:rsidRDefault="007B2CB7"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w:t>
            </w:r>
          </w:p>
          <w:p w14:paraId="5453F74E" w14:textId="77777777" w:rsidR="007B2CB7" w:rsidRPr="009737B5" w:rsidRDefault="007B2CB7"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368)</w:t>
            </w:r>
          </w:p>
        </w:tc>
        <w:tc>
          <w:tcPr>
            <w:tcW w:w="2552" w:type="dxa"/>
            <w:noWrap/>
          </w:tcPr>
          <w:p w14:paraId="34435DC1" w14:textId="77777777" w:rsidR="007B2CB7" w:rsidRPr="009737B5" w:rsidRDefault="007B2CB7"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CPB7,5+</w:t>
            </w:r>
          </w:p>
          <w:p w14:paraId="1770769A" w14:textId="77777777" w:rsidR="007B2CB7" w:rsidRPr="009737B5" w:rsidRDefault="007B2CB7"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383)</w:t>
            </w:r>
          </w:p>
        </w:tc>
      </w:tr>
      <w:tr w:rsidR="007B2CB7" w:rsidRPr="00402720" w14:paraId="6D908C4D" w14:textId="77777777" w:rsidTr="00F35F02">
        <w:trPr>
          <w:trHeight w:val="20"/>
        </w:trPr>
        <w:tc>
          <w:tcPr>
            <w:tcW w:w="3871" w:type="dxa"/>
            <w:noWrap/>
          </w:tcPr>
          <w:p w14:paraId="43667FFD" w14:textId="77777777" w:rsidR="007B2CB7" w:rsidRPr="009737B5" w:rsidRDefault="007B2CB7" w:rsidP="000B6CC4">
            <w:pPr>
              <w:keepNext/>
              <w:tabs>
                <w:tab w:val="left" w:pos="567"/>
              </w:tabs>
              <w:spacing w:after="0" w:line="240" w:lineRule="auto"/>
              <w:ind w:left="567"/>
              <w:rPr>
                <w:rFonts w:ascii="Times New Roman" w:hAnsi="Times New Roman" w:cs="Times New Roman"/>
                <w:lang w:val="de-DE"/>
              </w:rPr>
            </w:pPr>
            <w:r w:rsidRPr="009737B5">
              <w:rPr>
                <w:rFonts w:ascii="Times New Roman" w:hAnsi="Times New Roman" w:cs="Times New Roman"/>
                <w:lang w:val="de-DE"/>
              </w:rPr>
              <w:t>Median</w:t>
            </w:r>
            <w:r w:rsidR="00490D90" w:rsidRPr="009737B5">
              <w:rPr>
                <w:rFonts w:ascii="Times New Roman" w:hAnsi="Times New Roman" w:cs="Times New Roman"/>
                <w:lang w:val="de-DE"/>
              </w:rPr>
              <w:t>es</w:t>
            </w:r>
            <w:r w:rsidRPr="009737B5">
              <w:rPr>
                <w:rFonts w:ascii="Times New Roman" w:hAnsi="Times New Roman" w:cs="Times New Roman"/>
                <w:lang w:val="de-DE"/>
              </w:rPr>
              <w:t xml:space="preserve"> PFS (</w:t>
            </w:r>
            <w:r w:rsidR="0084055B" w:rsidRPr="009737B5">
              <w:rPr>
                <w:rFonts w:ascii="Times New Roman" w:hAnsi="Times New Roman" w:cs="Times New Roman"/>
                <w:lang w:val="de-DE"/>
              </w:rPr>
              <w:t>Monate</w:t>
            </w:r>
            <w:r w:rsidRPr="009737B5">
              <w:rPr>
                <w:rFonts w:ascii="Times New Roman" w:hAnsi="Times New Roman" w:cs="Times New Roman"/>
                <w:lang w:val="de-DE"/>
              </w:rPr>
              <w:t>)</w:t>
            </w:r>
          </w:p>
        </w:tc>
        <w:tc>
          <w:tcPr>
            <w:tcW w:w="2508" w:type="dxa"/>
            <w:noWrap/>
          </w:tcPr>
          <w:p w14:paraId="4E48D477" w14:textId="77777777" w:rsidR="007B2CB7" w:rsidRPr="009737B5" w:rsidRDefault="007B2CB7"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17,7</w:t>
            </w:r>
          </w:p>
        </w:tc>
        <w:tc>
          <w:tcPr>
            <w:tcW w:w="2552" w:type="dxa"/>
            <w:noWrap/>
          </w:tcPr>
          <w:p w14:paraId="5B0BC4FA" w14:textId="77777777" w:rsidR="007B2CB7" w:rsidRPr="009737B5" w:rsidRDefault="007B2CB7"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19,3</w:t>
            </w:r>
          </w:p>
        </w:tc>
      </w:tr>
      <w:tr w:rsidR="00F35F02" w:rsidRPr="00402720" w14:paraId="5A2F89FE" w14:textId="77777777" w:rsidTr="00F35F02">
        <w:trPr>
          <w:trHeight w:val="20"/>
        </w:trPr>
        <w:tc>
          <w:tcPr>
            <w:tcW w:w="3871" w:type="dxa"/>
            <w:noWrap/>
          </w:tcPr>
          <w:p w14:paraId="5D634BE0" w14:textId="67EAA545" w:rsidR="00F35F02" w:rsidRPr="009737B5" w:rsidRDefault="00F35F02" w:rsidP="000B6CC4">
            <w:pPr>
              <w:keepNext/>
              <w:tabs>
                <w:tab w:val="left" w:pos="567"/>
              </w:tabs>
              <w:spacing w:after="0" w:line="240" w:lineRule="auto"/>
              <w:ind w:left="567"/>
              <w:rPr>
                <w:rFonts w:ascii="Times New Roman" w:hAnsi="Times New Roman" w:cs="Times New Roman"/>
                <w:lang w:val="de-DE"/>
              </w:rPr>
            </w:pPr>
            <w:r w:rsidRPr="009737B5">
              <w:rPr>
                <w:rFonts w:ascii="Times New Roman" w:hAnsi="Times New Roman" w:cs="Times New Roman"/>
                <w:lang w:val="de-DE"/>
              </w:rPr>
              <w:t xml:space="preserve">Hazard </w:t>
            </w:r>
            <w:r w:rsidR="002A093C" w:rsidRPr="009737B5">
              <w:rPr>
                <w:rFonts w:ascii="Times New Roman" w:hAnsi="Times New Roman" w:cs="Times New Roman"/>
                <w:lang w:val="de-DE"/>
              </w:rPr>
              <w:t>R</w:t>
            </w:r>
            <w:r w:rsidRPr="009737B5">
              <w:rPr>
                <w:rFonts w:ascii="Times New Roman" w:hAnsi="Times New Roman" w:cs="Times New Roman"/>
                <w:lang w:val="de-DE"/>
              </w:rPr>
              <w:t>atio (95</w:t>
            </w:r>
            <w:r w:rsidR="00905FDC">
              <w:rPr>
                <w:rFonts w:ascii="Times New Roman" w:hAnsi="Times New Roman" w:cs="Times New Roman"/>
                <w:lang w:val="de-DE"/>
              </w:rPr>
              <w:t> </w:t>
            </w:r>
            <w:r w:rsidRPr="009737B5">
              <w:rPr>
                <w:rFonts w:ascii="Times New Roman" w:hAnsi="Times New Roman" w:cs="Times New Roman"/>
                <w:lang w:val="de-DE"/>
              </w:rPr>
              <w:t>%</w:t>
            </w:r>
            <w:r w:rsidR="00905FDC">
              <w:rPr>
                <w:rFonts w:ascii="Times New Roman" w:hAnsi="Times New Roman" w:cs="Times New Roman"/>
                <w:lang w:val="de-DE"/>
              </w:rPr>
              <w:t> </w:t>
            </w:r>
            <w:r w:rsidRPr="009737B5">
              <w:rPr>
                <w:rFonts w:ascii="Times New Roman" w:hAnsi="Times New Roman" w:cs="Times New Roman"/>
                <w:lang w:val="de-DE"/>
              </w:rPr>
              <w:t>KI)</w:t>
            </w:r>
            <w:r w:rsidRPr="009737B5">
              <w:rPr>
                <w:rFonts w:ascii="Times New Roman" w:hAnsi="Times New Roman" w:cs="Times New Roman"/>
                <w:vertAlign w:val="superscript"/>
                <w:lang w:val="de-DE"/>
              </w:rPr>
              <w:t>4</w:t>
            </w:r>
          </w:p>
        </w:tc>
        <w:tc>
          <w:tcPr>
            <w:tcW w:w="2508" w:type="dxa"/>
            <w:noWrap/>
          </w:tcPr>
          <w:p w14:paraId="4562AB6A" w14:textId="77777777" w:rsidR="00F35F02" w:rsidRPr="009737B5" w:rsidRDefault="00F35F02" w:rsidP="000B6CC4">
            <w:pPr>
              <w:keepNext/>
              <w:autoSpaceDE w:val="0"/>
              <w:autoSpaceDN w:val="0"/>
              <w:adjustRightInd w:val="0"/>
              <w:spacing w:after="0" w:line="240" w:lineRule="auto"/>
              <w:rPr>
                <w:rFonts w:ascii="Times New Roman" w:hAnsi="Times New Roman" w:cs="Times New Roman"/>
                <w:lang w:val="de-DE"/>
              </w:rPr>
            </w:pPr>
          </w:p>
        </w:tc>
        <w:tc>
          <w:tcPr>
            <w:tcW w:w="2552" w:type="dxa"/>
          </w:tcPr>
          <w:p w14:paraId="7556CF95" w14:textId="77777777" w:rsidR="00F35F02" w:rsidRPr="009737B5" w:rsidRDefault="00F35F02"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0,89</w:t>
            </w:r>
          </w:p>
          <w:p w14:paraId="1E666B4F" w14:textId="77777777" w:rsidR="00F35F02" w:rsidRPr="009737B5" w:rsidRDefault="00F35F02"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(0,74; 1,07)</w:t>
            </w:r>
          </w:p>
        </w:tc>
      </w:tr>
      <w:tr w:rsidR="001973F4" w:rsidRPr="00B83674" w14:paraId="13EDAA5E" w14:textId="77777777" w:rsidTr="00D83EB7">
        <w:trPr>
          <w:trHeight w:val="20"/>
        </w:trPr>
        <w:tc>
          <w:tcPr>
            <w:tcW w:w="8931" w:type="dxa"/>
            <w:gridSpan w:val="3"/>
            <w:noWrap/>
          </w:tcPr>
          <w:p w14:paraId="2BC08651" w14:textId="4194C13F" w:rsidR="001973F4" w:rsidRPr="009737B5" w:rsidRDefault="001973F4" w:rsidP="000B6CC4">
            <w:pPr>
              <w:keepNext/>
              <w:autoSpaceDE w:val="0"/>
              <w:autoSpaceDN w:val="0"/>
              <w:adjustRightInd w:val="0"/>
              <w:spacing w:after="0" w:line="240" w:lineRule="auto"/>
              <w:rPr>
                <w:rFonts w:ascii="Times New Roman" w:hAnsi="Times New Roman" w:cs="Times New Roman"/>
                <w:lang w:val="de-DE"/>
              </w:rPr>
            </w:pPr>
            <w:r w:rsidRPr="009737B5">
              <w:rPr>
                <w:rFonts w:ascii="Times New Roman" w:hAnsi="Times New Roman" w:cs="Times New Roman"/>
                <w:lang w:val="de-DE"/>
              </w:rPr>
              <w:t>Randomisierte Patienten im FIGO-Stadium III, suboptimal operiert</w:t>
            </w:r>
            <w:r w:rsidRPr="009737B5">
              <w:rPr>
                <w:rFonts w:ascii="Times New Roman" w:hAnsi="Times New Roman" w:cs="Times New Roman"/>
                <w:vertAlign w:val="superscript"/>
                <w:lang w:val="de-DE"/>
              </w:rPr>
              <w:t>3</w:t>
            </w:r>
          </w:p>
        </w:tc>
      </w:tr>
      <w:tr w:rsidR="007B2CB7" w:rsidRPr="00402720" w14:paraId="1E8B0009" w14:textId="77777777" w:rsidTr="00F35F02">
        <w:trPr>
          <w:trHeight w:val="20"/>
        </w:trPr>
        <w:tc>
          <w:tcPr>
            <w:tcW w:w="3871" w:type="dxa"/>
            <w:noWrap/>
          </w:tcPr>
          <w:p w14:paraId="1FADA2EE" w14:textId="77777777" w:rsidR="007B2CB7" w:rsidRPr="009737B5" w:rsidRDefault="007B2CB7" w:rsidP="000B6CC4">
            <w:pPr>
              <w:keepNext/>
              <w:autoSpaceDE w:val="0"/>
              <w:autoSpaceDN w:val="0"/>
              <w:adjustRightInd w:val="0"/>
              <w:spacing w:after="0" w:line="240" w:lineRule="auto"/>
              <w:rPr>
                <w:rFonts w:ascii="Times New Roman" w:hAnsi="Times New Roman" w:cs="Times New Roman"/>
                <w:lang w:val="de-DE"/>
              </w:rPr>
            </w:pPr>
          </w:p>
        </w:tc>
        <w:tc>
          <w:tcPr>
            <w:tcW w:w="2508" w:type="dxa"/>
            <w:noWrap/>
          </w:tcPr>
          <w:p w14:paraId="63504293" w14:textId="77777777" w:rsidR="007B2CB7" w:rsidRPr="009737B5" w:rsidRDefault="007B2CB7"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w:t>
            </w:r>
          </w:p>
          <w:p w14:paraId="1916F17F" w14:textId="77777777" w:rsidR="007B2CB7" w:rsidRPr="009737B5" w:rsidRDefault="007B2CB7"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154)</w:t>
            </w:r>
          </w:p>
        </w:tc>
        <w:tc>
          <w:tcPr>
            <w:tcW w:w="2552" w:type="dxa"/>
            <w:noWrap/>
          </w:tcPr>
          <w:p w14:paraId="203B64CA" w14:textId="77777777" w:rsidR="007B2CB7" w:rsidRPr="009737B5" w:rsidRDefault="007B2CB7"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CPB7,5+</w:t>
            </w:r>
          </w:p>
          <w:p w14:paraId="21965015" w14:textId="77777777" w:rsidR="007B2CB7" w:rsidRPr="009737B5" w:rsidRDefault="007B2CB7"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140)</w:t>
            </w:r>
          </w:p>
        </w:tc>
      </w:tr>
      <w:tr w:rsidR="007B2CB7" w:rsidRPr="00402720" w14:paraId="18A7E9A8" w14:textId="77777777" w:rsidTr="00F35F02">
        <w:trPr>
          <w:trHeight w:val="20"/>
        </w:trPr>
        <w:tc>
          <w:tcPr>
            <w:tcW w:w="3871" w:type="dxa"/>
            <w:noWrap/>
          </w:tcPr>
          <w:p w14:paraId="558D1AE8" w14:textId="77777777" w:rsidR="007B2CB7" w:rsidRPr="009737B5" w:rsidRDefault="007B2CB7" w:rsidP="000B6CC4">
            <w:pPr>
              <w:keepNext/>
              <w:tabs>
                <w:tab w:val="left" w:pos="567"/>
              </w:tabs>
              <w:spacing w:after="0" w:line="240" w:lineRule="auto"/>
              <w:ind w:left="567"/>
              <w:rPr>
                <w:rFonts w:ascii="Times New Roman" w:hAnsi="Times New Roman" w:cs="Times New Roman"/>
                <w:lang w:val="de-DE"/>
              </w:rPr>
            </w:pPr>
            <w:r w:rsidRPr="009737B5">
              <w:rPr>
                <w:rFonts w:ascii="Times New Roman" w:hAnsi="Times New Roman" w:cs="Times New Roman"/>
                <w:lang w:val="de-DE"/>
              </w:rPr>
              <w:t>Median</w:t>
            </w:r>
            <w:r w:rsidR="00D75CEE" w:rsidRPr="009737B5">
              <w:rPr>
                <w:rFonts w:ascii="Times New Roman" w:hAnsi="Times New Roman" w:cs="Times New Roman"/>
                <w:lang w:val="de-DE"/>
              </w:rPr>
              <w:t>es</w:t>
            </w:r>
            <w:r w:rsidRPr="009737B5">
              <w:rPr>
                <w:rFonts w:ascii="Times New Roman" w:hAnsi="Times New Roman" w:cs="Times New Roman"/>
                <w:lang w:val="de-DE"/>
              </w:rPr>
              <w:t xml:space="preserve"> PFS (</w:t>
            </w:r>
            <w:r w:rsidR="0084055B" w:rsidRPr="009737B5">
              <w:rPr>
                <w:rFonts w:ascii="Times New Roman" w:hAnsi="Times New Roman" w:cs="Times New Roman"/>
                <w:lang w:val="de-DE"/>
              </w:rPr>
              <w:t>Monate</w:t>
            </w:r>
            <w:r w:rsidRPr="009737B5">
              <w:rPr>
                <w:rFonts w:ascii="Times New Roman" w:hAnsi="Times New Roman" w:cs="Times New Roman"/>
                <w:lang w:val="de-DE"/>
              </w:rPr>
              <w:t>)</w:t>
            </w:r>
          </w:p>
        </w:tc>
        <w:tc>
          <w:tcPr>
            <w:tcW w:w="2508" w:type="dxa"/>
            <w:noWrap/>
          </w:tcPr>
          <w:p w14:paraId="214E149E" w14:textId="77777777" w:rsidR="007B2CB7" w:rsidRPr="009737B5" w:rsidRDefault="007B2CB7"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10,1</w:t>
            </w:r>
          </w:p>
        </w:tc>
        <w:tc>
          <w:tcPr>
            <w:tcW w:w="2552" w:type="dxa"/>
            <w:noWrap/>
          </w:tcPr>
          <w:p w14:paraId="4B79BF2C" w14:textId="77777777" w:rsidR="007B2CB7" w:rsidRPr="009737B5" w:rsidRDefault="007B2CB7"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16,9</w:t>
            </w:r>
          </w:p>
        </w:tc>
      </w:tr>
      <w:tr w:rsidR="00F35F02" w:rsidRPr="00402720" w14:paraId="38C4023A" w14:textId="77777777" w:rsidTr="00F35F02">
        <w:trPr>
          <w:trHeight w:val="20"/>
        </w:trPr>
        <w:tc>
          <w:tcPr>
            <w:tcW w:w="3871" w:type="dxa"/>
            <w:noWrap/>
          </w:tcPr>
          <w:p w14:paraId="7CBB905E" w14:textId="53765DF7" w:rsidR="00F35F02" w:rsidRPr="009737B5" w:rsidRDefault="00F35F02" w:rsidP="000B6CC4">
            <w:pPr>
              <w:keepNext/>
              <w:tabs>
                <w:tab w:val="left" w:pos="567"/>
              </w:tabs>
              <w:spacing w:after="0" w:line="240" w:lineRule="auto"/>
              <w:ind w:left="567"/>
              <w:rPr>
                <w:rFonts w:ascii="Times New Roman" w:hAnsi="Times New Roman" w:cs="Times New Roman"/>
                <w:lang w:val="de-DE"/>
              </w:rPr>
            </w:pPr>
            <w:r w:rsidRPr="009737B5">
              <w:rPr>
                <w:rFonts w:ascii="Times New Roman" w:hAnsi="Times New Roman" w:cs="Times New Roman"/>
                <w:lang w:val="de-DE"/>
              </w:rPr>
              <w:t xml:space="preserve">Hazard </w:t>
            </w:r>
            <w:r w:rsidR="00321EB7" w:rsidRPr="009737B5">
              <w:rPr>
                <w:rFonts w:ascii="Times New Roman" w:hAnsi="Times New Roman" w:cs="Times New Roman"/>
                <w:lang w:val="de-DE"/>
              </w:rPr>
              <w:t>R</w:t>
            </w:r>
            <w:r w:rsidRPr="009737B5">
              <w:rPr>
                <w:rFonts w:ascii="Times New Roman" w:hAnsi="Times New Roman" w:cs="Times New Roman"/>
                <w:lang w:val="de-DE"/>
              </w:rPr>
              <w:t>atio (95</w:t>
            </w:r>
            <w:r w:rsidR="00905FDC">
              <w:rPr>
                <w:rFonts w:ascii="Times New Roman" w:hAnsi="Times New Roman" w:cs="Times New Roman"/>
                <w:lang w:val="de-DE"/>
              </w:rPr>
              <w:t> </w:t>
            </w:r>
            <w:r w:rsidRPr="009737B5">
              <w:rPr>
                <w:rFonts w:ascii="Times New Roman" w:hAnsi="Times New Roman" w:cs="Times New Roman"/>
                <w:lang w:val="de-DE"/>
              </w:rPr>
              <w:t>%</w:t>
            </w:r>
            <w:r w:rsidR="00905FDC">
              <w:rPr>
                <w:rFonts w:ascii="Times New Roman" w:hAnsi="Times New Roman" w:cs="Times New Roman"/>
                <w:lang w:val="de-DE"/>
              </w:rPr>
              <w:t> </w:t>
            </w:r>
            <w:r w:rsidRPr="009737B5">
              <w:rPr>
                <w:rFonts w:ascii="Times New Roman" w:hAnsi="Times New Roman" w:cs="Times New Roman"/>
                <w:lang w:val="de-DE"/>
              </w:rPr>
              <w:t>KI)</w:t>
            </w:r>
            <w:r w:rsidRPr="009737B5">
              <w:rPr>
                <w:rFonts w:ascii="Times New Roman" w:hAnsi="Times New Roman" w:cs="Times New Roman"/>
                <w:vertAlign w:val="superscript"/>
                <w:lang w:val="de-DE"/>
              </w:rPr>
              <w:t>4</w:t>
            </w:r>
          </w:p>
        </w:tc>
        <w:tc>
          <w:tcPr>
            <w:tcW w:w="2508" w:type="dxa"/>
            <w:noWrap/>
          </w:tcPr>
          <w:p w14:paraId="429E6B25" w14:textId="77777777" w:rsidR="00F35F02" w:rsidRPr="009737B5" w:rsidRDefault="00F35F02" w:rsidP="000B6CC4">
            <w:pPr>
              <w:keepNext/>
              <w:autoSpaceDE w:val="0"/>
              <w:autoSpaceDN w:val="0"/>
              <w:adjustRightInd w:val="0"/>
              <w:spacing w:after="0" w:line="240" w:lineRule="auto"/>
              <w:jc w:val="center"/>
              <w:rPr>
                <w:rFonts w:ascii="Times New Roman" w:hAnsi="Times New Roman" w:cs="Times New Roman"/>
                <w:lang w:val="de-DE"/>
              </w:rPr>
            </w:pPr>
          </w:p>
        </w:tc>
        <w:tc>
          <w:tcPr>
            <w:tcW w:w="2552" w:type="dxa"/>
          </w:tcPr>
          <w:p w14:paraId="5281542A" w14:textId="77777777" w:rsidR="00F35F02" w:rsidRPr="009737B5" w:rsidRDefault="00F35F02"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0,67</w:t>
            </w:r>
          </w:p>
          <w:p w14:paraId="4686B469" w14:textId="77777777" w:rsidR="00F35F02" w:rsidRPr="009737B5" w:rsidRDefault="00F35F02"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(0,52; 0,87)</w:t>
            </w:r>
          </w:p>
        </w:tc>
      </w:tr>
      <w:tr w:rsidR="007B2CB7" w:rsidRPr="00AA0497" w14:paraId="68885FB4" w14:textId="77777777" w:rsidTr="00F5639E">
        <w:trPr>
          <w:trHeight w:val="20"/>
        </w:trPr>
        <w:tc>
          <w:tcPr>
            <w:tcW w:w="8931" w:type="dxa"/>
            <w:gridSpan w:val="3"/>
            <w:noWrap/>
          </w:tcPr>
          <w:p w14:paraId="52963BFE" w14:textId="77777777" w:rsidR="007B2CB7" w:rsidRPr="009737B5" w:rsidRDefault="00D75CEE">
            <w:pPr>
              <w:keepNext/>
              <w:autoSpaceDE w:val="0"/>
              <w:autoSpaceDN w:val="0"/>
              <w:adjustRightInd w:val="0"/>
              <w:spacing w:after="0" w:line="240" w:lineRule="auto"/>
              <w:rPr>
                <w:rFonts w:ascii="Times New Roman" w:hAnsi="Times New Roman" w:cs="Times New Roman"/>
                <w:lang w:val="de-DE"/>
              </w:rPr>
            </w:pPr>
            <w:r w:rsidRPr="009737B5">
              <w:rPr>
                <w:rFonts w:ascii="Times New Roman" w:hAnsi="Times New Roman" w:cs="Times New Roman"/>
                <w:lang w:val="de-DE"/>
              </w:rPr>
              <w:t>Randomisierte Patienten im FIGO-Stadium IV</w:t>
            </w:r>
          </w:p>
        </w:tc>
      </w:tr>
      <w:tr w:rsidR="007B2CB7" w:rsidRPr="00402720" w14:paraId="60BE59AB" w14:textId="77777777" w:rsidTr="00F35F02">
        <w:trPr>
          <w:trHeight w:val="20"/>
        </w:trPr>
        <w:tc>
          <w:tcPr>
            <w:tcW w:w="3871" w:type="dxa"/>
            <w:tcBorders>
              <w:bottom w:val="single" w:sz="4" w:space="0" w:color="auto"/>
            </w:tcBorders>
            <w:noWrap/>
          </w:tcPr>
          <w:p w14:paraId="52CC73D3" w14:textId="77777777" w:rsidR="007B2CB7" w:rsidRPr="009737B5" w:rsidRDefault="007B2CB7">
            <w:pPr>
              <w:keepNext/>
              <w:autoSpaceDE w:val="0"/>
              <w:autoSpaceDN w:val="0"/>
              <w:adjustRightInd w:val="0"/>
              <w:spacing w:after="0" w:line="240" w:lineRule="auto"/>
              <w:rPr>
                <w:rFonts w:ascii="Times New Roman" w:hAnsi="Times New Roman" w:cs="Times New Roman"/>
                <w:lang w:val="de-DE"/>
              </w:rPr>
            </w:pPr>
          </w:p>
        </w:tc>
        <w:tc>
          <w:tcPr>
            <w:tcW w:w="2508" w:type="dxa"/>
            <w:tcBorders>
              <w:bottom w:val="single" w:sz="4" w:space="0" w:color="auto"/>
            </w:tcBorders>
            <w:noWrap/>
          </w:tcPr>
          <w:p w14:paraId="08845407" w14:textId="77777777" w:rsidR="007B2CB7" w:rsidRPr="009737B5" w:rsidRDefault="007B2CB7">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w:t>
            </w:r>
          </w:p>
          <w:p w14:paraId="57983302" w14:textId="77777777" w:rsidR="007B2CB7" w:rsidRPr="009737B5" w:rsidRDefault="007B2CB7">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97)</w:t>
            </w:r>
          </w:p>
        </w:tc>
        <w:tc>
          <w:tcPr>
            <w:tcW w:w="2552" w:type="dxa"/>
            <w:tcBorders>
              <w:bottom w:val="single" w:sz="4" w:space="0" w:color="auto"/>
            </w:tcBorders>
            <w:noWrap/>
          </w:tcPr>
          <w:p w14:paraId="04E9C2D9" w14:textId="77777777" w:rsidR="007B2CB7" w:rsidRPr="009737B5" w:rsidRDefault="007B2CB7">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CPB7,5+</w:t>
            </w:r>
          </w:p>
          <w:p w14:paraId="16E4C09F" w14:textId="77777777" w:rsidR="007B2CB7" w:rsidRPr="009737B5" w:rsidRDefault="007B2CB7">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(n = 104)</w:t>
            </w:r>
          </w:p>
        </w:tc>
      </w:tr>
      <w:tr w:rsidR="0084055B" w:rsidRPr="00402720" w14:paraId="470502C6" w14:textId="77777777" w:rsidTr="00F35F02">
        <w:trPr>
          <w:trHeight w:val="20"/>
        </w:trPr>
        <w:tc>
          <w:tcPr>
            <w:tcW w:w="3871" w:type="dxa"/>
            <w:noWrap/>
          </w:tcPr>
          <w:p w14:paraId="0182E106" w14:textId="77777777" w:rsidR="0084055B" w:rsidRPr="009737B5" w:rsidRDefault="0084055B" w:rsidP="000B6CC4">
            <w:pPr>
              <w:keepNext/>
              <w:tabs>
                <w:tab w:val="left" w:pos="567"/>
              </w:tabs>
              <w:spacing w:after="0" w:line="240" w:lineRule="auto"/>
              <w:ind w:left="567"/>
              <w:rPr>
                <w:rFonts w:ascii="Times New Roman" w:hAnsi="Times New Roman" w:cs="Times New Roman"/>
                <w:lang w:val="de-DE"/>
              </w:rPr>
            </w:pPr>
            <w:r w:rsidRPr="009737B5">
              <w:rPr>
                <w:rFonts w:ascii="Times New Roman" w:hAnsi="Times New Roman" w:cs="Times New Roman"/>
                <w:lang w:val="de-DE"/>
              </w:rPr>
              <w:t>Median</w:t>
            </w:r>
            <w:r w:rsidR="00693A5A" w:rsidRPr="009737B5">
              <w:rPr>
                <w:rFonts w:ascii="Times New Roman" w:hAnsi="Times New Roman" w:cs="Times New Roman"/>
                <w:lang w:val="de-DE"/>
              </w:rPr>
              <w:t>es</w:t>
            </w:r>
            <w:r w:rsidRPr="009737B5">
              <w:rPr>
                <w:rFonts w:ascii="Times New Roman" w:hAnsi="Times New Roman" w:cs="Times New Roman"/>
                <w:lang w:val="de-DE"/>
              </w:rPr>
              <w:t xml:space="preserve"> PFS (Monate)</w:t>
            </w:r>
          </w:p>
        </w:tc>
        <w:tc>
          <w:tcPr>
            <w:tcW w:w="2508" w:type="dxa"/>
            <w:tcBorders>
              <w:top w:val="single" w:sz="4" w:space="0" w:color="auto"/>
              <w:bottom w:val="single" w:sz="4" w:space="0" w:color="auto"/>
            </w:tcBorders>
            <w:noWrap/>
          </w:tcPr>
          <w:p w14:paraId="14FF45E0" w14:textId="77777777" w:rsidR="0084055B" w:rsidRPr="009737B5" w:rsidRDefault="0084055B"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10,1</w:t>
            </w:r>
          </w:p>
        </w:tc>
        <w:tc>
          <w:tcPr>
            <w:tcW w:w="2552" w:type="dxa"/>
            <w:tcBorders>
              <w:top w:val="single" w:sz="4" w:space="0" w:color="auto"/>
              <w:bottom w:val="single" w:sz="4" w:space="0" w:color="auto"/>
            </w:tcBorders>
            <w:noWrap/>
          </w:tcPr>
          <w:p w14:paraId="202859AD" w14:textId="77777777" w:rsidR="0084055B" w:rsidRPr="009737B5" w:rsidRDefault="0084055B"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13,5</w:t>
            </w:r>
          </w:p>
        </w:tc>
      </w:tr>
      <w:tr w:rsidR="00F35F02" w:rsidRPr="00402720" w14:paraId="1493C874" w14:textId="77777777" w:rsidTr="00AD54E4">
        <w:trPr>
          <w:trHeight w:val="20"/>
        </w:trPr>
        <w:tc>
          <w:tcPr>
            <w:tcW w:w="3871" w:type="dxa"/>
            <w:noWrap/>
          </w:tcPr>
          <w:p w14:paraId="26483B9D" w14:textId="34BF3182" w:rsidR="00F35F02" w:rsidRPr="009737B5" w:rsidRDefault="00321EB7" w:rsidP="000B6CC4">
            <w:pPr>
              <w:keepNext/>
              <w:tabs>
                <w:tab w:val="left" w:pos="567"/>
              </w:tabs>
              <w:spacing w:after="0" w:line="240" w:lineRule="auto"/>
              <w:ind w:left="567"/>
              <w:rPr>
                <w:rFonts w:ascii="Times New Roman" w:hAnsi="Times New Roman" w:cs="Times New Roman"/>
                <w:lang w:val="de-DE"/>
              </w:rPr>
            </w:pPr>
            <w:r w:rsidRPr="009737B5">
              <w:rPr>
                <w:rFonts w:ascii="Times New Roman" w:hAnsi="Times New Roman" w:cs="Times New Roman"/>
                <w:lang w:val="de-DE"/>
              </w:rPr>
              <w:t>Hazard R</w:t>
            </w:r>
            <w:r w:rsidR="00F35F02" w:rsidRPr="009737B5">
              <w:rPr>
                <w:rFonts w:ascii="Times New Roman" w:hAnsi="Times New Roman" w:cs="Times New Roman"/>
                <w:lang w:val="de-DE"/>
              </w:rPr>
              <w:t>atio (95</w:t>
            </w:r>
            <w:r w:rsidR="00905FDC">
              <w:rPr>
                <w:rFonts w:ascii="Times New Roman" w:hAnsi="Times New Roman" w:cs="Times New Roman"/>
                <w:lang w:val="de-DE"/>
              </w:rPr>
              <w:t> </w:t>
            </w:r>
            <w:r w:rsidR="00F35F02" w:rsidRPr="009737B5">
              <w:rPr>
                <w:rFonts w:ascii="Times New Roman" w:hAnsi="Times New Roman" w:cs="Times New Roman"/>
                <w:lang w:val="de-DE"/>
              </w:rPr>
              <w:t>%</w:t>
            </w:r>
            <w:r w:rsidR="00905FDC">
              <w:rPr>
                <w:rFonts w:ascii="Times New Roman" w:hAnsi="Times New Roman" w:cs="Times New Roman"/>
                <w:lang w:val="de-DE"/>
              </w:rPr>
              <w:t> </w:t>
            </w:r>
            <w:r w:rsidR="00F35F02" w:rsidRPr="009737B5">
              <w:rPr>
                <w:rFonts w:ascii="Times New Roman" w:hAnsi="Times New Roman" w:cs="Times New Roman"/>
                <w:lang w:val="de-DE"/>
              </w:rPr>
              <w:t>KI)</w:t>
            </w:r>
            <w:r w:rsidR="00F35F02" w:rsidRPr="009737B5">
              <w:rPr>
                <w:rFonts w:ascii="Times New Roman" w:hAnsi="Times New Roman" w:cs="Times New Roman"/>
                <w:vertAlign w:val="superscript"/>
                <w:lang w:val="de-DE"/>
              </w:rPr>
              <w:t>4</w:t>
            </w:r>
          </w:p>
        </w:tc>
        <w:tc>
          <w:tcPr>
            <w:tcW w:w="2508" w:type="dxa"/>
            <w:tcBorders>
              <w:top w:val="single" w:sz="4" w:space="0" w:color="auto"/>
            </w:tcBorders>
            <w:noWrap/>
          </w:tcPr>
          <w:p w14:paraId="3C23B161" w14:textId="77777777" w:rsidR="00F35F02" w:rsidRPr="009737B5" w:rsidRDefault="00F35F02" w:rsidP="000B6CC4">
            <w:pPr>
              <w:keepNext/>
              <w:autoSpaceDE w:val="0"/>
              <w:autoSpaceDN w:val="0"/>
              <w:adjustRightInd w:val="0"/>
              <w:spacing w:after="0" w:line="240" w:lineRule="auto"/>
              <w:jc w:val="center"/>
              <w:rPr>
                <w:rFonts w:ascii="Times New Roman" w:hAnsi="Times New Roman" w:cs="Times New Roman"/>
                <w:lang w:val="de-DE"/>
              </w:rPr>
            </w:pPr>
          </w:p>
        </w:tc>
        <w:tc>
          <w:tcPr>
            <w:tcW w:w="2552" w:type="dxa"/>
            <w:tcBorders>
              <w:top w:val="single" w:sz="4" w:space="0" w:color="auto"/>
            </w:tcBorders>
          </w:tcPr>
          <w:p w14:paraId="4058AAAF" w14:textId="77777777" w:rsidR="00F35F02" w:rsidRPr="009737B5" w:rsidRDefault="00F35F02"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0,74</w:t>
            </w:r>
          </w:p>
          <w:p w14:paraId="2498CA40" w14:textId="77777777" w:rsidR="00F35F02" w:rsidRPr="009737B5" w:rsidRDefault="00AD54E4" w:rsidP="000B6CC4">
            <w:pPr>
              <w:keepNext/>
              <w:autoSpaceDE w:val="0"/>
              <w:autoSpaceDN w:val="0"/>
              <w:adjustRightInd w:val="0"/>
              <w:spacing w:after="0" w:line="240" w:lineRule="auto"/>
              <w:jc w:val="center"/>
              <w:rPr>
                <w:rFonts w:ascii="Times New Roman" w:hAnsi="Times New Roman" w:cs="Times New Roman"/>
                <w:lang w:val="de-DE"/>
              </w:rPr>
            </w:pPr>
            <w:r w:rsidRPr="009737B5">
              <w:rPr>
                <w:rFonts w:ascii="Times New Roman" w:hAnsi="Times New Roman" w:cs="Times New Roman"/>
                <w:lang w:val="de-DE"/>
              </w:rPr>
              <w:t>(0,55; 1,01)</w:t>
            </w:r>
          </w:p>
        </w:tc>
      </w:tr>
    </w:tbl>
    <w:p w14:paraId="047DBD65" w14:textId="25DB19AD" w:rsidR="00010E8C" w:rsidRPr="009737B5" w:rsidRDefault="00010E8C"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1</w:t>
      </w:r>
      <w:r w:rsidRPr="009737B5">
        <w:rPr>
          <w:rFonts w:ascii="Times New Roman" w:hAnsi="Times New Roman" w:cs="Times New Roman"/>
          <w:sz w:val="20"/>
          <w:szCs w:val="20"/>
          <w:lang w:val="de-DE"/>
        </w:rPr>
        <w:tab/>
        <w:t>PFS-Analyse gemäß Bewertung durch den Prüfarzt, mit Stichtag 30.</w:t>
      </w:r>
      <w:r w:rsidR="009B6D2A">
        <w:rPr>
          <w:rFonts w:ascii="Times New Roman" w:hAnsi="Times New Roman" w:cs="Times New Roman"/>
          <w:sz w:val="20"/>
          <w:szCs w:val="20"/>
          <w:lang w:val="de-DE"/>
        </w:rPr>
        <w:t> </w:t>
      </w:r>
      <w:r w:rsidRPr="009737B5">
        <w:rPr>
          <w:rFonts w:ascii="Times New Roman" w:hAnsi="Times New Roman" w:cs="Times New Roman"/>
          <w:sz w:val="20"/>
          <w:szCs w:val="20"/>
          <w:lang w:val="de-DE"/>
        </w:rPr>
        <w:t>November 2010.</w:t>
      </w:r>
    </w:p>
    <w:p w14:paraId="66D78875" w14:textId="77777777" w:rsidR="00010E8C" w:rsidRPr="009737B5" w:rsidRDefault="00010E8C"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2</w:t>
      </w:r>
      <w:r w:rsidRPr="009737B5">
        <w:rPr>
          <w:rFonts w:ascii="Times New Roman" w:hAnsi="Times New Roman" w:cs="Times New Roman"/>
          <w:sz w:val="20"/>
          <w:szCs w:val="20"/>
          <w:lang w:val="de-DE"/>
        </w:rPr>
        <w:tab/>
        <w:t>Per Definition mit oder ohne großen postoperativen Tumorrest.</w:t>
      </w:r>
    </w:p>
    <w:p w14:paraId="759AD641" w14:textId="6174C655" w:rsidR="00010E8C" w:rsidRPr="009737B5" w:rsidRDefault="00010E8C"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3</w:t>
      </w:r>
      <w:r w:rsidRPr="009737B5">
        <w:rPr>
          <w:rFonts w:ascii="Times New Roman" w:hAnsi="Times New Roman" w:cs="Times New Roman"/>
          <w:sz w:val="20"/>
          <w:szCs w:val="20"/>
          <w:lang w:val="de-DE"/>
        </w:rPr>
        <w:tab/>
        <w:t>5,8</w:t>
      </w:r>
      <w:r w:rsidR="00322E40" w:rsidRPr="009737B5">
        <w:rPr>
          <w:rFonts w:ascii="Times New Roman" w:hAnsi="Times New Roman" w:cs="Times New Roman"/>
          <w:sz w:val="20"/>
          <w:szCs w:val="20"/>
          <w:lang w:val="de-DE"/>
        </w:rPr>
        <w:t> %</w:t>
      </w:r>
      <w:r w:rsidRPr="009737B5">
        <w:rPr>
          <w:rFonts w:ascii="Times New Roman" w:hAnsi="Times New Roman" w:cs="Times New Roman"/>
          <w:sz w:val="20"/>
          <w:szCs w:val="20"/>
          <w:lang w:val="de-DE"/>
        </w:rPr>
        <w:t xml:space="preserve"> aller randomisierten Patienten befanden sich im FIGO-Stadium</w:t>
      </w:r>
      <w:r w:rsidR="009B6D2A">
        <w:rPr>
          <w:rFonts w:ascii="Times New Roman" w:hAnsi="Times New Roman" w:cs="Times New Roman"/>
          <w:sz w:val="20"/>
          <w:szCs w:val="20"/>
          <w:lang w:val="de-DE"/>
        </w:rPr>
        <w:t> </w:t>
      </w:r>
      <w:r w:rsidRPr="009737B5">
        <w:rPr>
          <w:rFonts w:ascii="Times New Roman" w:hAnsi="Times New Roman" w:cs="Times New Roman"/>
          <w:sz w:val="20"/>
          <w:szCs w:val="20"/>
          <w:lang w:val="de-DE"/>
        </w:rPr>
        <w:t>IIIB.</w:t>
      </w:r>
    </w:p>
    <w:p w14:paraId="501A6F14" w14:textId="77777777" w:rsidR="00010E8C" w:rsidRPr="009737B5" w:rsidRDefault="00010E8C"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4</w:t>
      </w:r>
      <w:r w:rsidRPr="009737B5">
        <w:rPr>
          <w:rFonts w:ascii="Times New Roman" w:hAnsi="Times New Roman" w:cs="Times New Roman"/>
          <w:sz w:val="20"/>
          <w:szCs w:val="20"/>
          <w:lang w:val="de-DE"/>
        </w:rPr>
        <w:tab/>
        <w:t>Relativ zum Kontrollarm.</w:t>
      </w:r>
    </w:p>
    <w:p w14:paraId="212428A9" w14:textId="77777777" w:rsidR="00010E8C" w:rsidRPr="009737B5" w:rsidRDefault="00010E8C" w:rsidP="005F4D08">
      <w:pPr>
        <w:suppressAutoHyphens/>
        <w:spacing w:after="0" w:line="240" w:lineRule="auto"/>
        <w:rPr>
          <w:rFonts w:ascii="Times New Roman" w:hAnsi="Times New Roman" w:cs="Times New Roman"/>
          <w:lang w:val="de-DE"/>
        </w:rPr>
      </w:pPr>
    </w:p>
    <w:p w14:paraId="03389F6F" w14:textId="77777777" w:rsidR="00010E8C" w:rsidRPr="009737B5" w:rsidRDefault="00010E8C" w:rsidP="000E029B">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Rezidivierendes Ovarialkarzinom</w:t>
      </w:r>
    </w:p>
    <w:p w14:paraId="2E49161B" w14:textId="77777777" w:rsidR="00010E8C" w:rsidRPr="009737B5" w:rsidRDefault="00010E8C" w:rsidP="000E029B">
      <w:pPr>
        <w:keepNext/>
        <w:suppressAutoHyphens/>
        <w:spacing w:after="0" w:line="240" w:lineRule="auto"/>
        <w:rPr>
          <w:rFonts w:ascii="Times New Roman" w:hAnsi="Times New Roman" w:cs="Times New Roman"/>
          <w:lang w:val="de-DE"/>
        </w:rPr>
      </w:pPr>
    </w:p>
    <w:p w14:paraId="44E1C6CD" w14:textId="57E985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Sicherheit und Wirksamkeit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in der Behandlung des Rezidivs eines epithelialen</w:t>
      </w:r>
      <w:r w:rsidR="007B2CB7" w:rsidRPr="009737B5">
        <w:rPr>
          <w:rFonts w:ascii="Times New Roman" w:hAnsi="Times New Roman" w:cs="Times New Roman"/>
          <w:lang w:val="de-DE"/>
        </w:rPr>
        <w:t xml:space="preserve"> </w:t>
      </w:r>
      <w:r w:rsidRPr="009737B5">
        <w:rPr>
          <w:rFonts w:ascii="Times New Roman" w:hAnsi="Times New Roman" w:cs="Times New Roman"/>
          <w:lang w:val="de-DE"/>
        </w:rPr>
        <w:t>Ovarialkarzinoms, Eileiterkarzinoms oder primären Peritonealkarzinoms wurde</w:t>
      </w:r>
      <w:r w:rsidR="00885FD1" w:rsidRPr="009737B5">
        <w:rPr>
          <w:rFonts w:ascii="Times New Roman" w:hAnsi="Times New Roman" w:cs="Times New Roman"/>
          <w:lang w:val="de-DE"/>
        </w:rPr>
        <w:t>n</w:t>
      </w:r>
      <w:r w:rsidRPr="009737B5">
        <w:rPr>
          <w:rFonts w:ascii="Times New Roman" w:hAnsi="Times New Roman" w:cs="Times New Roman"/>
          <w:lang w:val="de-DE"/>
        </w:rPr>
        <w:t xml:space="preserve"> in drei Studien der Phase</w:t>
      </w:r>
      <w:r w:rsidR="009B6D2A">
        <w:rPr>
          <w:rFonts w:ascii="Times New Roman" w:hAnsi="Times New Roman" w:cs="Times New Roman"/>
          <w:lang w:val="de-DE"/>
        </w:rPr>
        <w:t> </w:t>
      </w:r>
      <w:r w:rsidRPr="009737B5">
        <w:rPr>
          <w:rFonts w:ascii="Times New Roman" w:hAnsi="Times New Roman" w:cs="Times New Roman"/>
          <w:lang w:val="de-DE"/>
        </w:rPr>
        <w:t>III (AVF4095g, MO22224 und GOG-0213) mit unterschiedlichen Patientenpopulationen und verschiedenen Chemotherapien untersucht.</w:t>
      </w:r>
    </w:p>
    <w:p w14:paraId="249491C6" w14:textId="77777777" w:rsidR="00010E8C" w:rsidRPr="009737B5" w:rsidRDefault="00010E8C" w:rsidP="005F4D08">
      <w:pPr>
        <w:suppressAutoHyphens/>
        <w:spacing w:after="0" w:line="240" w:lineRule="auto"/>
        <w:rPr>
          <w:rFonts w:ascii="Times New Roman" w:hAnsi="Times New Roman" w:cs="Times New Roman"/>
          <w:lang w:val="de-DE"/>
        </w:rPr>
      </w:pPr>
    </w:p>
    <w:p w14:paraId="72A91099" w14:textId="77777777" w:rsidR="00010E8C" w:rsidRPr="009737B5" w:rsidRDefault="00010E8C" w:rsidP="007B2CB7">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In der Studie AVF4095g wurden die Wirksamkeit und Sicherheit von Bevacizumab in Kombination mit Carboplatin und Gemcitabin, gefolgt von Bevacizumab als Monotherapie bei Patienten mit platinsensitivem Rezidiv eines epithelialen Ovarialkarzinoms, Eileiterkarzinoms oder primären Peritonealkarzinoms</w:t>
      </w:r>
      <w:r w:rsidR="0010405B" w:rsidRPr="009737B5">
        <w:rPr>
          <w:rFonts w:ascii="Times New Roman" w:hAnsi="Times New Roman" w:cs="Times New Roman"/>
          <w:lang w:val="de-DE"/>
        </w:rPr>
        <w:t>,</w:t>
      </w:r>
      <w:r w:rsidRPr="009737B5">
        <w:rPr>
          <w:rFonts w:ascii="Times New Roman" w:hAnsi="Times New Roman" w:cs="Times New Roman"/>
          <w:lang w:val="de-DE"/>
        </w:rPr>
        <w:t xml:space="preserve"> evaluiert.</w:t>
      </w:r>
    </w:p>
    <w:p w14:paraId="5AEEBC36" w14:textId="77777777" w:rsidR="00010E8C" w:rsidRPr="009737B5" w:rsidRDefault="00010E8C" w:rsidP="007B2CB7">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In der Studie GOG-0213 wurden die Wirksamkeit und Sicherheit von Bevacizumab in Kombination mit Carboplatin und Paclitaxel, gefolgt von Bevacizumab als Monotherapie bei Patienten mit platinsensitivem Rezidiv eines epithelialen Ovarialkarzinoms, Eileiterkarzinoms oder primären Peritonealkarzinoms</w:t>
      </w:r>
      <w:r w:rsidR="0010405B" w:rsidRPr="009737B5">
        <w:rPr>
          <w:rFonts w:ascii="Times New Roman" w:hAnsi="Times New Roman" w:cs="Times New Roman"/>
          <w:lang w:val="de-DE"/>
        </w:rPr>
        <w:t>,</w:t>
      </w:r>
      <w:r w:rsidRPr="009737B5">
        <w:rPr>
          <w:rFonts w:ascii="Times New Roman" w:hAnsi="Times New Roman" w:cs="Times New Roman"/>
          <w:lang w:val="de-DE"/>
        </w:rPr>
        <w:t xml:space="preserve"> evaluiert.</w:t>
      </w:r>
    </w:p>
    <w:p w14:paraId="13B73C8F" w14:textId="77777777" w:rsidR="00010E8C" w:rsidRPr="009737B5" w:rsidRDefault="00010E8C" w:rsidP="007B2CB7">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In der Studie MO22224 wurden die Wirksamkeit und Sicherheit von Bevacizumab in Kombination mit Paclitaxel, Topotecan oder pegyliertem liposomalen Doxorubicin bei Patienten mit platinresistentem Rezidiv eines epithelialen Ovarialkarzinoms, Eileiterkarzinoms oder primären Peritonealkarzinoms evaluiert.</w:t>
      </w:r>
    </w:p>
    <w:p w14:paraId="779B04B9" w14:textId="77777777" w:rsidR="00010E8C" w:rsidRPr="009737B5" w:rsidRDefault="00010E8C" w:rsidP="005F4D08">
      <w:pPr>
        <w:suppressAutoHyphens/>
        <w:spacing w:after="0" w:line="240" w:lineRule="auto"/>
        <w:rPr>
          <w:rFonts w:ascii="Times New Roman" w:hAnsi="Times New Roman" w:cs="Times New Roman"/>
          <w:lang w:val="de-DE"/>
        </w:rPr>
      </w:pPr>
    </w:p>
    <w:p w14:paraId="1111380D" w14:textId="77777777" w:rsidR="00010E8C" w:rsidRPr="009737B5" w:rsidRDefault="00010E8C" w:rsidP="000E029B">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AVF4095g</w:t>
      </w:r>
    </w:p>
    <w:p w14:paraId="5CA01487" w14:textId="34B21739"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Sicherheit und Wirksamkeit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in der Behandlung von Patienten mit rezidivierendem platinsensitivem epithelialem Ovarialkarzinom, Eileiterkarzinom oder primärem Peritonealkarzinom,</w:t>
      </w:r>
      <w:r w:rsidR="00EA1667" w:rsidRPr="009737B5">
        <w:rPr>
          <w:rFonts w:ascii="Times New Roman" w:hAnsi="Times New Roman" w:cs="Times New Roman"/>
          <w:lang w:val="de-DE"/>
        </w:rPr>
        <w:t xml:space="preserve"> </w:t>
      </w:r>
      <w:r w:rsidRPr="009737B5">
        <w:rPr>
          <w:rFonts w:ascii="Times New Roman" w:hAnsi="Times New Roman" w:cs="Times New Roman"/>
          <w:lang w:val="de-DE"/>
        </w:rPr>
        <w:t>die zuvor noch keine Chemotherapie im rezidivierten Krankheitsstadium oder noch keine Bevacizumab-Therapie erhalten hatten, wurde</w:t>
      </w:r>
      <w:r w:rsidR="0050774F" w:rsidRPr="009737B5">
        <w:rPr>
          <w:rFonts w:ascii="Times New Roman" w:hAnsi="Times New Roman" w:cs="Times New Roman"/>
          <w:lang w:val="de-DE"/>
        </w:rPr>
        <w:t>n</w:t>
      </w:r>
      <w:r w:rsidRPr="009737B5">
        <w:rPr>
          <w:rFonts w:ascii="Times New Roman" w:hAnsi="Times New Roman" w:cs="Times New Roman"/>
          <w:lang w:val="de-DE"/>
        </w:rPr>
        <w:t xml:space="preserve"> in einer randomisierten, doppelblinden, placebokontrollierten Phase</w:t>
      </w:r>
      <w:r w:rsidR="00D07211">
        <w:rPr>
          <w:rFonts w:ascii="Times New Roman" w:hAnsi="Times New Roman" w:cs="Times New Roman"/>
          <w:lang w:val="de-DE"/>
        </w:rPr>
        <w:t> </w:t>
      </w:r>
      <w:r w:rsidRPr="009737B5">
        <w:rPr>
          <w:rFonts w:ascii="Times New Roman" w:hAnsi="Times New Roman" w:cs="Times New Roman"/>
          <w:lang w:val="de-DE"/>
        </w:rPr>
        <w:t xml:space="preserve">III-Studie untersucht (AVF4095g). In dieser Studie wurde die Wirkung der Zugabe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zu Carboplatin und Gemcitabin mit nachfolgender kontinuierlicher </w:t>
      </w:r>
      <w:r w:rsidR="00863E83" w:rsidRPr="009737B5">
        <w:rPr>
          <w:rFonts w:ascii="Times New Roman" w:hAnsi="Times New Roman" w:cs="Times New Roman"/>
          <w:lang w:val="de-DE"/>
        </w:rPr>
        <w:t>Bevacizumab-</w:t>
      </w:r>
      <w:r w:rsidRPr="009737B5">
        <w:rPr>
          <w:rFonts w:ascii="Times New Roman" w:hAnsi="Times New Roman" w:cs="Times New Roman"/>
          <w:lang w:val="de-DE"/>
        </w:rPr>
        <w:t>Monotherapie bis zur Progression mit Carboplatin und Gemcitabin alleine verglichen.</w:t>
      </w:r>
    </w:p>
    <w:p w14:paraId="044055AA" w14:textId="77777777" w:rsidR="00010E8C" w:rsidRPr="009737B5" w:rsidRDefault="00010E8C" w:rsidP="005F4D08">
      <w:pPr>
        <w:suppressAutoHyphens/>
        <w:spacing w:after="0" w:line="240" w:lineRule="auto"/>
        <w:rPr>
          <w:rFonts w:ascii="Times New Roman" w:hAnsi="Times New Roman" w:cs="Times New Roman"/>
          <w:lang w:val="de-DE"/>
        </w:rPr>
      </w:pPr>
    </w:p>
    <w:p w14:paraId="33230D56"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die Studie wurden ausschließlich Patienten mit histologisch dokumentiertem Ovarialkarzinom,</w:t>
      </w:r>
      <w:r w:rsidR="00EA1667" w:rsidRPr="009737B5">
        <w:rPr>
          <w:rFonts w:ascii="Times New Roman" w:hAnsi="Times New Roman" w:cs="Times New Roman"/>
          <w:lang w:val="de-DE"/>
        </w:rPr>
        <w:t xml:space="preserve"> </w:t>
      </w:r>
      <w:r w:rsidRPr="009737B5">
        <w:rPr>
          <w:rFonts w:ascii="Times New Roman" w:hAnsi="Times New Roman" w:cs="Times New Roman"/>
          <w:lang w:val="de-DE"/>
        </w:rPr>
        <w:t>Eileiterkarzinom oder primärem Peritonealkarzinom eingeschlossen, deren Rezidiv frühestens</w:t>
      </w:r>
      <w:r w:rsidR="00EA1667" w:rsidRPr="009737B5">
        <w:rPr>
          <w:rFonts w:ascii="Times New Roman" w:hAnsi="Times New Roman" w:cs="Times New Roman"/>
          <w:lang w:val="de-DE"/>
        </w:rPr>
        <w:t xml:space="preserve"> </w:t>
      </w:r>
      <w:r w:rsidR="000E029B" w:rsidRPr="009737B5">
        <w:rPr>
          <w:rFonts w:ascii="Times New Roman" w:hAnsi="Times New Roman" w:cs="Times New Roman"/>
          <w:lang w:val="de-DE"/>
        </w:rPr>
        <w:lastRenderedPageBreak/>
        <w:t>6 </w:t>
      </w:r>
      <w:r w:rsidRPr="009737B5">
        <w:rPr>
          <w:rFonts w:ascii="Times New Roman" w:hAnsi="Times New Roman" w:cs="Times New Roman"/>
          <w:lang w:val="de-DE"/>
        </w:rPr>
        <w:t>Monate nach einer platinhaltigen Chemotherapie aufgetreten war, die noch keine Chemotherapie im rezidivierten Krankheitsstadium erhalten hatten und die zuvor noch nicht mit Bevacizumab oder anderen VEGF-Inhibitoren bzw. auf den VEGF-Rezeptor zielenden Substanzen behandelt worden waren.</w:t>
      </w:r>
    </w:p>
    <w:p w14:paraId="62C36705" w14:textId="77777777" w:rsidR="00010E8C" w:rsidRPr="009737B5" w:rsidRDefault="00010E8C" w:rsidP="005F4D08">
      <w:pPr>
        <w:suppressAutoHyphens/>
        <w:spacing w:after="0" w:line="240" w:lineRule="auto"/>
        <w:rPr>
          <w:rFonts w:ascii="Times New Roman" w:hAnsi="Times New Roman" w:cs="Times New Roman"/>
          <w:lang w:val="de-DE"/>
        </w:rPr>
      </w:pPr>
    </w:p>
    <w:p w14:paraId="7D540F4B" w14:textId="220FB539" w:rsidR="00010E8C" w:rsidRPr="009737B5" w:rsidRDefault="00010E8C" w:rsidP="008A5A99">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Insgesamt wurden 484</w:t>
      </w:r>
      <w:r w:rsidR="00D07211">
        <w:rPr>
          <w:rFonts w:ascii="Times New Roman" w:hAnsi="Times New Roman" w:cs="Times New Roman"/>
          <w:lang w:val="de-DE"/>
        </w:rPr>
        <w:t> </w:t>
      </w:r>
      <w:r w:rsidRPr="009737B5">
        <w:rPr>
          <w:rFonts w:ascii="Times New Roman" w:hAnsi="Times New Roman" w:cs="Times New Roman"/>
          <w:lang w:val="de-DE"/>
        </w:rPr>
        <w:t>Patienten mit messbarer Erkrankung im Verhältnis</w:t>
      </w:r>
      <w:r w:rsidR="00D07211">
        <w:rPr>
          <w:rFonts w:ascii="Times New Roman" w:hAnsi="Times New Roman" w:cs="Times New Roman"/>
          <w:lang w:val="de-DE"/>
        </w:rPr>
        <w:t> </w:t>
      </w:r>
      <w:r w:rsidRPr="009737B5">
        <w:rPr>
          <w:rFonts w:ascii="Times New Roman" w:hAnsi="Times New Roman" w:cs="Times New Roman"/>
          <w:lang w:val="de-DE"/>
        </w:rPr>
        <w:t>1:1 einem der zwei folgenden Studienarme randomisiert zugeteilt:</w:t>
      </w:r>
    </w:p>
    <w:p w14:paraId="1CDBA057" w14:textId="28C2CF27" w:rsidR="00010E8C" w:rsidRPr="009737B5" w:rsidRDefault="00010E8C" w:rsidP="008A5A99">
      <w:pPr>
        <w:keepNext/>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Carboplatin (AUC</w:t>
      </w:r>
      <w:r w:rsidR="00D07211">
        <w:rPr>
          <w:rFonts w:ascii="Times New Roman" w:hAnsi="Times New Roman" w:cs="Times New Roman"/>
          <w:lang w:val="de-DE"/>
        </w:rPr>
        <w:t> </w:t>
      </w:r>
      <w:r w:rsidRPr="009737B5">
        <w:rPr>
          <w:rFonts w:ascii="Times New Roman" w:hAnsi="Times New Roman" w:cs="Times New Roman"/>
          <w:lang w:val="de-DE"/>
        </w:rPr>
        <w:t>4, Tag</w:t>
      </w:r>
      <w:r w:rsidR="00D07211">
        <w:rPr>
          <w:rFonts w:ascii="Times New Roman" w:hAnsi="Times New Roman" w:cs="Times New Roman"/>
          <w:lang w:val="de-DE"/>
        </w:rPr>
        <w:t> </w:t>
      </w:r>
      <w:r w:rsidRPr="009737B5">
        <w:rPr>
          <w:rFonts w:ascii="Times New Roman" w:hAnsi="Times New Roman" w:cs="Times New Roman"/>
          <w:lang w:val="de-DE"/>
        </w:rPr>
        <w:t>1) und Gemcitabin (1</w:t>
      </w:r>
      <w:r w:rsidR="00CA2B95">
        <w:rPr>
          <w:rFonts w:ascii="Times New Roman" w:hAnsi="Times New Roman" w:cs="Times New Roman"/>
          <w:lang w:val="de-DE"/>
        </w:rPr>
        <w:t> </w:t>
      </w:r>
      <w:r w:rsidRPr="009737B5">
        <w:rPr>
          <w:rFonts w:ascii="Times New Roman" w:hAnsi="Times New Roman" w:cs="Times New Roman"/>
          <w:lang w:val="de-DE"/>
        </w:rPr>
        <w:t>000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an den Tagen</w:t>
      </w:r>
      <w:r w:rsidR="00D07211">
        <w:rPr>
          <w:rFonts w:ascii="Times New Roman" w:hAnsi="Times New Roman" w:cs="Times New Roman"/>
          <w:lang w:val="de-DE"/>
        </w:rPr>
        <w:t> </w:t>
      </w:r>
      <w:r w:rsidRPr="009737B5">
        <w:rPr>
          <w:rFonts w:ascii="Times New Roman" w:hAnsi="Times New Roman" w:cs="Times New Roman"/>
          <w:lang w:val="de-DE"/>
        </w:rPr>
        <w:t>1 und</w:t>
      </w:r>
      <w:r w:rsidR="00D07211">
        <w:rPr>
          <w:rFonts w:ascii="Times New Roman" w:hAnsi="Times New Roman" w:cs="Times New Roman"/>
          <w:lang w:val="de-DE"/>
        </w:rPr>
        <w:t> </w:t>
      </w:r>
      <w:r w:rsidRPr="009737B5">
        <w:rPr>
          <w:rFonts w:ascii="Times New Roman" w:hAnsi="Times New Roman" w:cs="Times New Roman"/>
          <w:lang w:val="de-DE"/>
        </w:rPr>
        <w:t>8), kombiniert mit Placebo alle 3</w:t>
      </w:r>
      <w:r w:rsidR="00D07211">
        <w:rPr>
          <w:rFonts w:ascii="Times New Roman" w:hAnsi="Times New Roman" w:cs="Times New Roman"/>
          <w:lang w:val="de-DE"/>
        </w:rPr>
        <w:t> </w:t>
      </w:r>
      <w:r w:rsidRPr="009737B5">
        <w:rPr>
          <w:rFonts w:ascii="Times New Roman" w:hAnsi="Times New Roman" w:cs="Times New Roman"/>
          <w:lang w:val="de-DE"/>
        </w:rPr>
        <w:t>Wochen über 6 und bis zu 10</w:t>
      </w:r>
      <w:r w:rsidR="00D07211">
        <w:rPr>
          <w:rFonts w:ascii="Times New Roman" w:hAnsi="Times New Roman" w:cs="Times New Roman"/>
          <w:lang w:val="de-DE"/>
        </w:rPr>
        <w:t> </w:t>
      </w:r>
      <w:r w:rsidRPr="009737B5">
        <w:rPr>
          <w:rFonts w:ascii="Times New Roman" w:hAnsi="Times New Roman" w:cs="Times New Roman"/>
          <w:lang w:val="de-DE"/>
        </w:rPr>
        <w:t>Zyklen, mit nachfolgender alleiniger Placebo-Behandlung alle 3</w:t>
      </w:r>
      <w:r w:rsidR="00D07211">
        <w:rPr>
          <w:rFonts w:ascii="Times New Roman" w:hAnsi="Times New Roman" w:cs="Times New Roman"/>
          <w:lang w:val="de-DE"/>
        </w:rPr>
        <w:t> </w:t>
      </w:r>
      <w:r w:rsidRPr="009737B5">
        <w:rPr>
          <w:rFonts w:ascii="Times New Roman" w:hAnsi="Times New Roman" w:cs="Times New Roman"/>
          <w:lang w:val="de-DE"/>
        </w:rPr>
        <w:t>Wochen bis zur Krankheitsprogression oder nicht</w:t>
      </w:r>
      <w:r w:rsidR="0010405B" w:rsidRPr="009737B5">
        <w:rPr>
          <w:rFonts w:ascii="Times New Roman" w:hAnsi="Times New Roman" w:cs="Times New Roman"/>
          <w:lang w:val="de-DE"/>
        </w:rPr>
        <w:t>-</w:t>
      </w:r>
      <w:r w:rsidRPr="009737B5">
        <w:rPr>
          <w:rFonts w:ascii="Times New Roman" w:hAnsi="Times New Roman" w:cs="Times New Roman"/>
          <w:lang w:val="de-DE"/>
        </w:rPr>
        <w:t>tolerierbaren Nebenwirkungen.</w:t>
      </w:r>
    </w:p>
    <w:p w14:paraId="30A2F941" w14:textId="5491D904" w:rsidR="00010E8C" w:rsidRPr="009737B5" w:rsidRDefault="00010E8C" w:rsidP="00EA1667">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Carboplatin (AUC</w:t>
      </w:r>
      <w:r w:rsidR="00D07211">
        <w:rPr>
          <w:rFonts w:ascii="Times New Roman" w:hAnsi="Times New Roman" w:cs="Times New Roman"/>
          <w:lang w:val="de-DE"/>
        </w:rPr>
        <w:t> </w:t>
      </w:r>
      <w:r w:rsidRPr="009737B5">
        <w:rPr>
          <w:rFonts w:ascii="Times New Roman" w:hAnsi="Times New Roman" w:cs="Times New Roman"/>
          <w:lang w:val="de-DE"/>
        </w:rPr>
        <w:t>4, Tag</w:t>
      </w:r>
      <w:r w:rsidR="00D07211">
        <w:rPr>
          <w:rFonts w:ascii="Times New Roman" w:hAnsi="Times New Roman" w:cs="Times New Roman"/>
          <w:lang w:val="de-DE"/>
        </w:rPr>
        <w:t> </w:t>
      </w:r>
      <w:r w:rsidRPr="009737B5">
        <w:rPr>
          <w:rFonts w:ascii="Times New Roman" w:hAnsi="Times New Roman" w:cs="Times New Roman"/>
          <w:lang w:val="de-DE"/>
        </w:rPr>
        <w:t>1) und Gemcitabin (1</w:t>
      </w:r>
      <w:r w:rsidR="00CA2B95">
        <w:rPr>
          <w:rFonts w:ascii="Times New Roman" w:hAnsi="Times New Roman" w:cs="Times New Roman"/>
          <w:lang w:val="de-DE"/>
        </w:rPr>
        <w:t> </w:t>
      </w:r>
      <w:r w:rsidRPr="009737B5">
        <w:rPr>
          <w:rFonts w:ascii="Times New Roman" w:hAnsi="Times New Roman" w:cs="Times New Roman"/>
          <w:lang w:val="de-DE"/>
        </w:rPr>
        <w:t>000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an den Tagen</w:t>
      </w:r>
      <w:r w:rsidR="00D07211">
        <w:rPr>
          <w:rFonts w:ascii="Times New Roman" w:hAnsi="Times New Roman" w:cs="Times New Roman"/>
          <w:lang w:val="de-DE"/>
        </w:rPr>
        <w:t> </w:t>
      </w:r>
      <w:r w:rsidRPr="009737B5">
        <w:rPr>
          <w:rFonts w:ascii="Times New Roman" w:hAnsi="Times New Roman" w:cs="Times New Roman"/>
          <w:lang w:val="de-DE"/>
        </w:rPr>
        <w:t>1 und</w:t>
      </w:r>
      <w:r w:rsidR="00D07211">
        <w:rPr>
          <w:rFonts w:ascii="Times New Roman" w:hAnsi="Times New Roman" w:cs="Times New Roman"/>
          <w:lang w:val="de-DE"/>
        </w:rPr>
        <w:t> </w:t>
      </w:r>
      <w:r w:rsidRPr="009737B5">
        <w:rPr>
          <w:rFonts w:ascii="Times New Roman" w:hAnsi="Times New Roman" w:cs="Times New Roman"/>
          <w:lang w:val="de-DE"/>
        </w:rPr>
        <w:t xml:space="preserve">8), kombiniert mit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(15</w:t>
      </w:r>
      <w:r w:rsidR="00AB26B9" w:rsidRPr="009737B5">
        <w:rPr>
          <w:rFonts w:ascii="Times New Roman" w:hAnsi="Times New Roman" w:cs="Times New Roman"/>
          <w:lang w:val="de-DE"/>
        </w:rPr>
        <w:t> mg</w:t>
      </w:r>
      <w:r w:rsidRPr="009737B5">
        <w:rPr>
          <w:rFonts w:ascii="Times New Roman" w:hAnsi="Times New Roman" w:cs="Times New Roman"/>
          <w:lang w:val="de-DE"/>
        </w:rPr>
        <w:t>/kg, Tag</w:t>
      </w:r>
      <w:r w:rsidR="00D07211">
        <w:rPr>
          <w:rFonts w:ascii="Times New Roman" w:hAnsi="Times New Roman" w:cs="Times New Roman"/>
          <w:lang w:val="de-DE"/>
        </w:rPr>
        <w:t> </w:t>
      </w:r>
      <w:r w:rsidRPr="009737B5">
        <w:rPr>
          <w:rFonts w:ascii="Times New Roman" w:hAnsi="Times New Roman" w:cs="Times New Roman"/>
          <w:lang w:val="de-DE"/>
        </w:rPr>
        <w:t>1) alle 3</w:t>
      </w:r>
      <w:r w:rsidR="00D07211">
        <w:rPr>
          <w:rFonts w:ascii="Times New Roman" w:hAnsi="Times New Roman" w:cs="Times New Roman"/>
          <w:lang w:val="de-DE"/>
        </w:rPr>
        <w:t> </w:t>
      </w:r>
      <w:r w:rsidRPr="009737B5">
        <w:rPr>
          <w:rFonts w:ascii="Times New Roman" w:hAnsi="Times New Roman" w:cs="Times New Roman"/>
          <w:lang w:val="de-DE"/>
        </w:rPr>
        <w:t>Wochen über 6 und bis zu 10</w:t>
      </w:r>
      <w:r w:rsidR="00D07211">
        <w:rPr>
          <w:rFonts w:ascii="Times New Roman" w:hAnsi="Times New Roman" w:cs="Times New Roman"/>
          <w:lang w:val="de-DE"/>
        </w:rPr>
        <w:t> </w:t>
      </w:r>
      <w:r w:rsidRPr="009737B5">
        <w:rPr>
          <w:rFonts w:ascii="Times New Roman" w:hAnsi="Times New Roman" w:cs="Times New Roman"/>
          <w:lang w:val="de-DE"/>
        </w:rPr>
        <w:t>Zyklen, mit</w:t>
      </w:r>
      <w:r w:rsidR="00EA1667" w:rsidRPr="009737B5">
        <w:rPr>
          <w:rFonts w:ascii="Times New Roman" w:hAnsi="Times New Roman" w:cs="Times New Roman"/>
          <w:lang w:val="de-DE"/>
        </w:rPr>
        <w:t xml:space="preserve"> </w:t>
      </w:r>
      <w:r w:rsidRPr="009737B5">
        <w:rPr>
          <w:rFonts w:ascii="Times New Roman" w:hAnsi="Times New Roman" w:cs="Times New Roman"/>
          <w:lang w:val="de-DE"/>
        </w:rPr>
        <w:t xml:space="preserve">nachfolgender alleiniger </w:t>
      </w:r>
      <w:r w:rsidR="00863E83" w:rsidRPr="009737B5">
        <w:rPr>
          <w:rFonts w:ascii="Times New Roman" w:hAnsi="Times New Roman" w:cs="Times New Roman"/>
          <w:lang w:val="de-DE"/>
        </w:rPr>
        <w:t>Bevacizumab-</w:t>
      </w:r>
      <w:r w:rsidRPr="009737B5">
        <w:rPr>
          <w:rFonts w:ascii="Times New Roman" w:hAnsi="Times New Roman" w:cs="Times New Roman"/>
          <w:lang w:val="de-DE"/>
        </w:rPr>
        <w:t>Behandlung (15</w:t>
      </w:r>
      <w:r w:rsidR="00AB26B9" w:rsidRPr="009737B5">
        <w:rPr>
          <w:rFonts w:ascii="Times New Roman" w:hAnsi="Times New Roman" w:cs="Times New Roman"/>
          <w:lang w:val="de-DE"/>
        </w:rPr>
        <w:t> mg</w:t>
      </w:r>
      <w:r w:rsidRPr="009737B5">
        <w:rPr>
          <w:rFonts w:ascii="Times New Roman" w:hAnsi="Times New Roman" w:cs="Times New Roman"/>
          <w:lang w:val="de-DE"/>
        </w:rPr>
        <w:t>/kg alle 3</w:t>
      </w:r>
      <w:r w:rsidR="00D07211">
        <w:rPr>
          <w:rFonts w:ascii="Times New Roman" w:hAnsi="Times New Roman" w:cs="Times New Roman"/>
          <w:lang w:val="de-DE"/>
        </w:rPr>
        <w:t> </w:t>
      </w:r>
      <w:r w:rsidRPr="009737B5">
        <w:rPr>
          <w:rFonts w:ascii="Times New Roman" w:hAnsi="Times New Roman" w:cs="Times New Roman"/>
          <w:lang w:val="de-DE"/>
        </w:rPr>
        <w:t>Wochen) bis zur Krankheitsprogression oder bis zu nicht</w:t>
      </w:r>
      <w:r w:rsidR="0010405B" w:rsidRPr="009737B5">
        <w:rPr>
          <w:rFonts w:ascii="Times New Roman" w:hAnsi="Times New Roman" w:cs="Times New Roman"/>
          <w:lang w:val="de-DE"/>
        </w:rPr>
        <w:t>-</w:t>
      </w:r>
      <w:r w:rsidRPr="009737B5">
        <w:rPr>
          <w:rFonts w:ascii="Times New Roman" w:hAnsi="Times New Roman" w:cs="Times New Roman"/>
          <w:lang w:val="de-DE"/>
        </w:rPr>
        <w:t>tolerierbaren Nebenwirkungen.</w:t>
      </w:r>
    </w:p>
    <w:p w14:paraId="77410FAC" w14:textId="77777777" w:rsidR="00010E8C" w:rsidRPr="009737B5" w:rsidRDefault="00010E8C" w:rsidP="005F4D08">
      <w:pPr>
        <w:suppressAutoHyphens/>
        <w:spacing w:after="0" w:line="240" w:lineRule="auto"/>
        <w:rPr>
          <w:rFonts w:ascii="Times New Roman" w:hAnsi="Times New Roman" w:cs="Times New Roman"/>
          <w:lang w:val="de-DE"/>
        </w:rPr>
      </w:pPr>
    </w:p>
    <w:p w14:paraId="16032A41"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Der primäre Endpunkt war das progressionsfreie Überleben, das durch den Prüfarzt nach den modifizierten RECIST-1.0-Kriterien beurteilt wurde. Zusätzliche Endpunkte umfassten das objektive Ansprechen, die Dauer des Ansprechens, das Gesamtüberleben und die Sicherheit der Behandlung. Ebenso wurde eine unabhängige Überprüfung des primären Endpunktes durchgeführt.</w:t>
      </w:r>
    </w:p>
    <w:p w14:paraId="1278C154" w14:textId="77777777" w:rsidR="00010E8C" w:rsidRPr="009737B5" w:rsidRDefault="00010E8C" w:rsidP="005F4D08">
      <w:pPr>
        <w:suppressAutoHyphens/>
        <w:spacing w:after="0" w:line="240" w:lineRule="auto"/>
        <w:rPr>
          <w:rFonts w:ascii="Times New Roman" w:hAnsi="Times New Roman" w:cs="Times New Roman"/>
          <w:lang w:val="de-DE"/>
        </w:rPr>
      </w:pPr>
    </w:p>
    <w:p w14:paraId="3D9D7275" w14:textId="1FFCB843" w:rsidR="00AF337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Studienergebnisse sind in Tabelle</w:t>
      </w:r>
      <w:r w:rsidR="000206F4">
        <w:rPr>
          <w:rFonts w:ascii="Times New Roman" w:hAnsi="Times New Roman" w:cs="Times New Roman"/>
          <w:lang w:val="de-DE"/>
        </w:rPr>
        <w:t> </w:t>
      </w:r>
      <w:r w:rsidR="003E1054">
        <w:rPr>
          <w:rFonts w:ascii="Times New Roman" w:hAnsi="Times New Roman" w:cs="Times New Roman"/>
          <w:lang w:val="de-DE"/>
        </w:rPr>
        <w:t>20</w:t>
      </w:r>
      <w:r w:rsidR="003E1054" w:rsidRPr="009737B5">
        <w:rPr>
          <w:rFonts w:ascii="Times New Roman" w:hAnsi="Times New Roman" w:cs="Times New Roman"/>
          <w:lang w:val="de-DE"/>
        </w:rPr>
        <w:t xml:space="preserve"> </w:t>
      </w:r>
      <w:r w:rsidRPr="009737B5">
        <w:rPr>
          <w:rFonts w:ascii="Times New Roman" w:hAnsi="Times New Roman" w:cs="Times New Roman"/>
          <w:lang w:val="de-DE"/>
        </w:rPr>
        <w:t>zusammengefasst</w:t>
      </w:r>
      <w:r w:rsidR="002A25D3" w:rsidRPr="009737B5">
        <w:rPr>
          <w:rFonts w:ascii="Times New Roman" w:hAnsi="Times New Roman" w:cs="Times New Roman"/>
          <w:lang w:val="de-DE"/>
        </w:rPr>
        <w:t>.</w:t>
      </w:r>
    </w:p>
    <w:p w14:paraId="5C3CBC28" w14:textId="77777777" w:rsidR="00010E8C" w:rsidRPr="009737B5" w:rsidRDefault="00010E8C" w:rsidP="005F4D08">
      <w:pPr>
        <w:suppressAutoHyphens/>
        <w:spacing w:after="0" w:line="240" w:lineRule="auto"/>
        <w:rPr>
          <w:rFonts w:ascii="Times New Roman" w:hAnsi="Times New Roman" w:cs="Times New Roman"/>
          <w:lang w:val="de-DE"/>
        </w:rPr>
      </w:pPr>
    </w:p>
    <w:p w14:paraId="210B3994" w14:textId="0710C393" w:rsidR="00010E8C" w:rsidRPr="009737B5" w:rsidRDefault="00010E8C">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0206F4">
        <w:rPr>
          <w:rFonts w:ascii="Times New Roman" w:hAnsi="Times New Roman" w:cs="Times New Roman"/>
          <w:b/>
          <w:lang w:val="de-DE"/>
        </w:rPr>
        <w:t> </w:t>
      </w:r>
      <w:r w:rsidR="003E1054">
        <w:rPr>
          <w:rFonts w:ascii="Times New Roman" w:hAnsi="Times New Roman" w:cs="Times New Roman"/>
          <w:b/>
          <w:lang w:val="de-DE"/>
        </w:rPr>
        <w:t>20</w:t>
      </w:r>
      <w:r w:rsidR="00047BAE" w:rsidRPr="009737B5">
        <w:rPr>
          <w:rFonts w:ascii="Times New Roman" w:hAnsi="Times New Roman" w:cs="Times New Roman"/>
          <w:b/>
          <w:lang w:val="de-DE"/>
        </w:rPr>
        <w:t>.</w:t>
      </w:r>
      <w:r w:rsidRPr="009737B5">
        <w:rPr>
          <w:rFonts w:ascii="Times New Roman" w:hAnsi="Times New Roman" w:cs="Times New Roman"/>
          <w:b/>
          <w:lang w:val="de-DE"/>
        </w:rPr>
        <w:t xml:space="preserve"> Wirksamkeitsergebnisse der Studie</w:t>
      </w:r>
      <w:r w:rsidR="00D07211">
        <w:rPr>
          <w:rFonts w:ascii="Times New Roman" w:hAnsi="Times New Roman" w:cs="Times New Roman"/>
          <w:b/>
          <w:lang w:val="de-DE"/>
        </w:rPr>
        <w:t> </w:t>
      </w:r>
      <w:r w:rsidRPr="009737B5">
        <w:rPr>
          <w:rFonts w:ascii="Times New Roman" w:hAnsi="Times New Roman" w:cs="Times New Roman"/>
          <w:b/>
          <w:lang w:val="de-DE"/>
        </w:rPr>
        <w:t>AVF4095g</w:t>
      </w:r>
    </w:p>
    <w:p w14:paraId="46AC9D96" w14:textId="77777777" w:rsidR="00010E8C" w:rsidRPr="009737B5" w:rsidRDefault="00010E8C">
      <w:pPr>
        <w:keepNext/>
        <w:suppressAutoHyphens/>
        <w:spacing w:after="0" w:line="240" w:lineRule="auto"/>
        <w:rPr>
          <w:rFonts w:ascii="Times New Roman" w:hAnsi="Times New Roman" w:cs="Times New Roman"/>
          <w:b/>
          <w:lang w:val="de-DE"/>
        </w:rPr>
      </w:pPr>
    </w:p>
    <w:tbl>
      <w:tblPr>
        <w:tblW w:w="9072" w:type="dxa"/>
        <w:tblInd w:w="-5" w:type="dxa"/>
        <w:tblCellMar>
          <w:top w:w="47" w:type="dxa"/>
          <w:right w:w="72" w:type="dxa"/>
        </w:tblCellMar>
        <w:tblLook w:val="04A0" w:firstRow="1" w:lastRow="0" w:firstColumn="1" w:lastColumn="0" w:noHBand="0" w:noVBand="1"/>
      </w:tblPr>
      <w:tblGrid>
        <w:gridCol w:w="2552"/>
        <w:gridCol w:w="1701"/>
        <w:gridCol w:w="1559"/>
        <w:gridCol w:w="1701"/>
        <w:gridCol w:w="1559"/>
      </w:tblGrid>
      <w:tr w:rsidR="002A25D3" w:rsidRPr="00402720" w14:paraId="4378D2D7" w14:textId="77777777" w:rsidTr="005445BE">
        <w:trPr>
          <w:trHeight w:val="20"/>
        </w:trPr>
        <w:tc>
          <w:tcPr>
            <w:tcW w:w="9072" w:type="dxa"/>
            <w:gridSpan w:val="5"/>
            <w:tcBorders>
              <w:top w:val="single" w:sz="4" w:space="0" w:color="000000"/>
              <w:left w:val="single" w:sz="4" w:space="0" w:color="000000"/>
              <w:bottom w:val="single" w:sz="4" w:space="0" w:color="000000"/>
              <w:right w:val="single" w:sz="4" w:space="0" w:color="000000"/>
            </w:tcBorders>
          </w:tcPr>
          <w:p w14:paraId="67264D85" w14:textId="77777777" w:rsidR="002A25D3" w:rsidRPr="00402720" w:rsidRDefault="002A25D3" w:rsidP="00C26DCE">
            <w:pPr>
              <w:spacing w:after="0" w:line="240" w:lineRule="auto"/>
              <w:rPr>
                <w:rFonts w:ascii="Times New Roman" w:hAnsi="Times New Roman" w:cs="Times New Roman"/>
                <w:lang w:val="de-DE"/>
              </w:rPr>
            </w:pPr>
            <w:r w:rsidRPr="00402720">
              <w:rPr>
                <w:rFonts w:ascii="Times New Roman" w:hAnsi="Times New Roman" w:cs="Times New Roman"/>
                <w:lang w:val="de-DE"/>
              </w:rPr>
              <w:t>Pro</w:t>
            </w:r>
            <w:r w:rsidR="008A3549" w:rsidRPr="00402720">
              <w:rPr>
                <w:rFonts w:ascii="Times New Roman" w:hAnsi="Times New Roman" w:cs="Times New Roman"/>
                <w:lang w:val="de-DE"/>
              </w:rPr>
              <w:t>gressionsfreies Überleben (PFS)</w:t>
            </w:r>
          </w:p>
        </w:tc>
      </w:tr>
      <w:tr w:rsidR="002A25D3" w:rsidRPr="00B83674" w14:paraId="60E7A36F"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0D3D4EB0" w14:textId="77777777" w:rsidR="002A25D3" w:rsidRPr="00402720" w:rsidRDefault="002A25D3" w:rsidP="00C26DCE">
            <w:pPr>
              <w:spacing w:after="0" w:line="240" w:lineRule="auto"/>
              <w:rPr>
                <w:rFonts w:ascii="Times New Roman" w:hAnsi="Times New Roman" w:cs="Times New Roman"/>
                <w:lang w:val="de-DE"/>
              </w:rPr>
            </w:pPr>
          </w:p>
        </w:tc>
        <w:tc>
          <w:tcPr>
            <w:tcW w:w="3260" w:type="dxa"/>
            <w:gridSpan w:val="2"/>
            <w:tcBorders>
              <w:top w:val="single" w:sz="4" w:space="0" w:color="000000"/>
              <w:left w:val="single" w:sz="4" w:space="0" w:color="000000"/>
              <w:bottom w:val="single" w:sz="4" w:space="0" w:color="000000"/>
              <w:right w:val="single" w:sz="4" w:space="0" w:color="000000"/>
            </w:tcBorders>
          </w:tcPr>
          <w:p w14:paraId="04005B7B" w14:textId="77777777" w:rsidR="002A25D3" w:rsidRPr="00402720" w:rsidRDefault="000E029B"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Bewertung durch den Prüfarzt</w:t>
            </w:r>
          </w:p>
        </w:tc>
        <w:tc>
          <w:tcPr>
            <w:tcW w:w="3260" w:type="dxa"/>
            <w:gridSpan w:val="2"/>
            <w:tcBorders>
              <w:top w:val="single" w:sz="4" w:space="0" w:color="000000"/>
              <w:left w:val="single" w:sz="4" w:space="0" w:color="000000"/>
              <w:bottom w:val="single" w:sz="4" w:space="0" w:color="000000"/>
              <w:right w:val="single" w:sz="4" w:space="0" w:color="000000"/>
            </w:tcBorders>
          </w:tcPr>
          <w:p w14:paraId="1CC2313D"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Bewertung durch das unabhängige Review-Komitee (IRC)</w:t>
            </w:r>
          </w:p>
        </w:tc>
      </w:tr>
      <w:tr w:rsidR="002A25D3" w:rsidRPr="00402720" w14:paraId="52CB4ACC"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3175D4F5" w14:textId="77777777" w:rsidR="002A25D3" w:rsidRPr="00402720" w:rsidRDefault="002A25D3" w:rsidP="00C26DCE">
            <w:pPr>
              <w:spacing w:after="0" w:line="240" w:lineRule="auto"/>
              <w:rPr>
                <w:rFonts w:ascii="Times New Roman" w:hAnsi="Times New Roman" w:cs="Times New Roman"/>
                <w:lang w:val="de-DE"/>
              </w:rPr>
            </w:pPr>
          </w:p>
        </w:tc>
        <w:tc>
          <w:tcPr>
            <w:tcW w:w="1701" w:type="dxa"/>
            <w:tcBorders>
              <w:top w:val="single" w:sz="4" w:space="0" w:color="000000"/>
              <w:left w:val="single" w:sz="4" w:space="0" w:color="000000"/>
              <w:bottom w:val="single" w:sz="4" w:space="0" w:color="000000"/>
              <w:right w:val="single" w:sz="4" w:space="0" w:color="000000"/>
            </w:tcBorders>
          </w:tcPr>
          <w:p w14:paraId="1077899B" w14:textId="77777777" w:rsidR="000E029B" w:rsidRPr="00402720" w:rsidRDefault="000E029B"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Placebo + C/G</w:t>
            </w:r>
          </w:p>
          <w:p w14:paraId="54E6C78A"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242)</w:t>
            </w:r>
          </w:p>
        </w:tc>
        <w:tc>
          <w:tcPr>
            <w:tcW w:w="1559" w:type="dxa"/>
            <w:tcBorders>
              <w:top w:val="single" w:sz="4" w:space="0" w:color="000000"/>
              <w:left w:val="single" w:sz="4" w:space="0" w:color="000000"/>
              <w:bottom w:val="single" w:sz="4" w:space="0" w:color="000000"/>
              <w:right w:val="single" w:sz="4" w:space="0" w:color="000000"/>
            </w:tcBorders>
          </w:tcPr>
          <w:p w14:paraId="3481D6DE" w14:textId="77777777" w:rsidR="000E029B" w:rsidRPr="00402720" w:rsidRDefault="00863E8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Bevacizumab</w:t>
            </w:r>
            <w:r w:rsidR="002A25D3" w:rsidRPr="00402720">
              <w:rPr>
                <w:rFonts w:ascii="Times New Roman" w:hAnsi="Times New Roman" w:cs="Times New Roman"/>
                <w:lang w:val="de-DE"/>
              </w:rPr>
              <w:t xml:space="preserve"> + C/G</w:t>
            </w:r>
          </w:p>
          <w:p w14:paraId="741CE567"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242)</w:t>
            </w:r>
          </w:p>
        </w:tc>
        <w:tc>
          <w:tcPr>
            <w:tcW w:w="1701" w:type="dxa"/>
            <w:tcBorders>
              <w:top w:val="single" w:sz="4" w:space="0" w:color="000000"/>
              <w:left w:val="single" w:sz="4" w:space="0" w:color="000000"/>
              <w:bottom w:val="single" w:sz="4" w:space="0" w:color="000000"/>
              <w:right w:val="single" w:sz="4" w:space="0" w:color="000000"/>
            </w:tcBorders>
          </w:tcPr>
          <w:p w14:paraId="139989B2" w14:textId="77777777" w:rsidR="000E029B"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Placebo + C/G</w:t>
            </w:r>
          </w:p>
          <w:p w14:paraId="04442D16"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242)</w:t>
            </w:r>
          </w:p>
        </w:tc>
        <w:tc>
          <w:tcPr>
            <w:tcW w:w="1559" w:type="dxa"/>
            <w:tcBorders>
              <w:top w:val="single" w:sz="4" w:space="0" w:color="000000"/>
              <w:left w:val="single" w:sz="4" w:space="0" w:color="000000"/>
              <w:bottom w:val="single" w:sz="4" w:space="0" w:color="000000"/>
              <w:right w:val="single" w:sz="4" w:space="0" w:color="000000"/>
            </w:tcBorders>
          </w:tcPr>
          <w:p w14:paraId="46825A0B" w14:textId="77777777" w:rsidR="000E029B" w:rsidRPr="00402720" w:rsidRDefault="00863E8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Bevacizumab</w:t>
            </w:r>
            <w:r w:rsidR="002A25D3" w:rsidRPr="00402720">
              <w:rPr>
                <w:rFonts w:ascii="Times New Roman" w:hAnsi="Times New Roman" w:cs="Times New Roman"/>
                <w:lang w:val="de-DE"/>
              </w:rPr>
              <w:t xml:space="preserve"> + C/G</w:t>
            </w:r>
          </w:p>
          <w:p w14:paraId="11C5228E"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242)</w:t>
            </w:r>
          </w:p>
        </w:tc>
      </w:tr>
      <w:tr w:rsidR="00466BBD" w:rsidRPr="00402720" w14:paraId="38887B6B" w14:textId="77777777" w:rsidTr="00C84577">
        <w:trPr>
          <w:trHeight w:val="20"/>
        </w:trPr>
        <w:tc>
          <w:tcPr>
            <w:tcW w:w="2552" w:type="dxa"/>
            <w:tcBorders>
              <w:top w:val="single" w:sz="4" w:space="0" w:color="000000"/>
              <w:left w:val="single" w:sz="4" w:space="0" w:color="000000"/>
              <w:bottom w:val="single" w:sz="4" w:space="0" w:color="000000"/>
              <w:right w:val="single" w:sz="4" w:space="0" w:color="000000"/>
            </w:tcBorders>
          </w:tcPr>
          <w:p w14:paraId="2DF7E25D" w14:textId="77777777" w:rsidR="00466BBD" w:rsidRPr="00402720" w:rsidRDefault="00466BBD" w:rsidP="00C26DCE">
            <w:pPr>
              <w:spacing w:after="0" w:line="240" w:lineRule="auto"/>
              <w:rPr>
                <w:rFonts w:ascii="Times New Roman" w:hAnsi="Times New Roman" w:cs="Times New Roman"/>
                <w:lang w:val="de-DE"/>
              </w:rPr>
            </w:pPr>
            <w:r w:rsidRPr="00402720">
              <w:rPr>
                <w:rFonts w:ascii="Times New Roman" w:hAnsi="Times New Roman" w:cs="Times New Roman"/>
                <w:lang w:val="de-DE"/>
              </w:rPr>
              <w:t>Nicht zensiert bezüglich NPT</w:t>
            </w:r>
          </w:p>
        </w:tc>
        <w:tc>
          <w:tcPr>
            <w:tcW w:w="6520" w:type="dxa"/>
            <w:gridSpan w:val="4"/>
            <w:tcBorders>
              <w:top w:val="single" w:sz="4" w:space="0" w:color="000000"/>
              <w:left w:val="single" w:sz="4" w:space="0" w:color="000000"/>
              <w:bottom w:val="single" w:sz="4" w:space="0" w:color="000000"/>
              <w:right w:val="single" w:sz="4" w:space="0" w:color="000000"/>
            </w:tcBorders>
          </w:tcPr>
          <w:p w14:paraId="5C014A33" w14:textId="29A805EB" w:rsidR="00466BBD" w:rsidRPr="00402720" w:rsidRDefault="00466BBD" w:rsidP="00C26DCE">
            <w:pPr>
              <w:spacing w:after="0" w:line="240" w:lineRule="auto"/>
              <w:rPr>
                <w:rFonts w:ascii="Times New Roman" w:hAnsi="Times New Roman" w:cs="Times New Roman"/>
                <w:lang w:val="de-DE"/>
              </w:rPr>
            </w:pPr>
          </w:p>
        </w:tc>
      </w:tr>
      <w:tr w:rsidR="002A25D3" w:rsidRPr="00402720" w14:paraId="0889C930"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66F37922" w14:textId="77777777" w:rsidR="002A25D3" w:rsidRPr="00402720" w:rsidRDefault="00285818" w:rsidP="00C26DC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PFS (Monate)</w:t>
            </w:r>
          </w:p>
        </w:tc>
        <w:tc>
          <w:tcPr>
            <w:tcW w:w="1701" w:type="dxa"/>
            <w:tcBorders>
              <w:top w:val="single" w:sz="4" w:space="0" w:color="000000"/>
              <w:left w:val="single" w:sz="4" w:space="0" w:color="000000"/>
              <w:bottom w:val="single" w:sz="4" w:space="0" w:color="000000"/>
              <w:right w:val="single" w:sz="4" w:space="0" w:color="000000"/>
            </w:tcBorders>
          </w:tcPr>
          <w:p w14:paraId="257AEF36"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8,4</w:t>
            </w:r>
          </w:p>
        </w:tc>
        <w:tc>
          <w:tcPr>
            <w:tcW w:w="1559" w:type="dxa"/>
            <w:tcBorders>
              <w:top w:val="single" w:sz="4" w:space="0" w:color="000000"/>
              <w:left w:val="single" w:sz="4" w:space="0" w:color="000000"/>
              <w:bottom w:val="single" w:sz="4" w:space="0" w:color="000000"/>
              <w:right w:val="single" w:sz="4" w:space="0" w:color="000000"/>
            </w:tcBorders>
          </w:tcPr>
          <w:p w14:paraId="7837A6A2"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12,4</w:t>
            </w:r>
          </w:p>
        </w:tc>
        <w:tc>
          <w:tcPr>
            <w:tcW w:w="1701" w:type="dxa"/>
            <w:tcBorders>
              <w:top w:val="single" w:sz="4" w:space="0" w:color="000000"/>
              <w:left w:val="single" w:sz="4" w:space="0" w:color="000000"/>
              <w:bottom w:val="single" w:sz="4" w:space="0" w:color="000000"/>
              <w:right w:val="single" w:sz="4" w:space="0" w:color="000000"/>
            </w:tcBorders>
          </w:tcPr>
          <w:p w14:paraId="0A0081A7"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8,6</w:t>
            </w:r>
          </w:p>
        </w:tc>
        <w:tc>
          <w:tcPr>
            <w:tcW w:w="1559" w:type="dxa"/>
            <w:tcBorders>
              <w:top w:val="single" w:sz="4" w:space="0" w:color="000000"/>
              <w:left w:val="single" w:sz="4" w:space="0" w:color="000000"/>
              <w:bottom w:val="single" w:sz="4" w:space="0" w:color="000000"/>
              <w:right w:val="single" w:sz="4" w:space="0" w:color="000000"/>
            </w:tcBorders>
          </w:tcPr>
          <w:p w14:paraId="507A8D41"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12,3</w:t>
            </w:r>
          </w:p>
        </w:tc>
      </w:tr>
      <w:tr w:rsidR="002A25D3" w:rsidRPr="00402720" w14:paraId="2E1FC679"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28F7F05C" w14:textId="77777777" w:rsidR="0062208F" w:rsidRPr="00402720" w:rsidRDefault="002A25D3" w:rsidP="00C26DC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w:t>
            </w:r>
          </w:p>
          <w:p w14:paraId="4ACCBC8F" w14:textId="063505AD" w:rsidR="002A25D3" w:rsidRPr="00402720" w:rsidRDefault="002A25D3" w:rsidP="00C26DC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00285818" w:rsidRPr="00402720">
              <w:rPr>
                <w:rFonts w:ascii="Times New Roman" w:hAnsi="Times New Roman" w:cs="Times New Roman"/>
                <w:lang w:val="de-DE"/>
              </w:rPr>
              <w:t>KI)</w:t>
            </w:r>
          </w:p>
        </w:tc>
        <w:tc>
          <w:tcPr>
            <w:tcW w:w="3260" w:type="dxa"/>
            <w:gridSpan w:val="2"/>
            <w:tcBorders>
              <w:top w:val="single" w:sz="4" w:space="0" w:color="000000"/>
              <w:left w:val="single" w:sz="4" w:space="0" w:color="000000"/>
              <w:bottom w:val="single" w:sz="4" w:space="0" w:color="000000"/>
              <w:right w:val="single" w:sz="4" w:space="0" w:color="000000"/>
            </w:tcBorders>
          </w:tcPr>
          <w:p w14:paraId="2B6A8A33"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0,524 [0,425; 0,645]</w:t>
            </w:r>
          </w:p>
        </w:tc>
        <w:tc>
          <w:tcPr>
            <w:tcW w:w="3260" w:type="dxa"/>
            <w:gridSpan w:val="2"/>
            <w:tcBorders>
              <w:top w:val="single" w:sz="4" w:space="0" w:color="000000"/>
              <w:left w:val="single" w:sz="4" w:space="0" w:color="000000"/>
              <w:bottom w:val="single" w:sz="4" w:space="0" w:color="000000"/>
              <w:right w:val="single" w:sz="4" w:space="0" w:color="000000"/>
            </w:tcBorders>
          </w:tcPr>
          <w:p w14:paraId="31448E9C"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0,480 [0,377; 0,613]</w:t>
            </w:r>
          </w:p>
        </w:tc>
      </w:tr>
      <w:tr w:rsidR="002A25D3" w:rsidRPr="00402720" w14:paraId="36E1835A" w14:textId="77777777" w:rsidTr="00AD683C">
        <w:trPr>
          <w:trHeight w:val="283"/>
        </w:trPr>
        <w:tc>
          <w:tcPr>
            <w:tcW w:w="2552" w:type="dxa"/>
            <w:tcBorders>
              <w:top w:val="single" w:sz="4" w:space="0" w:color="000000"/>
              <w:left w:val="single" w:sz="4" w:space="0" w:color="000000"/>
              <w:bottom w:val="single" w:sz="4" w:space="0" w:color="000000"/>
              <w:right w:val="single" w:sz="4" w:space="0" w:color="000000"/>
            </w:tcBorders>
          </w:tcPr>
          <w:p w14:paraId="140DD498" w14:textId="77777777" w:rsidR="002A25D3" w:rsidRPr="00402720" w:rsidRDefault="00537FBA" w:rsidP="00C26DC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p-</w:t>
            </w:r>
            <w:r w:rsidR="002A25D3" w:rsidRPr="00402720">
              <w:rPr>
                <w:rFonts w:ascii="Times New Roman" w:hAnsi="Times New Roman" w:cs="Times New Roman"/>
                <w:lang w:val="de-DE"/>
              </w:rPr>
              <w:t>Wert</w:t>
            </w:r>
          </w:p>
        </w:tc>
        <w:tc>
          <w:tcPr>
            <w:tcW w:w="3260" w:type="dxa"/>
            <w:gridSpan w:val="2"/>
            <w:tcBorders>
              <w:top w:val="single" w:sz="4" w:space="0" w:color="000000"/>
              <w:left w:val="single" w:sz="4" w:space="0" w:color="000000"/>
              <w:bottom w:val="single" w:sz="4" w:space="0" w:color="000000"/>
              <w:right w:val="single" w:sz="4" w:space="0" w:color="000000"/>
            </w:tcBorders>
          </w:tcPr>
          <w:p w14:paraId="71A18D61" w14:textId="77777777" w:rsidR="002A25D3" w:rsidRPr="00402720" w:rsidRDefault="00E32D5C"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&lt;</w:t>
            </w:r>
            <w:r w:rsidR="00775AE6" w:rsidRPr="00402720">
              <w:rPr>
                <w:rFonts w:ascii="Times New Roman" w:hAnsi="Times New Roman" w:cs="Times New Roman"/>
                <w:lang w:val="de-DE"/>
              </w:rPr>
              <w:t xml:space="preserve"> </w:t>
            </w:r>
            <w:r w:rsidR="002A25D3" w:rsidRPr="00402720">
              <w:rPr>
                <w:rFonts w:ascii="Times New Roman" w:hAnsi="Times New Roman" w:cs="Times New Roman"/>
                <w:lang w:val="de-DE"/>
              </w:rPr>
              <w:t>0,0001</w:t>
            </w:r>
          </w:p>
        </w:tc>
        <w:tc>
          <w:tcPr>
            <w:tcW w:w="3260" w:type="dxa"/>
            <w:gridSpan w:val="2"/>
            <w:tcBorders>
              <w:top w:val="single" w:sz="4" w:space="0" w:color="000000"/>
              <w:left w:val="single" w:sz="4" w:space="0" w:color="000000"/>
              <w:bottom w:val="single" w:sz="4" w:space="0" w:color="000000"/>
              <w:right w:val="single" w:sz="4" w:space="0" w:color="000000"/>
            </w:tcBorders>
          </w:tcPr>
          <w:p w14:paraId="5DB9AAFD" w14:textId="77777777" w:rsidR="002A25D3" w:rsidRPr="00402720" w:rsidRDefault="00E32D5C"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&lt;</w:t>
            </w:r>
            <w:r w:rsidR="00775AE6" w:rsidRPr="00402720">
              <w:rPr>
                <w:rFonts w:ascii="Times New Roman" w:hAnsi="Times New Roman" w:cs="Times New Roman"/>
                <w:lang w:val="de-DE"/>
              </w:rPr>
              <w:t xml:space="preserve"> </w:t>
            </w:r>
            <w:r w:rsidR="002A25D3" w:rsidRPr="00402720">
              <w:rPr>
                <w:rFonts w:ascii="Times New Roman" w:hAnsi="Times New Roman" w:cs="Times New Roman"/>
                <w:lang w:val="de-DE"/>
              </w:rPr>
              <w:t>0,0001</w:t>
            </w:r>
          </w:p>
        </w:tc>
      </w:tr>
      <w:tr w:rsidR="00466BBD" w:rsidRPr="00402720" w14:paraId="2E181420" w14:textId="77777777" w:rsidTr="00C84577">
        <w:trPr>
          <w:trHeight w:val="20"/>
        </w:trPr>
        <w:tc>
          <w:tcPr>
            <w:tcW w:w="2552" w:type="dxa"/>
            <w:tcBorders>
              <w:top w:val="single" w:sz="4" w:space="0" w:color="000000"/>
              <w:left w:val="single" w:sz="4" w:space="0" w:color="000000"/>
              <w:bottom w:val="single" w:sz="4" w:space="0" w:color="000000"/>
              <w:right w:val="single" w:sz="4" w:space="0" w:color="000000"/>
            </w:tcBorders>
          </w:tcPr>
          <w:p w14:paraId="67D32385" w14:textId="77777777" w:rsidR="00466BBD" w:rsidRPr="00402720" w:rsidRDefault="00466BBD" w:rsidP="00C26DCE">
            <w:pPr>
              <w:spacing w:after="0" w:line="240" w:lineRule="auto"/>
              <w:rPr>
                <w:rFonts w:ascii="Times New Roman" w:hAnsi="Times New Roman" w:cs="Times New Roman"/>
                <w:lang w:val="de-DE"/>
              </w:rPr>
            </w:pPr>
            <w:r w:rsidRPr="00402720">
              <w:rPr>
                <w:rFonts w:ascii="Times New Roman" w:hAnsi="Times New Roman" w:cs="Times New Roman"/>
                <w:lang w:val="de-DE"/>
              </w:rPr>
              <w:t>Zensiert bezüglich NPT</w:t>
            </w:r>
          </w:p>
        </w:tc>
        <w:tc>
          <w:tcPr>
            <w:tcW w:w="6520" w:type="dxa"/>
            <w:gridSpan w:val="4"/>
            <w:tcBorders>
              <w:top w:val="single" w:sz="4" w:space="0" w:color="000000"/>
              <w:left w:val="single" w:sz="4" w:space="0" w:color="000000"/>
              <w:bottom w:val="single" w:sz="4" w:space="0" w:color="000000"/>
              <w:right w:val="single" w:sz="4" w:space="0" w:color="000000"/>
            </w:tcBorders>
          </w:tcPr>
          <w:p w14:paraId="0478EC90" w14:textId="64B3FBE3" w:rsidR="00466BBD" w:rsidRPr="00402720" w:rsidRDefault="00466BBD" w:rsidP="00C26DCE">
            <w:pPr>
              <w:spacing w:after="0" w:line="240" w:lineRule="auto"/>
              <w:rPr>
                <w:rFonts w:ascii="Times New Roman" w:hAnsi="Times New Roman" w:cs="Times New Roman"/>
                <w:lang w:val="de-DE"/>
              </w:rPr>
            </w:pPr>
          </w:p>
        </w:tc>
      </w:tr>
      <w:tr w:rsidR="002A25D3" w:rsidRPr="00402720" w14:paraId="606FE2BC"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6CC8D1DC" w14:textId="77777777" w:rsidR="002A25D3" w:rsidRPr="00402720" w:rsidRDefault="002A25D3" w:rsidP="00C26DC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Medianes PFS (Monate) </w:t>
            </w:r>
          </w:p>
        </w:tc>
        <w:tc>
          <w:tcPr>
            <w:tcW w:w="1701" w:type="dxa"/>
            <w:tcBorders>
              <w:top w:val="single" w:sz="4" w:space="0" w:color="000000"/>
              <w:left w:val="single" w:sz="4" w:space="0" w:color="000000"/>
              <w:bottom w:val="single" w:sz="4" w:space="0" w:color="000000"/>
              <w:right w:val="single" w:sz="4" w:space="0" w:color="000000"/>
            </w:tcBorders>
          </w:tcPr>
          <w:p w14:paraId="6F27D4A3"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8,4</w:t>
            </w:r>
          </w:p>
        </w:tc>
        <w:tc>
          <w:tcPr>
            <w:tcW w:w="1559" w:type="dxa"/>
            <w:tcBorders>
              <w:top w:val="single" w:sz="4" w:space="0" w:color="000000"/>
              <w:left w:val="single" w:sz="4" w:space="0" w:color="000000"/>
              <w:bottom w:val="single" w:sz="4" w:space="0" w:color="000000"/>
              <w:right w:val="single" w:sz="4" w:space="0" w:color="000000"/>
            </w:tcBorders>
          </w:tcPr>
          <w:p w14:paraId="66156AD2"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12,4</w:t>
            </w:r>
          </w:p>
        </w:tc>
        <w:tc>
          <w:tcPr>
            <w:tcW w:w="1701" w:type="dxa"/>
            <w:tcBorders>
              <w:top w:val="single" w:sz="4" w:space="0" w:color="000000"/>
              <w:left w:val="single" w:sz="4" w:space="0" w:color="000000"/>
              <w:bottom w:val="single" w:sz="4" w:space="0" w:color="000000"/>
              <w:right w:val="single" w:sz="4" w:space="0" w:color="000000"/>
            </w:tcBorders>
          </w:tcPr>
          <w:p w14:paraId="5EAFF2FF"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8,6</w:t>
            </w:r>
          </w:p>
        </w:tc>
        <w:tc>
          <w:tcPr>
            <w:tcW w:w="1559" w:type="dxa"/>
            <w:tcBorders>
              <w:top w:val="single" w:sz="4" w:space="0" w:color="000000"/>
              <w:left w:val="single" w:sz="4" w:space="0" w:color="000000"/>
              <w:bottom w:val="single" w:sz="4" w:space="0" w:color="000000"/>
              <w:right w:val="single" w:sz="4" w:space="0" w:color="000000"/>
            </w:tcBorders>
          </w:tcPr>
          <w:p w14:paraId="1F0A1261"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12,3</w:t>
            </w:r>
          </w:p>
        </w:tc>
      </w:tr>
      <w:tr w:rsidR="002A25D3" w:rsidRPr="00402720" w14:paraId="078D0F6F"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3F5A3BC9" w14:textId="77777777" w:rsidR="00312425" w:rsidRPr="00402720" w:rsidRDefault="002A25D3" w:rsidP="00C26DC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w:t>
            </w:r>
          </w:p>
          <w:p w14:paraId="03B460AB" w14:textId="7144E511" w:rsidR="002A25D3" w:rsidRPr="00402720" w:rsidRDefault="002A25D3" w:rsidP="00C26DC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006323F3" w:rsidRPr="00402720">
              <w:rPr>
                <w:rFonts w:ascii="Times New Roman" w:hAnsi="Times New Roman" w:cs="Times New Roman"/>
                <w:lang w:val="de-DE"/>
              </w:rPr>
              <w:t>KI)</w:t>
            </w:r>
          </w:p>
        </w:tc>
        <w:tc>
          <w:tcPr>
            <w:tcW w:w="3260" w:type="dxa"/>
            <w:gridSpan w:val="2"/>
            <w:tcBorders>
              <w:top w:val="single" w:sz="4" w:space="0" w:color="000000"/>
              <w:left w:val="single" w:sz="4" w:space="0" w:color="000000"/>
              <w:bottom w:val="single" w:sz="4" w:space="0" w:color="000000"/>
              <w:right w:val="single" w:sz="4" w:space="0" w:color="000000"/>
            </w:tcBorders>
          </w:tcPr>
          <w:p w14:paraId="39ED4102"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0,484 [0,388; 0,605]</w:t>
            </w:r>
          </w:p>
        </w:tc>
        <w:tc>
          <w:tcPr>
            <w:tcW w:w="3260" w:type="dxa"/>
            <w:gridSpan w:val="2"/>
            <w:tcBorders>
              <w:top w:val="single" w:sz="4" w:space="0" w:color="000000"/>
              <w:left w:val="single" w:sz="4" w:space="0" w:color="000000"/>
              <w:bottom w:val="single" w:sz="4" w:space="0" w:color="000000"/>
              <w:right w:val="single" w:sz="4" w:space="0" w:color="000000"/>
            </w:tcBorders>
          </w:tcPr>
          <w:p w14:paraId="5DE3CF1A"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0,451 [0,351; 0,580]</w:t>
            </w:r>
          </w:p>
        </w:tc>
      </w:tr>
      <w:tr w:rsidR="002A25D3" w:rsidRPr="00402720" w14:paraId="57E8BDD5"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4995D9E2" w14:textId="77777777" w:rsidR="002A25D3" w:rsidRPr="00402720" w:rsidRDefault="002A25D3" w:rsidP="00C26DC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p-Wert</w:t>
            </w:r>
          </w:p>
        </w:tc>
        <w:tc>
          <w:tcPr>
            <w:tcW w:w="3260" w:type="dxa"/>
            <w:gridSpan w:val="2"/>
            <w:tcBorders>
              <w:top w:val="single" w:sz="4" w:space="0" w:color="000000"/>
              <w:left w:val="single" w:sz="4" w:space="0" w:color="000000"/>
              <w:bottom w:val="single" w:sz="4" w:space="0" w:color="000000"/>
              <w:right w:val="single" w:sz="4" w:space="0" w:color="000000"/>
            </w:tcBorders>
          </w:tcPr>
          <w:p w14:paraId="14D494A9" w14:textId="77777777" w:rsidR="002A25D3" w:rsidRPr="00402720" w:rsidRDefault="00775AE6"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&lt; </w:t>
            </w:r>
            <w:r w:rsidR="002A25D3" w:rsidRPr="00402720">
              <w:rPr>
                <w:rFonts w:ascii="Times New Roman" w:hAnsi="Times New Roman" w:cs="Times New Roman"/>
                <w:lang w:val="de-DE"/>
              </w:rPr>
              <w:t>0,0001</w:t>
            </w:r>
          </w:p>
        </w:tc>
        <w:tc>
          <w:tcPr>
            <w:tcW w:w="3260" w:type="dxa"/>
            <w:gridSpan w:val="2"/>
            <w:tcBorders>
              <w:top w:val="single" w:sz="4" w:space="0" w:color="000000"/>
              <w:left w:val="single" w:sz="4" w:space="0" w:color="000000"/>
              <w:bottom w:val="single" w:sz="4" w:space="0" w:color="000000"/>
              <w:right w:val="single" w:sz="4" w:space="0" w:color="000000"/>
            </w:tcBorders>
          </w:tcPr>
          <w:p w14:paraId="3A57DDE7" w14:textId="77777777" w:rsidR="002A25D3" w:rsidRPr="00402720" w:rsidRDefault="00E32D5C"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&lt;</w:t>
            </w:r>
            <w:r w:rsidR="00775AE6" w:rsidRPr="00402720">
              <w:rPr>
                <w:rFonts w:ascii="Times New Roman" w:hAnsi="Times New Roman" w:cs="Times New Roman"/>
                <w:lang w:val="de-DE"/>
              </w:rPr>
              <w:t xml:space="preserve"> </w:t>
            </w:r>
            <w:r w:rsidR="002A25D3" w:rsidRPr="00402720">
              <w:rPr>
                <w:rFonts w:ascii="Times New Roman" w:hAnsi="Times New Roman" w:cs="Times New Roman"/>
                <w:lang w:val="de-DE"/>
              </w:rPr>
              <w:t>0,0001</w:t>
            </w:r>
          </w:p>
        </w:tc>
      </w:tr>
      <w:tr w:rsidR="002A25D3" w:rsidRPr="00402720" w14:paraId="7FE6FD74" w14:textId="77777777" w:rsidTr="005445BE">
        <w:trPr>
          <w:trHeight w:val="20"/>
        </w:trPr>
        <w:tc>
          <w:tcPr>
            <w:tcW w:w="9072" w:type="dxa"/>
            <w:gridSpan w:val="5"/>
            <w:tcBorders>
              <w:top w:val="single" w:sz="4" w:space="0" w:color="000000"/>
              <w:left w:val="single" w:sz="4" w:space="0" w:color="000000"/>
              <w:bottom w:val="single" w:sz="4" w:space="0" w:color="000000"/>
              <w:right w:val="single" w:sz="4" w:space="0" w:color="000000"/>
            </w:tcBorders>
          </w:tcPr>
          <w:p w14:paraId="16C78932" w14:textId="77777777" w:rsidR="002A25D3" w:rsidRPr="00402720" w:rsidRDefault="008A3549" w:rsidP="00A16482">
            <w:pPr>
              <w:keepNext/>
              <w:keepLines/>
              <w:spacing w:after="0" w:line="240" w:lineRule="auto"/>
              <w:rPr>
                <w:rFonts w:ascii="Times New Roman" w:hAnsi="Times New Roman" w:cs="Times New Roman"/>
                <w:lang w:val="de-DE"/>
              </w:rPr>
            </w:pPr>
            <w:r w:rsidRPr="00402720">
              <w:rPr>
                <w:rFonts w:ascii="Times New Roman" w:hAnsi="Times New Roman" w:cs="Times New Roman"/>
                <w:lang w:val="de-DE"/>
              </w:rPr>
              <w:lastRenderedPageBreak/>
              <w:t>Objektive Ansprechrate</w:t>
            </w:r>
          </w:p>
        </w:tc>
      </w:tr>
      <w:tr w:rsidR="002A25D3" w:rsidRPr="00B83674" w14:paraId="49129F0F"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5B96577B" w14:textId="77777777" w:rsidR="002A25D3" w:rsidRPr="00402720" w:rsidRDefault="002A25D3" w:rsidP="00A16482">
            <w:pPr>
              <w:keepNext/>
              <w:keepLines/>
              <w:spacing w:after="0" w:line="240" w:lineRule="auto"/>
              <w:rPr>
                <w:rFonts w:ascii="Times New Roman" w:hAnsi="Times New Roman" w:cs="Times New Roman"/>
                <w:lang w:val="de-DE"/>
              </w:rPr>
            </w:pPr>
          </w:p>
        </w:tc>
        <w:tc>
          <w:tcPr>
            <w:tcW w:w="3260" w:type="dxa"/>
            <w:gridSpan w:val="2"/>
            <w:tcBorders>
              <w:top w:val="single" w:sz="4" w:space="0" w:color="000000"/>
              <w:left w:val="single" w:sz="4" w:space="0" w:color="000000"/>
              <w:bottom w:val="single" w:sz="4" w:space="0" w:color="000000"/>
              <w:right w:val="single" w:sz="4" w:space="0" w:color="000000"/>
            </w:tcBorders>
          </w:tcPr>
          <w:p w14:paraId="31A6EBC4" w14:textId="77777777" w:rsidR="002A25D3" w:rsidRPr="00402720" w:rsidRDefault="002A25D3"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Bewertung durch den Prüfarzt</w:t>
            </w:r>
          </w:p>
        </w:tc>
        <w:tc>
          <w:tcPr>
            <w:tcW w:w="3260" w:type="dxa"/>
            <w:gridSpan w:val="2"/>
            <w:tcBorders>
              <w:top w:val="single" w:sz="4" w:space="0" w:color="000000"/>
              <w:left w:val="single" w:sz="4" w:space="0" w:color="000000"/>
              <w:bottom w:val="single" w:sz="4" w:space="0" w:color="000000"/>
              <w:right w:val="single" w:sz="4" w:space="0" w:color="000000"/>
            </w:tcBorders>
          </w:tcPr>
          <w:p w14:paraId="6BAF8F20" w14:textId="77777777" w:rsidR="002A25D3" w:rsidRPr="00402720" w:rsidRDefault="002A25D3"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Bewertung durch das unabhängige Review-Komitee (IRC)</w:t>
            </w:r>
          </w:p>
        </w:tc>
      </w:tr>
      <w:tr w:rsidR="002A25D3" w:rsidRPr="00402720" w14:paraId="19B6E723"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6A6CD398" w14:textId="77777777" w:rsidR="002A25D3" w:rsidRPr="00402720" w:rsidRDefault="002A25D3" w:rsidP="00A16482">
            <w:pPr>
              <w:keepNext/>
              <w:keepLines/>
              <w:spacing w:after="0" w:line="240" w:lineRule="auto"/>
              <w:rPr>
                <w:rFonts w:ascii="Times New Roman" w:hAnsi="Times New Roman" w:cs="Times New Roman"/>
                <w:lang w:val="de-DE"/>
              </w:rPr>
            </w:pPr>
          </w:p>
        </w:tc>
        <w:tc>
          <w:tcPr>
            <w:tcW w:w="1701" w:type="dxa"/>
            <w:tcBorders>
              <w:top w:val="single" w:sz="4" w:space="0" w:color="000000"/>
              <w:left w:val="single" w:sz="4" w:space="0" w:color="000000"/>
              <w:bottom w:val="single" w:sz="4" w:space="0" w:color="000000"/>
              <w:right w:val="single" w:sz="4" w:space="0" w:color="000000"/>
            </w:tcBorders>
          </w:tcPr>
          <w:p w14:paraId="6BFE638E" w14:textId="77777777" w:rsidR="008A3549" w:rsidRPr="00402720" w:rsidRDefault="008A3549"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Placebo + C/G</w:t>
            </w:r>
          </w:p>
          <w:p w14:paraId="193E29A9" w14:textId="77777777" w:rsidR="002A25D3" w:rsidRPr="00402720" w:rsidRDefault="002A25D3"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(n = 242)</w:t>
            </w:r>
          </w:p>
        </w:tc>
        <w:tc>
          <w:tcPr>
            <w:tcW w:w="1559" w:type="dxa"/>
            <w:tcBorders>
              <w:top w:val="single" w:sz="4" w:space="0" w:color="000000"/>
              <w:left w:val="single" w:sz="4" w:space="0" w:color="000000"/>
              <w:bottom w:val="single" w:sz="4" w:space="0" w:color="000000"/>
              <w:right w:val="single" w:sz="4" w:space="0" w:color="000000"/>
            </w:tcBorders>
          </w:tcPr>
          <w:p w14:paraId="00D1019B" w14:textId="77777777" w:rsidR="008A3549" w:rsidRPr="00402720" w:rsidRDefault="00863E83"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Bevacizumab</w:t>
            </w:r>
            <w:r w:rsidR="008A3549" w:rsidRPr="00402720">
              <w:rPr>
                <w:rFonts w:ascii="Times New Roman" w:hAnsi="Times New Roman" w:cs="Times New Roman"/>
                <w:lang w:val="de-DE"/>
              </w:rPr>
              <w:t xml:space="preserve"> + C/G</w:t>
            </w:r>
          </w:p>
          <w:p w14:paraId="6D37362D" w14:textId="77777777" w:rsidR="002A25D3" w:rsidRPr="00402720" w:rsidRDefault="002A25D3"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(n = 242)</w:t>
            </w:r>
          </w:p>
        </w:tc>
        <w:tc>
          <w:tcPr>
            <w:tcW w:w="1701" w:type="dxa"/>
            <w:tcBorders>
              <w:top w:val="single" w:sz="4" w:space="0" w:color="000000"/>
              <w:left w:val="single" w:sz="4" w:space="0" w:color="000000"/>
              <w:bottom w:val="single" w:sz="4" w:space="0" w:color="000000"/>
              <w:right w:val="single" w:sz="4" w:space="0" w:color="000000"/>
            </w:tcBorders>
          </w:tcPr>
          <w:p w14:paraId="7A265641" w14:textId="77777777" w:rsidR="008A3549" w:rsidRPr="00402720" w:rsidRDefault="008A3549"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Placebo + C/G</w:t>
            </w:r>
          </w:p>
          <w:p w14:paraId="2BC7F560" w14:textId="77777777" w:rsidR="002A25D3" w:rsidRPr="00402720" w:rsidRDefault="002A25D3"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(n = 242)</w:t>
            </w:r>
          </w:p>
        </w:tc>
        <w:tc>
          <w:tcPr>
            <w:tcW w:w="1559" w:type="dxa"/>
            <w:tcBorders>
              <w:top w:val="single" w:sz="4" w:space="0" w:color="000000"/>
              <w:left w:val="single" w:sz="4" w:space="0" w:color="000000"/>
              <w:bottom w:val="single" w:sz="4" w:space="0" w:color="000000"/>
              <w:right w:val="single" w:sz="4" w:space="0" w:color="000000"/>
            </w:tcBorders>
          </w:tcPr>
          <w:p w14:paraId="311D1DCC" w14:textId="77777777" w:rsidR="008A3549" w:rsidRPr="00402720" w:rsidRDefault="00863E83"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Bevacizumab</w:t>
            </w:r>
            <w:r w:rsidR="002A25D3" w:rsidRPr="00402720">
              <w:rPr>
                <w:rFonts w:ascii="Times New Roman" w:hAnsi="Times New Roman" w:cs="Times New Roman"/>
                <w:lang w:val="de-DE"/>
              </w:rPr>
              <w:t xml:space="preserve"> + C/G</w:t>
            </w:r>
          </w:p>
          <w:p w14:paraId="450CDE3F" w14:textId="77777777" w:rsidR="002A25D3" w:rsidRPr="00402720" w:rsidRDefault="002A25D3"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(n = 242)</w:t>
            </w:r>
          </w:p>
        </w:tc>
      </w:tr>
      <w:tr w:rsidR="002A25D3" w:rsidRPr="00402720" w14:paraId="108996A4"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18CDF1CC" w14:textId="77777777" w:rsidR="002A25D3" w:rsidRPr="00402720" w:rsidRDefault="00322E40" w:rsidP="00A16482">
            <w:pPr>
              <w:keepNext/>
              <w:keepLines/>
              <w:spacing w:after="0" w:line="240" w:lineRule="auto"/>
              <w:ind w:left="567"/>
              <w:rPr>
                <w:rFonts w:ascii="Times New Roman" w:hAnsi="Times New Roman" w:cs="Times New Roman"/>
                <w:lang w:val="de-DE"/>
              </w:rPr>
            </w:pPr>
            <w:r w:rsidRPr="00402720">
              <w:rPr>
                <w:rFonts w:ascii="Times New Roman" w:hAnsi="Times New Roman" w:cs="Times New Roman"/>
                <w:lang w:val="de-DE"/>
              </w:rPr>
              <w:t>%</w:t>
            </w:r>
            <w:r w:rsidR="002A25D3" w:rsidRPr="00402720">
              <w:rPr>
                <w:rFonts w:ascii="Times New Roman" w:hAnsi="Times New Roman" w:cs="Times New Roman"/>
                <w:lang w:val="de-DE"/>
              </w:rPr>
              <w:t xml:space="preserve"> Patienten mit objektivem Ansprechen </w:t>
            </w:r>
          </w:p>
        </w:tc>
        <w:tc>
          <w:tcPr>
            <w:tcW w:w="1701" w:type="dxa"/>
            <w:tcBorders>
              <w:top w:val="single" w:sz="4" w:space="0" w:color="000000"/>
              <w:left w:val="single" w:sz="4" w:space="0" w:color="000000"/>
              <w:bottom w:val="single" w:sz="4" w:space="0" w:color="000000"/>
              <w:right w:val="single" w:sz="4" w:space="0" w:color="000000"/>
            </w:tcBorders>
          </w:tcPr>
          <w:p w14:paraId="2FC1EEE9" w14:textId="77777777" w:rsidR="002A25D3" w:rsidRPr="00402720" w:rsidRDefault="002A25D3"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57,4</w:t>
            </w:r>
            <w:r w:rsidR="00E153D4"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tc>
        <w:tc>
          <w:tcPr>
            <w:tcW w:w="1559" w:type="dxa"/>
            <w:tcBorders>
              <w:top w:val="single" w:sz="4" w:space="0" w:color="000000"/>
              <w:left w:val="single" w:sz="4" w:space="0" w:color="000000"/>
              <w:bottom w:val="single" w:sz="4" w:space="0" w:color="000000"/>
              <w:right w:val="single" w:sz="4" w:space="0" w:color="000000"/>
            </w:tcBorders>
          </w:tcPr>
          <w:p w14:paraId="3DF72548" w14:textId="77777777" w:rsidR="002A25D3" w:rsidRPr="00402720" w:rsidRDefault="002A25D3"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78,5</w:t>
            </w:r>
            <w:r w:rsidR="00E153D4"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tc>
        <w:tc>
          <w:tcPr>
            <w:tcW w:w="1701" w:type="dxa"/>
            <w:tcBorders>
              <w:top w:val="single" w:sz="4" w:space="0" w:color="000000"/>
              <w:left w:val="single" w:sz="4" w:space="0" w:color="000000"/>
              <w:bottom w:val="single" w:sz="4" w:space="0" w:color="000000"/>
              <w:right w:val="single" w:sz="4" w:space="0" w:color="000000"/>
            </w:tcBorders>
          </w:tcPr>
          <w:p w14:paraId="4D5DFD51" w14:textId="77777777" w:rsidR="002A25D3" w:rsidRPr="00402720" w:rsidRDefault="002A25D3"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53,7</w:t>
            </w:r>
            <w:r w:rsidR="00E153D4"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tc>
        <w:tc>
          <w:tcPr>
            <w:tcW w:w="1559" w:type="dxa"/>
            <w:tcBorders>
              <w:top w:val="single" w:sz="4" w:space="0" w:color="000000"/>
              <w:left w:val="single" w:sz="4" w:space="0" w:color="000000"/>
              <w:bottom w:val="single" w:sz="4" w:space="0" w:color="000000"/>
              <w:right w:val="single" w:sz="4" w:space="0" w:color="000000"/>
            </w:tcBorders>
          </w:tcPr>
          <w:p w14:paraId="29CBF52D" w14:textId="77777777" w:rsidR="002A25D3" w:rsidRPr="00402720" w:rsidRDefault="002A25D3"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74,8</w:t>
            </w:r>
            <w:r w:rsidR="00E153D4"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tc>
      </w:tr>
      <w:tr w:rsidR="002A25D3" w:rsidRPr="00402720" w14:paraId="59F0147D"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0964DC83" w14:textId="77777777" w:rsidR="002A25D3" w:rsidRPr="00402720" w:rsidRDefault="002A25D3" w:rsidP="00A16482">
            <w:pPr>
              <w:keepNext/>
              <w:keepLines/>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p-Wert </w:t>
            </w:r>
          </w:p>
        </w:tc>
        <w:tc>
          <w:tcPr>
            <w:tcW w:w="3260" w:type="dxa"/>
            <w:gridSpan w:val="2"/>
            <w:tcBorders>
              <w:top w:val="single" w:sz="4" w:space="0" w:color="000000"/>
              <w:left w:val="single" w:sz="4" w:space="0" w:color="000000"/>
              <w:bottom w:val="single" w:sz="4" w:space="0" w:color="000000"/>
              <w:right w:val="single" w:sz="4" w:space="0" w:color="000000"/>
            </w:tcBorders>
          </w:tcPr>
          <w:p w14:paraId="7D6C3346" w14:textId="77777777" w:rsidR="002A25D3" w:rsidRPr="00402720" w:rsidRDefault="00E32D5C"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&lt; </w:t>
            </w:r>
            <w:r w:rsidR="002A25D3" w:rsidRPr="00402720">
              <w:rPr>
                <w:rFonts w:ascii="Times New Roman" w:hAnsi="Times New Roman" w:cs="Times New Roman"/>
                <w:lang w:val="de-DE"/>
              </w:rPr>
              <w:t>0,0001</w:t>
            </w:r>
          </w:p>
        </w:tc>
        <w:tc>
          <w:tcPr>
            <w:tcW w:w="3260" w:type="dxa"/>
            <w:gridSpan w:val="2"/>
            <w:tcBorders>
              <w:top w:val="single" w:sz="4" w:space="0" w:color="000000"/>
              <w:left w:val="single" w:sz="4" w:space="0" w:color="000000"/>
              <w:bottom w:val="single" w:sz="4" w:space="0" w:color="000000"/>
              <w:right w:val="single" w:sz="4" w:space="0" w:color="000000"/>
            </w:tcBorders>
          </w:tcPr>
          <w:p w14:paraId="3AF812A5" w14:textId="77777777" w:rsidR="002A25D3" w:rsidRPr="00402720" w:rsidRDefault="00E32D5C" w:rsidP="00A16482">
            <w:pPr>
              <w:keepNext/>
              <w:keepLines/>
              <w:spacing w:after="0" w:line="240" w:lineRule="auto"/>
              <w:jc w:val="center"/>
              <w:rPr>
                <w:rFonts w:ascii="Times New Roman" w:hAnsi="Times New Roman" w:cs="Times New Roman"/>
                <w:lang w:val="de-DE"/>
              </w:rPr>
            </w:pPr>
            <w:r w:rsidRPr="00402720">
              <w:rPr>
                <w:rFonts w:ascii="Times New Roman" w:hAnsi="Times New Roman" w:cs="Times New Roman"/>
                <w:lang w:val="de-DE"/>
              </w:rPr>
              <w:t>&lt; </w:t>
            </w:r>
            <w:r w:rsidR="002A25D3" w:rsidRPr="00402720">
              <w:rPr>
                <w:rFonts w:ascii="Times New Roman" w:hAnsi="Times New Roman" w:cs="Times New Roman"/>
                <w:lang w:val="de-DE"/>
              </w:rPr>
              <w:t>0,0001</w:t>
            </w:r>
          </w:p>
        </w:tc>
      </w:tr>
      <w:tr w:rsidR="002A25D3" w:rsidRPr="00402720" w14:paraId="6F754C76" w14:textId="77777777" w:rsidTr="005445BE">
        <w:trPr>
          <w:trHeight w:val="20"/>
        </w:trPr>
        <w:tc>
          <w:tcPr>
            <w:tcW w:w="9072" w:type="dxa"/>
            <w:gridSpan w:val="5"/>
            <w:tcBorders>
              <w:top w:val="single" w:sz="4" w:space="0" w:color="000000"/>
              <w:left w:val="single" w:sz="4" w:space="0" w:color="000000"/>
              <w:bottom w:val="single" w:sz="4" w:space="0" w:color="000000"/>
              <w:right w:val="single" w:sz="4" w:space="0" w:color="000000"/>
            </w:tcBorders>
          </w:tcPr>
          <w:p w14:paraId="6A4EE35D" w14:textId="77777777" w:rsidR="002A25D3" w:rsidRPr="00402720" w:rsidRDefault="00F8223D" w:rsidP="00A16482">
            <w:pPr>
              <w:keepNext/>
              <w:keepLines/>
              <w:spacing w:after="0" w:line="240" w:lineRule="auto"/>
              <w:rPr>
                <w:rFonts w:ascii="Times New Roman" w:hAnsi="Times New Roman" w:cs="Times New Roman"/>
                <w:lang w:val="de-DE"/>
              </w:rPr>
            </w:pPr>
            <w:r w:rsidRPr="00402720">
              <w:rPr>
                <w:rFonts w:ascii="Times New Roman" w:hAnsi="Times New Roman" w:cs="Times New Roman"/>
                <w:lang w:val="de-DE"/>
              </w:rPr>
              <w:t>Gesamtüberleben (OS)</w:t>
            </w:r>
          </w:p>
        </w:tc>
      </w:tr>
      <w:tr w:rsidR="002A25D3" w:rsidRPr="00402720" w14:paraId="1B27ECB6"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0203375E" w14:textId="77777777" w:rsidR="002A25D3" w:rsidRPr="00402720" w:rsidRDefault="002A25D3" w:rsidP="00C26DCE">
            <w:pPr>
              <w:spacing w:after="0" w:line="240" w:lineRule="auto"/>
              <w:rPr>
                <w:rFonts w:ascii="Times New Roman" w:hAnsi="Times New Roman" w:cs="Times New Roman"/>
                <w:lang w:val="de-DE"/>
              </w:rPr>
            </w:pPr>
          </w:p>
        </w:tc>
        <w:tc>
          <w:tcPr>
            <w:tcW w:w="3260" w:type="dxa"/>
            <w:gridSpan w:val="2"/>
            <w:tcBorders>
              <w:top w:val="single" w:sz="4" w:space="0" w:color="000000"/>
              <w:left w:val="single" w:sz="4" w:space="0" w:color="000000"/>
              <w:bottom w:val="single" w:sz="4" w:space="0" w:color="000000"/>
              <w:right w:val="single" w:sz="4" w:space="0" w:color="000000"/>
            </w:tcBorders>
          </w:tcPr>
          <w:p w14:paraId="506FC539" w14:textId="77777777" w:rsidR="008A3549"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Placebo + C/G</w:t>
            </w:r>
          </w:p>
          <w:p w14:paraId="6AEDFEC3"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242)</w:t>
            </w:r>
          </w:p>
        </w:tc>
        <w:tc>
          <w:tcPr>
            <w:tcW w:w="3260" w:type="dxa"/>
            <w:gridSpan w:val="2"/>
            <w:tcBorders>
              <w:top w:val="single" w:sz="4" w:space="0" w:color="000000"/>
              <w:left w:val="single" w:sz="4" w:space="0" w:color="000000"/>
              <w:bottom w:val="single" w:sz="4" w:space="0" w:color="000000"/>
              <w:right w:val="single" w:sz="4" w:space="0" w:color="000000"/>
            </w:tcBorders>
          </w:tcPr>
          <w:p w14:paraId="475374A1" w14:textId="77777777" w:rsidR="008A3549" w:rsidRPr="00402720" w:rsidRDefault="00863E8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Bevacizumab</w:t>
            </w:r>
            <w:r w:rsidR="002A25D3" w:rsidRPr="00402720">
              <w:rPr>
                <w:rFonts w:ascii="Times New Roman" w:hAnsi="Times New Roman" w:cs="Times New Roman"/>
                <w:lang w:val="de-DE"/>
              </w:rPr>
              <w:t xml:space="preserve"> + C/G</w:t>
            </w:r>
          </w:p>
          <w:p w14:paraId="67AE0CA4"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242)</w:t>
            </w:r>
          </w:p>
        </w:tc>
      </w:tr>
      <w:tr w:rsidR="002A25D3" w:rsidRPr="00402720" w14:paraId="6AA60AD9"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65B0C2A1" w14:textId="77777777" w:rsidR="002A25D3" w:rsidRPr="00402720" w:rsidRDefault="002A25D3" w:rsidP="00C26DC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Medianes OS (Monate) </w:t>
            </w:r>
          </w:p>
        </w:tc>
        <w:tc>
          <w:tcPr>
            <w:tcW w:w="3260" w:type="dxa"/>
            <w:gridSpan w:val="2"/>
            <w:tcBorders>
              <w:top w:val="single" w:sz="4" w:space="0" w:color="000000"/>
              <w:left w:val="single" w:sz="4" w:space="0" w:color="000000"/>
              <w:bottom w:val="single" w:sz="4" w:space="0" w:color="000000"/>
              <w:right w:val="single" w:sz="4" w:space="0" w:color="000000"/>
            </w:tcBorders>
          </w:tcPr>
          <w:p w14:paraId="49278363"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32,9</w:t>
            </w:r>
          </w:p>
        </w:tc>
        <w:tc>
          <w:tcPr>
            <w:tcW w:w="3260" w:type="dxa"/>
            <w:gridSpan w:val="2"/>
            <w:tcBorders>
              <w:top w:val="single" w:sz="4" w:space="0" w:color="000000"/>
              <w:left w:val="single" w:sz="4" w:space="0" w:color="000000"/>
              <w:bottom w:val="single" w:sz="4" w:space="0" w:color="000000"/>
              <w:right w:val="single" w:sz="4" w:space="0" w:color="000000"/>
            </w:tcBorders>
          </w:tcPr>
          <w:p w14:paraId="0BE85232"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33,6</w:t>
            </w:r>
          </w:p>
        </w:tc>
      </w:tr>
      <w:tr w:rsidR="002A25D3" w:rsidRPr="00402720" w14:paraId="6220837F" w14:textId="77777777" w:rsidTr="005445BE">
        <w:trPr>
          <w:trHeight w:val="20"/>
        </w:trPr>
        <w:tc>
          <w:tcPr>
            <w:tcW w:w="2552" w:type="dxa"/>
            <w:tcBorders>
              <w:top w:val="single" w:sz="4" w:space="0" w:color="000000"/>
              <w:left w:val="single" w:sz="4" w:space="0" w:color="000000"/>
              <w:bottom w:val="single" w:sz="4" w:space="0" w:color="000000"/>
              <w:right w:val="single" w:sz="4" w:space="0" w:color="000000"/>
            </w:tcBorders>
          </w:tcPr>
          <w:p w14:paraId="7EFB19FE" w14:textId="77777777" w:rsidR="00EB2944" w:rsidRPr="00402720" w:rsidRDefault="00EB2944" w:rsidP="00C26DC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w:t>
            </w:r>
          </w:p>
          <w:p w14:paraId="02212C73" w14:textId="629E676B" w:rsidR="002A25D3" w:rsidRPr="00402720" w:rsidRDefault="002A25D3" w:rsidP="00C26DC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 xml:space="preserve">KI) </w:t>
            </w:r>
          </w:p>
        </w:tc>
        <w:tc>
          <w:tcPr>
            <w:tcW w:w="6520" w:type="dxa"/>
            <w:gridSpan w:val="4"/>
            <w:tcBorders>
              <w:top w:val="single" w:sz="4" w:space="0" w:color="000000"/>
              <w:left w:val="single" w:sz="4" w:space="0" w:color="000000"/>
              <w:bottom w:val="single" w:sz="4" w:space="0" w:color="000000"/>
              <w:right w:val="single" w:sz="4" w:space="0" w:color="000000"/>
            </w:tcBorders>
          </w:tcPr>
          <w:p w14:paraId="4DB2DEF7" w14:textId="75D560A9"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0,952 </w:t>
            </w:r>
            <w:r w:rsidR="001D0745" w:rsidRPr="00402720">
              <w:rPr>
                <w:color w:val="000000"/>
              </w:rPr>
              <w:t>[</w:t>
            </w:r>
            <w:r w:rsidRPr="00402720">
              <w:rPr>
                <w:rFonts w:ascii="Times New Roman" w:hAnsi="Times New Roman" w:cs="Times New Roman"/>
                <w:lang w:val="de-DE"/>
              </w:rPr>
              <w:t>0,771; 1,176</w:t>
            </w:r>
            <w:r w:rsidR="001D0745" w:rsidRPr="00402720">
              <w:rPr>
                <w:color w:val="000000"/>
              </w:rPr>
              <w:t>]</w:t>
            </w:r>
          </w:p>
        </w:tc>
      </w:tr>
      <w:tr w:rsidR="002A25D3" w:rsidRPr="00402720" w14:paraId="2C1489AF" w14:textId="77777777" w:rsidTr="00716078">
        <w:trPr>
          <w:trHeight w:val="283"/>
        </w:trPr>
        <w:tc>
          <w:tcPr>
            <w:tcW w:w="2552" w:type="dxa"/>
            <w:tcBorders>
              <w:top w:val="single" w:sz="4" w:space="0" w:color="000000"/>
              <w:left w:val="single" w:sz="4" w:space="0" w:color="000000"/>
              <w:bottom w:val="single" w:sz="4" w:space="0" w:color="000000"/>
              <w:right w:val="single" w:sz="4" w:space="0" w:color="000000"/>
            </w:tcBorders>
          </w:tcPr>
          <w:p w14:paraId="146180D9" w14:textId="77777777" w:rsidR="002A25D3" w:rsidRPr="00402720" w:rsidRDefault="008A3549" w:rsidP="00C26DC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p-Wert</w:t>
            </w:r>
          </w:p>
        </w:tc>
        <w:tc>
          <w:tcPr>
            <w:tcW w:w="6520" w:type="dxa"/>
            <w:gridSpan w:val="4"/>
            <w:tcBorders>
              <w:top w:val="single" w:sz="4" w:space="0" w:color="000000"/>
              <w:left w:val="single" w:sz="4" w:space="0" w:color="000000"/>
              <w:bottom w:val="single" w:sz="4" w:space="0" w:color="000000"/>
              <w:right w:val="single" w:sz="4" w:space="0" w:color="000000"/>
            </w:tcBorders>
          </w:tcPr>
          <w:p w14:paraId="7B98B2E9" w14:textId="77777777" w:rsidR="002A25D3" w:rsidRPr="00402720" w:rsidRDefault="002A25D3" w:rsidP="00C26DC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0,6479</w:t>
            </w:r>
          </w:p>
        </w:tc>
      </w:tr>
    </w:tbl>
    <w:p w14:paraId="2AF2CDED" w14:textId="77777777" w:rsidR="00010E8C" w:rsidRPr="009737B5" w:rsidRDefault="00010E8C" w:rsidP="005F4D08">
      <w:pPr>
        <w:suppressAutoHyphens/>
        <w:spacing w:after="0" w:line="240" w:lineRule="auto"/>
        <w:rPr>
          <w:rFonts w:ascii="Times New Roman" w:hAnsi="Times New Roman" w:cs="Times New Roman"/>
          <w:lang w:val="de-DE"/>
        </w:rPr>
      </w:pPr>
    </w:p>
    <w:p w14:paraId="3FD2BE49" w14:textId="53383732"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Subgruppenanalyse des PFS in Abhängigkeit vom Auftreten des Rezidivs nach der letzten Platintherapie ist in Tabelle</w:t>
      </w:r>
      <w:r w:rsidR="000206F4">
        <w:rPr>
          <w:rFonts w:ascii="Times New Roman" w:hAnsi="Times New Roman" w:cs="Times New Roman"/>
          <w:lang w:val="de-DE"/>
        </w:rPr>
        <w:t> </w:t>
      </w:r>
      <w:r w:rsidR="003E1054">
        <w:rPr>
          <w:rFonts w:ascii="Times New Roman" w:hAnsi="Times New Roman" w:cs="Times New Roman"/>
          <w:lang w:val="de-DE"/>
        </w:rPr>
        <w:t>21</w:t>
      </w:r>
      <w:r w:rsidR="003E1054" w:rsidRPr="009737B5">
        <w:rPr>
          <w:rFonts w:ascii="Times New Roman" w:hAnsi="Times New Roman" w:cs="Times New Roman"/>
          <w:lang w:val="de-DE"/>
        </w:rPr>
        <w:t xml:space="preserve"> </w:t>
      </w:r>
      <w:r w:rsidRPr="009737B5">
        <w:rPr>
          <w:rFonts w:ascii="Times New Roman" w:hAnsi="Times New Roman" w:cs="Times New Roman"/>
          <w:lang w:val="de-DE"/>
        </w:rPr>
        <w:t>zusammengefasst.</w:t>
      </w:r>
    </w:p>
    <w:p w14:paraId="12DAD169" w14:textId="77777777" w:rsidR="00010E8C" w:rsidRPr="009737B5" w:rsidRDefault="00010E8C" w:rsidP="005F4D08">
      <w:pPr>
        <w:suppressAutoHyphens/>
        <w:spacing w:after="0" w:line="240" w:lineRule="auto"/>
        <w:rPr>
          <w:rFonts w:ascii="Times New Roman" w:hAnsi="Times New Roman" w:cs="Times New Roman"/>
          <w:lang w:val="de-DE"/>
        </w:rPr>
      </w:pPr>
    </w:p>
    <w:p w14:paraId="6FA06948" w14:textId="5B0AB352" w:rsidR="00010E8C" w:rsidRPr="009737B5" w:rsidRDefault="00010E8C">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0206F4">
        <w:rPr>
          <w:rFonts w:ascii="Times New Roman" w:hAnsi="Times New Roman" w:cs="Times New Roman"/>
          <w:b/>
          <w:lang w:val="de-DE"/>
        </w:rPr>
        <w:t> </w:t>
      </w:r>
      <w:r w:rsidR="003E1054">
        <w:rPr>
          <w:rFonts w:ascii="Times New Roman" w:hAnsi="Times New Roman" w:cs="Times New Roman"/>
          <w:b/>
          <w:lang w:val="de-DE"/>
        </w:rPr>
        <w:t>21</w:t>
      </w:r>
      <w:r w:rsidR="00047BAE" w:rsidRPr="009737B5">
        <w:rPr>
          <w:rFonts w:ascii="Times New Roman" w:hAnsi="Times New Roman" w:cs="Times New Roman"/>
          <w:b/>
          <w:lang w:val="de-DE"/>
        </w:rPr>
        <w:t>.</w:t>
      </w:r>
      <w:r w:rsidRPr="009737B5">
        <w:rPr>
          <w:rFonts w:ascii="Times New Roman" w:hAnsi="Times New Roman" w:cs="Times New Roman"/>
          <w:b/>
          <w:lang w:val="de-DE"/>
        </w:rPr>
        <w:t xml:space="preserve"> Progressionsfreies Überleben in Abhängigkeit vom Zeitraum von der letzten Platintherapie bis zum Rezidiv</w:t>
      </w:r>
    </w:p>
    <w:p w14:paraId="77F3DB93" w14:textId="77777777" w:rsidR="00010E8C" w:rsidRPr="009737B5" w:rsidRDefault="00010E8C">
      <w:pPr>
        <w:keepNext/>
        <w:suppressAutoHyphens/>
        <w:spacing w:after="0" w:line="240" w:lineRule="auto"/>
        <w:rPr>
          <w:rFonts w:ascii="Times New Roman" w:hAnsi="Times New Roman" w:cs="Times New Roman"/>
          <w:lang w:val="de-D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right w:w="115" w:type="dxa"/>
        </w:tblCellMar>
        <w:tblLook w:val="04A0" w:firstRow="1" w:lastRow="0" w:firstColumn="1" w:lastColumn="0" w:noHBand="0" w:noVBand="1"/>
      </w:tblPr>
      <w:tblGrid>
        <w:gridCol w:w="3189"/>
        <w:gridCol w:w="2908"/>
        <w:gridCol w:w="2975"/>
      </w:tblGrid>
      <w:tr w:rsidR="005445BE" w:rsidRPr="00402720" w14:paraId="615B5CA0" w14:textId="77777777" w:rsidTr="005445BE">
        <w:trPr>
          <w:trHeight w:val="20"/>
          <w:tblHeader/>
        </w:trPr>
        <w:tc>
          <w:tcPr>
            <w:tcW w:w="3189" w:type="dxa"/>
          </w:tcPr>
          <w:p w14:paraId="613B904F" w14:textId="77777777" w:rsidR="005445BE" w:rsidRPr="00402720" w:rsidRDefault="005445BE">
            <w:pPr>
              <w:keepNext/>
              <w:spacing w:after="0" w:line="240" w:lineRule="auto"/>
              <w:rPr>
                <w:rFonts w:ascii="Times New Roman" w:hAnsi="Times New Roman" w:cs="Times New Roman"/>
                <w:b/>
                <w:lang w:val="de-DE"/>
              </w:rPr>
            </w:pPr>
          </w:p>
        </w:tc>
        <w:tc>
          <w:tcPr>
            <w:tcW w:w="5883" w:type="dxa"/>
            <w:gridSpan w:val="2"/>
          </w:tcPr>
          <w:p w14:paraId="451C14EB" w14:textId="77777777" w:rsidR="005445BE" w:rsidRPr="00402720" w:rsidRDefault="005445BE">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Bewertung durch den Prüfarzt</w:t>
            </w:r>
          </w:p>
        </w:tc>
      </w:tr>
      <w:tr w:rsidR="00F040A9" w:rsidRPr="00402720" w14:paraId="3754F3B4" w14:textId="77777777" w:rsidTr="005445BE">
        <w:trPr>
          <w:trHeight w:val="20"/>
        </w:trPr>
        <w:tc>
          <w:tcPr>
            <w:tcW w:w="3189" w:type="dxa"/>
          </w:tcPr>
          <w:p w14:paraId="08FD5D7D" w14:textId="77777777" w:rsidR="00F040A9" w:rsidRPr="00402720" w:rsidRDefault="00F040A9" w:rsidP="000B6CC4">
            <w:pPr>
              <w:keepNext/>
              <w:spacing w:after="0" w:line="240" w:lineRule="auto"/>
              <w:rPr>
                <w:rFonts w:ascii="Times New Roman" w:hAnsi="Times New Roman" w:cs="Times New Roman"/>
                <w:b/>
                <w:lang w:val="de-DE"/>
              </w:rPr>
            </w:pPr>
            <w:r w:rsidRPr="00402720">
              <w:rPr>
                <w:rFonts w:ascii="Times New Roman" w:hAnsi="Times New Roman" w:cs="Times New Roman"/>
                <w:b/>
                <w:lang w:val="de-DE"/>
              </w:rPr>
              <w:t>Zeit von der letzten</w:t>
            </w:r>
            <w:r w:rsidR="005445BE" w:rsidRPr="00402720">
              <w:rPr>
                <w:rFonts w:ascii="Times New Roman" w:hAnsi="Times New Roman" w:cs="Times New Roman"/>
                <w:b/>
                <w:lang w:val="de-DE"/>
              </w:rPr>
              <w:t xml:space="preserve"> </w:t>
            </w:r>
            <w:r w:rsidRPr="00402720">
              <w:rPr>
                <w:rFonts w:ascii="Times New Roman" w:hAnsi="Times New Roman" w:cs="Times New Roman"/>
                <w:b/>
                <w:lang w:val="de-DE"/>
              </w:rPr>
              <w:t xml:space="preserve">Platintherapie bis zum Rezidiv </w:t>
            </w:r>
          </w:p>
        </w:tc>
        <w:tc>
          <w:tcPr>
            <w:tcW w:w="2908" w:type="dxa"/>
          </w:tcPr>
          <w:p w14:paraId="7AF84572" w14:textId="77777777" w:rsidR="00F040A9" w:rsidRPr="00402720" w:rsidRDefault="00F040A9" w:rsidP="000B6CC4">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Placebo + C/G</w:t>
            </w:r>
          </w:p>
          <w:p w14:paraId="218D19BB" w14:textId="77777777" w:rsidR="00F040A9" w:rsidRPr="00402720" w:rsidRDefault="00F040A9" w:rsidP="000B6CC4">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(n = 242)</w:t>
            </w:r>
          </w:p>
        </w:tc>
        <w:tc>
          <w:tcPr>
            <w:tcW w:w="2975" w:type="dxa"/>
          </w:tcPr>
          <w:p w14:paraId="3D20E364" w14:textId="77777777" w:rsidR="00F040A9" w:rsidRPr="00402720" w:rsidRDefault="00863E83" w:rsidP="000B6CC4">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Bevacizumab</w:t>
            </w:r>
            <w:r w:rsidR="00F040A9" w:rsidRPr="00402720">
              <w:rPr>
                <w:rFonts w:ascii="Times New Roman" w:hAnsi="Times New Roman" w:cs="Times New Roman"/>
                <w:b/>
                <w:lang w:val="de-DE"/>
              </w:rPr>
              <w:t xml:space="preserve"> + C/G</w:t>
            </w:r>
          </w:p>
          <w:p w14:paraId="31C03F9B" w14:textId="77777777" w:rsidR="00F040A9" w:rsidRPr="00402720" w:rsidRDefault="00F040A9" w:rsidP="000B6CC4">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(n = 242)</w:t>
            </w:r>
          </w:p>
        </w:tc>
      </w:tr>
      <w:tr w:rsidR="00F040A9" w:rsidRPr="00402720" w14:paraId="52FBABBF" w14:textId="77777777" w:rsidTr="005445BE">
        <w:trPr>
          <w:trHeight w:val="20"/>
        </w:trPr>
        <w:tc>
          <w:tcPr>
            <w:tcW w:w="3189" w:type="dxa"/>
          </w:tcPr>
          <w:p w14:paraId="5116046D" w14:textId="77777777" w:rsidR="00F040A9" w:rsidRPr="00402720" w:rsidRDefault="00F040A9" w:rsidP="000B6CC4">
            <w:pPr>
              <w:keepNext/>
              <w:spacing w:after="0" w:line="240" w:lineRule="auto"/>
              <w:rPr>
                <w:rFonts w:ascii="Times New Roman" w:hAnsi="Times New Roman" w:cs="Times New Roman"/>
                <w:lang w:val="de-DE"/>
              </w:rPr>
            </w:pPr>
            <w:r w:rsidRPr="00402720">
              <w:rPr>
                <w:rFonts w:ascii="Times New Roman" w:hAnsi="Times New Roman" w:cs="Times New Roman"/>
                <w:lang w:val="de-DE"/>
              </w:rPr>
              <w:t xml:space="preserve">6 - 12 Monate (n = 202) </w:t>
            </w:r>
          </w:p>
        </w:tc>
        <w:tc>
          <w:tcPr>
            <w:tcW w:w="2908" w:type="dxa"/>
          </w:tcPr>
          <w:p w14:paraId="54B4A0BD" w14:textId="77777777" w:rsidR="00F040A9" w:rsidRPr="00402720" w:rsidRDefault="00F040A9" w:rsidP="000B6CC4">
            <w:pPr>
              <w:keepNext/>
              <w:spacing w:after="0" w:line="240" w:lineRule="auto"/>
              <w:jc w:val="center"/>
              <w:rPr>
                <w:rFonts w:ascii="Times New Roman" w:hAnsi="Times New Roman" w:cs="Times New Roman"/>
                <w:lang w:val="de-DE"/>
              </w:rPr>
            </w:pPr>
          </w:p>
        </w:tc>
        <w:tc>
          <w:tcPr>
            <w:tcW w:w="2975" w:type="dxa"/>
          </w:tcPr>
          <w:p w14:paraId="30875604" w14:textId="77777777" w:rsidR="00F040A9" w:rsidRPr="00402720" w:rsidRDefault="00F040A9" w:rsidP="000B6CC4">
            <w:pPr>
              <w:keepNext/>
              <w:spacing w:after="0" w:line="240" w:lineRule="auto"/>
              <w:jc w:val="center"/>
              <w:rPr>
                <w:rFonts w:ascii="Times New Roman" w:hAnsi="Times New Roman" w:cs="Times New Roman"/>
                <w:lang w:val="de-DE"/>
              </w:rPr>
            </w:pPr>
          </w:p>
        </w:tc>
      </w:tr>
      <w:tr w:rsidR="00F040A9" w:rsidRPr="00402720" w14:paraId="1086F8A0" w14:textId="77777777" w:rsidTr="005445BE">
        <w:trPr>
          <w:trHeight w:val="20"/>
        </w:trPr>
        <w:tc>
          <w:tcPr>
            <w:tcW w:w="3189" w:type="dxa"/>
          </w:tcPr>
          <w:p w14:paraId="1BF8A57E" w14:textId="77777777" w:rsidR="00F040A9" w:rsidRPr="00402720" w:rsidRDefault="00F040A9"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Median </w:t>
            </w:r>
          </w:p>
        </w:tc>
        <w:tc>
          <w:tcPr>
            <w:tcW w:w="2908" w:type="dxa"/>
          </w:tcPr>
          <w:p w14:paraId="2CF183DA" w14:textId="77777777" w:rsidR="00F040A9" w:rsidRPr="00402720" w:rsidRDefault="00F040A9"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8,0</w:t>
            </w:r>
          </w:p>
        </w:tc>
        <w:tc>
          <w:tcPr>
            <w:tcW w:w="2975" w:type="dxa"/>
          </w:tcPr>
          <w:p w14:paraId="485C1B0F" w14:textId="77777777" w:rsidR="00F040A9" w:rsidRPr="00402720" w:rsidRDefault="00F040A9"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11,9</w:t>
            </w:r>
          </w:p>
        </w:tc>
      </w:tr>
      <w:tr w:rsidR="00F040A9" w:rsidRPr="00402720" w14:paraId="4A43E140" w14:textId="77777777" w:rsidTr="005445BE">
        <w:trPr>
          <w:trHeight w:val="20"/>
        </w:trPr>
        <w:tc>
          <w:tcPr>
            <w:tcW w:w="3189" w:type="dxa"/>
          </w:tcPr>
          <w:p w14:paraId="24FCD45D" w14:textId="7B1728B2" w:rsidR="00F040A9" w:rsidRPr="00402720" w:rsidRDefault="00F040A9"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D07211">
              <w:rPr>
                <w:rFonts w:ascii="Times New Roman" w:hAnsi="Times New Roman" w:cs="Times New Roman"/>
                <w:lang w:val="de-DE"/>
              </w:rPr>
              <w:t> </w:t>
            </w:r>
            <w:r w:rsidR="00322E40" w:rsidRPr="00402720">
              <w:rPr>
                <w:rFonts w:ascii="Times New Roman" w:hAnsi="Times New Roman" w:cs="Times New Roman"/>
                <w:lang w:val="de-DE"/>
              </w:rPr>
              <w:t>%</w:t>
            </w:r>
            <w:r w:rsidR="00D07211">
              <w:rPr>
                <w:rFonts w:ascii="Times New Roman" w:hAnsi="Times New Roman" w:cs="Times New Roman"/>
                <w:lang w:val="de-DE"/>
              </w:rPr>
              <w:t> </w:t>
            </w:r>
            <w:r w:rsidRPr="00402720">
              <w:rPr>
                <w:rFonts w:ascii="Times New Roman" w:hAnsi="Times New Roman" w:cs="Times New Roman"/>
                <w:lang w:val="de-DE"/>
              </w:rPr>
              <w:t xml:space="preserve">KI) </w:t>
            </w:r>
          </w:p>
        </w:tc>
        <w:tc>
          <w:tcPr>
            <w:tcW w:w="5883" w:type="dxa"/>
            <w:gridSpan w:val="2"/>
          </w:tcPr>
          <w:p w14:paraId="126BBD25" w14:textId="77777777" w:rsidR="00F040A9" w:rsidRPr="00402720" w:rsidRDefault="00F040A9"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0,41 (0,29 - 0,58)</w:t>
            </w:r>
          </w:p>
        </w:tc>
      </w:tr>
      <w:tr w:rsidR="00F040A9" w:rsidRPr="00402720" w14:paraId="410952B7" w14:textId="77777777" w:rsidTr="005445BE">
        <w:trPr>
          <w:trHeight w:val="20"/>
        </w:trPr>
        <w:tc>
          <w:tcPr>
            <w:tcW w:w="3189" w:type="dxa"/>
          </w:tcPr>
          <w:p w14:paraId="29251F8E" w14:textId="77777777" w:rsidR="00F040A9" w:rsidRPr="00402720" w:rsidRDefault="00775AE6" w:rsidP="000B6CC4">
            <w:pPr>
              <w:keepNext/>
              <w:spacing w:after="0" w:line="240" w:lineRule="auto"/>
              <w:rPr>
                <w:rFonts w:ascii="Times New Roman" w:hAnsi="Times New Roman" w:cs="Times New Roman"/>
                <w:lang w:val="de-DE"/>
              </w:rPr>
            </w:pPr>
            <w:r w:rsidRPr="00402720">
              <w:rPr>
                <w:rFonts w:ascii="Times New Roman" w:hAnsi="Times New Roman" w:cs="Times New Roman"/>
                <w:lang w:val="de-DE"/>
              </w:rPr>
              <w:t xml:space="preserve">&gt; </w:t>
            </w:r>
            <w:r w:rsidR="00F040A9" w:rsidRPr="00402720">
              <w:rPr>
                <w:rFonts w:ascii="Times New Roman" w:hAnsi="Times New Roman" w:cs="Times New Roman"/>
                <w:lang w:val="de-DE"/>
              </w:rPr>
              <w:t xml:space="preserve">12 Monate (n = 282) </w:t>
            </w:r>
          </w:p>
        </w:tc>
        <w:tc>
          <w:tcPr>
            <w:tcW w:w="2908" w:type="dxa"/>
          </w:tcPr>
          <w:p w14:paraId="1038531F" w14:textId="77777777" w:rsidR="00F040A9" w:rsidRPr="00402720" w:rsidRDefault="00F040A9" w:rsidP="000B6CC4">
            <w:pPr>
              <w:keepNext/>
              <w:spacing w:after="0" w:line="240" w:lineRule="auto"/>
              <w:jc w:val="center"/>
              <w:rPr>
                <w:rFonts w:ascii="Times New Roman" w:hAnsi="Times New Roman" w:cs="Times New Roman"/>
                <w:lang w:val="de-DE"/>
              </w:rPr>
            </w:pPr>
          </w:p>
        </w:tc>
        <w:tc>
          <w:tcPr>
            <w:tcW w:w="2975" w:type="dxa"/>
          </w:tcPr>
          <w:p w14:paraId="5BD97924" w14:textId="77777777" w:rsidR="00F040A9" w:rsidRPr="00402720" w:rsidRDefault="00F040A9" w:rsidP="000B6CC4">
            <w:pPr>
              <w:keepNext/>
              <w:spacing w:after="0" w:line="240" w:lineRule="auto"/>
              <w:jc w:val="center"/>
              <w:rPr>
                <w:rFonts w:ascii="Times New Roman" w:hAnsi="Times New Roman" w:cs="Times New Roman"/>
                <w:lang w:val="de-DE"/>
              </w:rPr>
            </w:pPr>
          </w:p>
        </w:tc>
      </w:tr>
      <w:tr w:rsidR="00F040A9" w:rsidRPr="00402720" w14:paraId="0BD50337" w14:textId="77777777" w:rsidTr="005445BE">
        <w:trPr>
          <w:trHeight w:val="20"/>
        </w:trPr>
        <w:tc>
          <w:tcPr>
            <w:tcW w:w="3189" w:type="dxa"/>
          </w:tcPr>
          <w:p w14:paraId="1DB6FAE4" w14:textId="77777777" w:rsidR="00F040A9" w:rsidRPr="00402720" w:rsidRDefault="00F040A9"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Median </w:t>
            </w:r>
          </w:p>
        </w:tc>
        <w:tc>
          <w:tcPr>
            <w:tcW w:w="2908" w:type="dxa"/>
          </w:tcPr>
          <w:p w14:paraId="0FC3D074" w14:textId="77777777" w:rsidR="00F040A9" w:rsidRPr="00402720" w:rsidRDefault="00F040A9"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9,7</w:t>
            </w:r>
          </w:p>
        </w:tc>
        <w:tc>
          <w:tcPr>
            <w:tcW w:w="2975" w:type="dxa"/>
          </w:tcPr>
          <w:p w14:paraId="66209A86" w14:textId="77777777" w:rsidR="00F040A9" w:rsidRPr="00402720" w:rsidRDefault="00F040A9"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12,4</w:t>
            </w:r>
          </w:p>
        </w:tc>
      </w:tr>
      <w:tr w:rsidR="00F040A9" w:rsidRPr="00402720" w14:paraId="21619415" w14:textId="77777777" w:rsidTr="005445BE">
        <w:trPr>
          <w:trHeight w:val="20"/>
        </w:trPr>
        <w:tc>
          <w:tcPr>
            <w:tcW w:w="3189" w:type="dxa"/>
          </w:tcPr>
          <w:p w14:paraId="05E9041D" w14:textId="700A0F16" w:rsidR="00F040A9" w:rsidRPr="00402720" w:rsidRDefault="00F040A9"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D07211">
              <w:rPr>
                <w:rFonts w:ascii="Times New Roman" w:hAnsi="Times New Roman" w:cs="Times New Roman"/>
                <w:lang w:val="de-DE"/>
              </w:rPr>
              <w:t> </w:t>
            </w:r>
            <w:r w:rsidR="00322E40" w:rsidRPr="00402720">
              <w:rPr>
                <w:rFonts w:ascii="Times New Roman" w:hAnsi="Times New Roman" w:cs="Times New Roman"/>
                <w:lang w:val="de-DE"/>
              </w:rPr>
              <w:t>%</w:t>
            </w:r>
            <w:r w:rsidR="00D07211">
              <w:rPr>
                <w:rFonts w:ascii="Times New Roman" w:hAnsi="Times New Roman" w:cs="Times New Roman"/>
                <w:lang w:val="de-DE"/>
              </w:rPr>
              <w:t xml:space="preserve"> </w:t>
            </w:r>
            <w:r w:rsidRPr="00402720">
              <w:rPr>
                <w:rFonts w:ascii="Times New Roman" w:hAnsi="Times New Roman" w:cs="Times New Roman"/>
                <w:lang w:val="de-DE"/>
              </w:rPr>
              <w:t xml:space="preserve">KI) </w:t>
            </w:r>
          </w:p>
        </w:tc>
        <w:tc>
          <w:tcPr>
            <w:tcW w:w="5883" w:type="dxa"/>
            <w:gridSpan w:val="2"/>
          </w:tcPr>
          <w:p w14:paraId="574F89AD" w14:textId="77777777" w:rsidR="00F040A9" w:rsidRPr="00402720" w:rsidRDefault="00F040A9"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 xml:space="preserve">0,55 (0,41 </w:t>
            </w:r>
            <w:r w:rsidR="00D7227D" w:rsidRPr="00402720">
              <w:rPr>
                <w:rFonts w:ascii="Times New Roman" w:hAnsi="Times New Roman" w:cs="Times New Roman"/>
                <w:lang w:val="de-DE"/>
              </w:rPr>
              <w:t>-</w:t>
            </w:r>
            <w:r w:rsidRPr="00402720">
              <w:rPr>
                <w:rFonts w:ascii="Times New Roman" w:hAnsi="Times New Roman" w:cs="Times New Roman"/>
                <w:lang w:val="de-DE"/>
              </w:rPr>
              <w:t xml:space="preserve"> 0,73)</w:t>
            </w:r>
          </w:p>
        </w:tc>
      </w:tr>
    </w:tbl>
    <w:p w14:paraId="377AA220" w14:textId="77777777" w:rsidR="00010E8C" w:rsidRPr="009737B5" w:rsidRDefault="00010E8C" w:rsidP="005F4D08">
      <w:pPr>
        <w:suppressAutoHyphens/>
        <w:spacing w:after="0" w:line="240" w:lineRule="auto"/>
        <w:rPr>
          <w:rFonts w:ascii="Times New Roman" w:hAnsi="Times New Roman" w:cs="Times New Roman"/>
          <w:lang w:val="de-DE"/>
        </w:rPr>
      </w:pPr>
    </w:p>
    <w:p w14:paraId="76AA7DD0" w14:textId="77777777" w:rsidR="00010E8C" w:rsidRPr="009737B5" w:rsidRDefault="00010E8C" w:rsidP="00047BAE">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GOG-0213</w:t>
      </w:r>
    </w:p>
    <w:p w14:paraId="05A98CC0" w14:textId="1F606C5B"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der Studie GOG-0213, eine</w:t>
      </w:r>
      <w:r w:rsidR="0010405B" w:rsidRPr="009737B5">
        <w:rPr>
          <w:rFonts w:ascii="Times New Roman" w:hAnsi="Times New Roman" w:cs="Times New Roman"/>
          <w:lang w:val="de-DE"/>
        </w:rPr>
        <w:t>r</w:t>
      </w:r>
      <w:r w:rsidRPr="009737B5">
        <w:rPr>
          <w:rFonts w:ascii="Times New Roman" w:hAnsi="Times New Roman" w:cs="Times New Roman"/>
          <w:lang w:val="de-DE"/>
        </w:rPr>
        <w:t xml:space="preserve"> randomisierte</w:t>
      </w:r>
      <w:r w:rsidR="0010405B" w:rsidRPr="009737B5">
        <w:rPr>
          <w:rFonts w:ascii="Times New Roman" w:hAnsi="Times New Roman" w:cs="Times New Roman"/>
          <w:lang w:val="de-DE"/>
        </w:rPr>
        <w:t>n</w:t>
      </w:r>
      <w:r w:rsidRPr="009737B5">
        <w:rPr>
          <w:rFonts w:ascii="Times New Roman" w:hAnsi="Times New Roman" w:cs="Times New Roman"/>
          <w:lang w:val="de-DE"/>
        </w:rPr>
        <w:t>, kontrollierte</w:t>
      </w:r>
      <w:r w:rsidR="0010405B" w:rsidRPr="009737B5">
        <w:rPr>
          <w:rFonts w:ascii="Times New Roman" w:hAnsi="Times New Roman" w:cs="Times New Roman"/>
          <w:lang w:val="de-DE"/>
        </w:rPr>
        <w:t>n</w:t>
      </w:r>
      <w:r w:rsidRPr="009737B5">
        <w:rPr>
          <w:rFonts w:ascii="Times New Roman" w:hAnsi="Times New Roman" w:cs="Times New Roman"/>
          <w:lang w:val="de-DE"/>
        </w:rPr>
        <w:t>, offene</w:t>
      </w:r>
      <w:r w:rsidR="0010405B" w:rsidRPr="009737B5">
        <w:rPr>
          <w:rFonts w:ascii="Times New Roman" w:hAnsi="Times New Roman" w:cs="Times New Roman"/>
          <w:lang w:val="de-DE"/>
        </w:rPr>
        <w:t>n</w:t>
      </w:r>
      <w:r w:rsidRPr="009737B5">
        <w:rPr>
          <w:rFonts w:ascii="Times New Roman" w:hAnsi="Times New Roman" w:cs="Times New Roman"/>
          <w:lang w:val="de-DE"/>
        </w:rPr>
        <w:t xml:space="preserve"> Phase</w:t>
      </w:r>
      <w:r w:rsidR="00D07211">
        <w:rPr>
          <w:rFonts w:ascii="Times New Roman" w:hAnsi="Times New Roman" w:cs="Times New Roman"/>
          <w:lang w:val="de-DE"/>
        </w:rPr>
        <w:t> </w:t>
      </w:r>
      <w:r w:rsidRPr="009737B5">
        <w:rPr>
          <w:rFonts w:ascii="Times New Roman" w:hAnsi="Times New Roman" w:cs="Times New Roman"/>
          <w:lang w:val="de-DE"/>
        </w:rPr>
        <w:t>III-Studie, wurden die</w:t>
      </w:r>
      <w:r w:rsidR="001345F2" w:rsidRPr="009737B5">
        <w:rPr>
          <w:rFonts w:ascii="Times New Roman" w:hAnsi="Times New Roman" w:cs="Times New Roman"/>
          <w:lang w:val="de-DE"/>
        </w:rPr>
        <w:t xml:space="preserve"> </w:t>
      </w:r>
      <w:r w:rsidRPr="009737B5">
        <w:rPr>
          <w:rFonts w:ascii="Times New Roman" w:hAnsi="Times New Roman" w:cs="Times New Roman"/>
          <w:lang w:val="de-DE"/>
        </w:rPr>
        <w:t xml:space="preserve">Sicherheit und Wirksamkeit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bei der Behandlung von Patienten mit platinsensitivem Rezidiv des epithelialen Ovarialkarzinoms, Eileiterkarzinoms oder primären Peritonealkarzinoms, die bisher noch keine Chemotherapie im rezidivierten Krankheitsstadium erhalten hatten, untersucht. Eine vorangehende antiangiogene Therapie stellte jedoch kein Ausschlusskriterium dar. In dieser Studie wurde die Wirkung der Zugabe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zu Carboplatin</w:t>
      </w:r>
      <w:r w:rsidR="00507FF9">
        <w:rPr>
          <w:rFonts w:ascii="Times New Roman" w:hAnsi="Times New Roman" w:cs="Times New Roman"/>
          <w:lang w:val="de-DE"/>
        </w:rPr>
        <w:t> </w:t>
      </w:r>
      <w:r w:rsidRPr="009737B5">
        <w:rPr>
          <w:rFonts w:ascii="Times New Roman" w:hAnsi="Times New Roman" w:cs="Times New Roman"/>
          <w:lang w:val="de-DE"/>
        </w:rPr>
        <w:t>+</w:t>
      </w:r>
      <w:r w:rsidR="00507FF9">
        <w:rPr>
          <w:rFonts w:ascii="Times New Roman" w:hAnsi="Times New Roman" w:cs="Times New Roman"/>
          <w:lang w:val="de-DE"/>
        </w:rPr>
        <w:t> </w:t>
      </w:r>
      <w:r w:rsidRPr="009737B5">
        <w:rPr>
          <w:rFonts w:ascii="Times New Roman" w:hAnsi="Times New Roman" w:cs="Times New Roman"/>
          <w:lang w:val="de-DE"/>
        </w:rPr>
        <w:t xml:space="preserve">Paclitaxel sowie die Fortführung der Behandlung mit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als Monotherapie bis zum Auftreten einer Krankheitsprogression oder nicht mehr tolerierbarer Nebenwirkungen im Vergleich zu Carboplatin</w:t>
      </w:r>
      <w:r w:rsidR="00507FF9">
        <w:rPr>
          <w:rFonts w:ascii="Times New Roman" w:hAnsi="Times New Roman" w:cs="Times New Roman"/>
          <w:lang w:val="de-DE"/>
        </w:rPr>
        <w:t> </w:t>
      </w:r>
      <w:r w:rsidRPr="009737B5">
        <w:rPr>
          <w:rFonts w:ascii="Times New Roman" w:hAnsi="Times New Roman" w:cs="Times New Roman"/>
          <w:lang w:val="de-DE"/>
        </w:rPr>
        <w:t>+</w:t>
      </w:r>
      <w:r w:rsidR="00507FF9">
        <w:rPr>
          <w:rFonts w:ascii="Times New Roman" w:hAnsi="Times New Roman" w:cs="Times New Roman"/>
          <w:lang w:val="de-DE"/>
        </w:rPr>
        <w:t> </w:t>
      </w:r>
      <w:r w:rsidRPr="009737B5">
        <w:rPr>
          <w:rFonts w:ascii="Times New Roman" w:hAnsi="Times New Roman" w:cs="Times New Roman"/>
          <w:lang w:val="de-DE"/>
        </w:rPr>
        <w:t>Paclitaxel allein untersucht.</w:t>
      </w:r>
    </w:p>
    <w:p w14:paraId="548962B6" w14:textId="77777777" w:rsidR="00010E8C" w:rsidRPr="009737B5" w:rsidRDefault="00010E8C" w:rsidP="005F4D08">
      <w:pPr>
        <w:suppressAutoHyphens/>
        <w:spacing w:after="0" w:line="240" w:lineRule="auto"/>
        <w:rPr>
          <w:rFonts w:ascii="Times New Roman" w:hAnsi="Times New Roman" w:cs="Times New Roman"/>
          <w:lang w:val="de-DE"/>
        </w:rPr>
      </w:pPr>
    </w:p>
    <w:p w14:paraId="359CCC77" w14:textId="77777777" w:rsidR="00010E8C" w:rsidRPr="009737B5" w:rsidRDefault="00010E8C" w:rsidP="00047BAE">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Insgesamt 673 Patienten wurden den folgenden beiden Behandlungsarmen per Randomisierung in gleichem Verhältnis zugeordnet:</w:t>
      </w:r>
    </w:p>
    <w:p w14:paraId="5B5CBDBB" w14:textId="21A13ED9" w:rsidR="00010E8C" w:rsidRPr="009737B5" w:rsidRDefault="00010E8C" w:rsidP="001345F2">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CP-Arm: Carboplatin (AUC5) und Paclitaxel (175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alle 3</w:t>
      </w:r>
      <w:r w:rsidR="00D07211">
        <w:rPr>
          <w:rFonts w:ascii="Times New Roman" w:hAnsi="Times New Roman" w:cs="Times New Roman"/>
          <w:lang w:val="de-DE"/>
        </w:rPr>
        <w:t> </w:t>
      </w:r>
      <w:r w:rsidRPr="009737B5">
        <w:rPr>
          <w:rFonts w:ascii="Times New Roman" w:hAnsi="Times New Roman" w:cs="Times New Roman"/>
          <w:lang w:val="de-DE"/>
        </w:rPr>
        <w:t>Wochen über 6 und bis zu 8</w:t>
      </w:r>
      <w:r w:rsidR="00D07211">
        <w:rPr>
          <w:rFonts w:ascii="Times New Roman" w:hAnsi="Times New Roman" w:cs="Times New Roman"/>
          <w:lang w:val="de-DE"/>
        </w:rPr>
        <w:t> </w:t>
      </w:r>
      <w:r w:rsidRPr="009737B5">
        <w:rPr>
          <w:rFonts w:ascii="Times New Roman" w:hAnsi="Times New Roman" w:cs="Times New Roman"/>
          <w:lang w:val="de-DE"/>
        </w:rPr>
        <w:t>Zyklen.</w:t>
      </w:r>
    </w:p>
    <w:p w14:paraId="0FE79A3C" w14:textId="25F13499" w:rsidR="00010E8C" w:rsidRPr="009737B5" w:rsidRDefault="00010E8C" w:rsidP="001345F2">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CPB-Arm: Carboplatin (AUC5) und Paclitaxel (175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in Kombination mit </w:t>
      </w:r>
      <w:r w:rsidR="00863E83" w:rsidRPr="009737B5">
        <w:rPr>
          <w:rFonts w:ascii="Times New Roman" w:hAnsi="Times New Roman" w:cs="Times New Roman"/>
          <w:lang w:val="de-DE"/>
        </w:rPr>
        <w:t>Bevacizumab</w:t>
      </w:r>
      <w:r w:rsidR="001345F2" w:rsidRPr="009737B5">
        <w:rPr>
          <w:rFonts w:ascii="Times New Roman" w:hAnsi="Times New Roman" w:cs="Times New Roman"/>
          <w:lang w:val="de-DE"/>
        </w:rPr>
        <w:t xml:space="preserve"> </w:t>
      </w:r>
      <w:r w:rsidRPr="009737B5">
        <w:rPr>
          <w:rFonts w:ascii="Times New Roman" w:hAnsi="Times New Roman" w:cs="Times New Roman"/>
          <w:lang w:val="de-DE"/>
        </w:rPr>
        <w:t>(15</w:t>
      </w:r>
      <w:r w:rsidR="00AB26B9" w:rsidRPr="009737B5">
        <w:rPr>
          <w:rFonts w:ascii="Times New Roman" w:hAnsi="Times New Roman" w:cs="Times New Roman"/>
          <w:lang w:val="de-DE"/>
        </w:rPr>
        <w:t> mg</w:t>
      </w:r>
      <w:r w:rsidRPr="009737B5">
        <w:rPr>
          <w:rFonts w:ascii="Times New Roman" w:hAnsi="Times New Roman" w:cs="Times New Roman"/>
          <w:lang w:val="de-DE"/>
        </w:rPr>
        <w:t>/kg) alle 3</w:t>
      </w:r>
      <w:r w:rsidR="00D07211">
        <w:rPr>
          <w:rFonts w:ascii="Times New Roman" w:hAnsi="Times New Roman" w:cs="Times New Roman"/>
          <w:lang w:val="de-DE"/>
        </w:rPr>
        <w:t> </w:t>
      </w:r>
      <w:r w:rsidRPr="009737B5">
        <w:rPr>
          <w:rFonts w:ascii="Times New Roman" w:hAnsi="Times New Roman" w:cs="Times New Roman"/>
          <w:lang w:val="de-DE"/>
        </w:rPr>
        <w:t>Wochen über 6 und bis zu 8</w:t>
      </w:r>
      <w:r w:rsidR="00D07211">
        <w:rPr>
          <w:rFonts w:ascii="Times New Roman" w:hAnsi="Times New Roman" w:cs="Times New Roman"/>
          <w:lang w:val="de-DE"/>
        </w:rPr>
        <w:t> </w:t>
      </w:r>
      <w:r w:rsidRPr="009737B5">
        <w:rPr>
          <w:rFonts w:ascii="Times New Roman" w:hAnsi="Times New Roman" w:cs="Times New Roman"/>
          <w:lang w:val="de-DE"/>
        </w:rPr>
        <w:t xml:space="preserve">Zyklen, gefolgt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w:t>
      </w:r>
      <w:r w:rsidRPr="009737B5">
        <w:rPr>
          <w:rFonts w:ascii="Times New Roman" w:hAnsi="Times New Roman" w:cs="Times New Roman"/>
          <w:lang w:val="de-DE"/>
        </w:rPr>
        <w:lastRenderedPageBreak/>
        <w:t>(15</w:t>
      </w:r>
      <w:r w:rsidR="00AB26B9" w:rsidRPr="009737B5">
        <w:rPr>
          <w:rFonts w:ascii="Times New Roman" w:hAnsi="Times New Roman" w:cs="Times New Roman"/>
          <w:lang w:val="de-DE"/>
        </w:rPr>
        <w:t> mg</w:t>
      </w:r>
      <w:r w:rsidRPr="009737B5">
        <w:rPr>
          <w:rFonts w:ascii="Times New Roman" w:hAnsi="Times New Roman" w:cs="Times New Roman"/>
          <w:lang w:val="de-DE"/>
        </w:rPr>
        <w:t>/kg alle 3</w:t>
      </w:r>
      <w:r w:rsidR="00D07211">
        <w:rPr>
          <w:rFonts w:ascii="Times New Roman" w:hAnsi="Times New Roman" w:cs="Times New Roman"/>
          <w:lang w:val="de-DE"/>
        </w:rPr>
        <w:t> </w:t>
      </w:r>
      <w:r w:rsidRPr="009737B5">
        <w:rPr>
          <w:rFonts w:ascii="Times New Roman" w:hAnsi="Times New Roman" w:cs="Times New Roman"/>
          <w:lang w:val="de-DE"/>
        </w:rPr>
        <w:t>Wochen) allein bis zum Auftreten einer Krankheitsprogression oder nicht mehr tolerierbarer Nebenwirkungen.</w:t>
      </w:r>
    </w:p>
    <w:p w14:paraId="4314A778" w14:textId="24D67BDD"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beiden Armen waren die meisten Patienten Weiße, im CP-Arm (80,4</w:t>
      </w:r>
      <w:r w:rsidR="00322E40" w:rsidRPr="009737B5">
        <w:rPr>
          <w:rFonts w:ascii="Times New Roman" w:hAnsi="Times New Roman" w:cs="Times New Roman"/>
          <w:lang w:val="de-DE"/>
        </w:rPr>
        <w:t> %</w:t>
      </w:r>
      <w:r w:rsidRPr="009737B5">
        <w:rPr>
          <w:rFonts w:ascii="Times New Roman" w:hAnsi="Times New Roman" w:cs="Times New Roman"/>
          <w:lang w:val="de-DE"/>
        </w:rPr>
        <w:t>) und im CPB-Arm (78,9</w:t>
      </w:r>
      <w:r w:rsidR="00322E40" w:rsidRPr="009737B5">
        <w:rPr>
          <w:rFonts w:ascii="Times New Roman" w:hAnsi="Times New Roman" w:cs="Times New Roman"/>
          <w:lang w:val="de-DE"/>
        </w:rPr>
        <w:t> %</w:t>
      </w:r>
      <w:r w:rsidRPr="009737B5">
        <w:rPr>
          <w:rFonts w:ascii="Times New Roman" w:hAnsi="Times New Roman" w:cs="Times New Roman"/>
          <w:lang w:val="de-DE"/>
        </w:rPr>
        <w:t>). Das Durchschnittsalter lag bei 60,0</w:t>
      </w:r>
      <w:r w:rsidR="00D07211">
        <w:rPr>
          <w:rFonts w:ascii="Times New Roman" w:eastAsia="Microsoft Yi Baiti" w:hAnsi="Times New Roman" w:cs="Times New Roman"/>
          <w:lang w:val="de-DE"/>
        </w:rPr>
        <w:t> </w:t>
      </w:r>
      <w:r w:rsidRPr="009737B5">
        <w:rPr>
          <w:rFonts w:ascii="Times New Roman" w:hAnsi="Times New Roman" w:cs="Times New Roman"/>
          <w:lang w:val="de-DE"/>
        </w:rPr>
        <w:t>Jahren im CP-Arm und 59,0</w:t>
      </w:r>
      <w:r w:rsidR="0091668D" w:rsidRPr="009737B5">
        <w:rPr>
          <w:rFonts w:ascii="Times New Roman" w:hAnsi="Times New Roman" w:cs="Times New Roman"/>
          <w:lang w:val="de-DE"/>
        </w:rPr>
        <w:t> </w:t>
      </w:r>
      <w:r w:rsidRPr="009737B5">
        <w:rPr>
          <w:rFonts w:ascii="Times New Roman" w:hAnsi="Times New Roman" w:cs="Times New Roman"/>
          <w:lang w:val="de-DE"/>
        </w:rPr>
        <w:t>Jahren im CPB-Arm. Der Großteil der Patienten (CP: 64,6</w:t>
      </w:r>
      <w:r w:rsidR="00322E40" w:rsidRPr="009737B5">
        <w:rPr>
          <w:rFonts w:ascii="Times New Roman" w:hAnsi="Times New Roman" w:cs="Times New Roman"/>
          <w:lang w:val="de-DE"/>
        </w:rPr>
        <w:t> %</w:t>
      </w:r>
      <w:r w:rsidRPr="009737B5">
        <w:rPr>
          <w:rFonts w:ascii="Times New Roman" w:hAnsi="Times New Roman" w:cs="Times New Roman"/>
          <w:lang w:val="de-DE"/>
        </w:rPr>
        <w:t>; CPB: 68,8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befand sich in der Altersklasse der </w:t>
      </w:r>
      <w:r w:rsidR="00E32D5C" w:rsidRPr="009737B5">
        <w:rPr>
          <w:rFonts w:ascii="Times New Roman" w:hAnsi="Times New Roman" w:cs="Times New Roman"/>
          <w:lang w:val="de-DE"/>
        </w:rPr>
        <w:t>&lt; </w:t>
      </w:r>
      <w:r w:rsidRPr="009737B5">
        <w:rPr>
          <w:rFonts w:ascii="Times New Roman" w:hAnsi="Times New Roman" w:cs="Times New Roman"/>
          <w:lang w:val="de-DE"/>
        </w:rPr>
        <w:t>65-Jährigen. Zu Behandlungsbeginn hatten die meisten Patienten aus beiden Behandlungsarmen einen GOG</w:t>
      </w:r>
      <w:r w:rsidR="00D07211">
        <w:rPr>
          <w:rFonts w:ascii="Times New Roman" w:hAnsi="Times New Roman" w:cs="Times New Roman"/>
          <w:lang w:val="de-DE"/>
        </w:rPr>
        <w:t> </w:t>
      </w:r>
      <w:r w:rsidRPr="009737B5">
        <w:rPr>
          <w:rFonts w:ascii="Times New Roman" w:hAnsi="Times New Roman" w:cs="Times New Roman"/>
          <w:lang w:val="de-DE"/>
        </w:rPr>
        <w:t>PS von</w:t>
      </w:r>
      <w:r w:rsidR="00D07211">
        <w:rPr>
          <w:rFonts w:ascii="Times New Roman" w:hAnsi="Times New Roman" w:cs="Times New Roman"/>
          <w:lang w:val="de-DE"/>
        </w:rPr>
        <w:t> </w:t>
      </w:r>
      <w:r w:rsidRPr="009737B5">
        <w:rPr>
          <w:rFonts w:ascii="Times New Roman" w:hAnsi="Times New Roman" w:cs="Times New Roman"/>
          <w:lang w:val="de-DE"/>
        </w:rPr>
        <w:t>0 (CP: 82,4</w:t>
      </w:r>
      <w:r w:rsidR="00322E40" w:rsidRPr="009737B5">
        <w:rPr>
          <w:rFonts w:ascii="Times New Roman" w:hAnsi="Times New Roman" w:cs="Times New Roman"/>
          <w:lang w:val="de-DE"/>
        </w:rPr>
        <w:t> %</w:t>
      </w:r>
      <w:r w:rsidRPr="009737B5">
        <w:rPr>
          <w:rFonts w:ascii="Times New Roman" w:hAnsi="Times New Roman" w:cs="Times New Roman"/>
          <w:lang w:val="de-DE"/>
        </w:rPr>
        <w:t>; CPB: 80,7</w:t>
      </w:r>
      <w:r w:rsidR="00322E40" w:rsidRPr="009737B5">
        <w:rPr>
          <w:rFonts w:ascii="Times New Roman" w:hAnsi="Times New Roman" w:cs="Times New Roman"/>
          <w:lang w:val="de-DE"/>
        </w:rPr>
        <w:t> %</w:t>
      </w:r>
      <w:r w:rsidRPr="009737B5">
        <w:rPr>
          <w:rFonts w:ascii="Times New Roman" w:hAnsi="Times New Roman" w:cs="Times New Roman"/>
          <w:lang w:val="de-DE"/>
        </w:rPr>
        <w:t>) oder</w:t>
      </w:r>
      <w:r w:rsidR="00D07211">
        <w:rPr>
          <w:rFonts w:ascii="Times New Roman" w:hAnsi="Times New Roman" w:cs="Times New Roman"/>
          <w:lang w:val="de-DE"/>
        </w:rPr>
        <w:t> </w:t>
      </w:r>
      <w:r w:rsidRPr="009737B5">
        <w:rPr>
          <w:rFonts w:ascii="Times New Roman" w:hAnsi="Times New Roman" w:cs="Times New Roman"/>
          <w:lang w:val="de-DE"/>
        </w:rPr>
        <w:t>1 (CP: 16,7</w:t>
      </w:r>
      <w:r w:rsidR="00322E40" w:rsidRPr="009737B5">
        <w:rPr>
          <w:rFonts w:ascii="Times New Roman" w:hAnsi="Times New Roman" w:cs="Times New Roman"/>
          <w:lang w:val="de-DE"/>
        </w:rPr>
        <w:t> %</w:t>
      </w:r>
      <w:r w:rsidRPr="009737B5">
        <w:rPr>
          <w:rFonts w:ascii="Times New Roman" w:hAnsi="Times New Roman" w:cs="Times New Roman"/>
          <w:lang w:val="de-DE"/>
        </w:rPr>
        <w:t>; CPB: 18,1</w:t>
      </w:r>
      <w:r w:rsidR="00322E40" w:rsidRPr="009737B5">
        <w:rPr>
          <w:rFonts w:ascii="Times New Roman" w:hAnsi="Times New Roman" w:cs="Times New Roman"/>
          <w:lang w:val="de-DE"/>
        </w:rPr>
        <w:t> %</w:t>
      </w:r>
      <w:r w:rsidRPr="009737B5">
        <w:rPr>
          <w:rFonts w:ascii="Times New Roman" w:hAnsi="Times New Roman" w:cs="Times New Roman"/>
          <w:lang w:val="de-DE"/>
        </w:rPr>
        <w:t>). Ein GOG</w:t>
      </w:r>
      <w:r w:rsidR="00D07211">
        <w:rPr>
          <w:rFonts w:ascii="Times New Roman" w:hAnsi="Times New Roman" w:cs="Times New Roman"/>
          <w:lang w:val="de-DE"/>
        </w:rPr>
        <w:t> </w:t>
      </w:r>
      <w:r w:rsidRPr="009737B5">
        <w:rPr>
          <w:rFonts w:ascii="Times New Roman" w:hAnsi="Times New Roman" w:cs="Times New Roman"/>
          <w:lang w:val="de-DE"/>
        </w:rPr>
        <w:t>PS von 2 zu Behandlungsbeginn wurde bei 0,9</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aus dem CP-Arm und 1,2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aus dem CPB-Arm berichtet.</w:t>
      </w:r>
    </w:p>
    <w:p w14:paraId="0A697EDD" w14:textId="77777777" w:rsidR="00010E8C" w:rsidRPr="009737B5" w:rsidRDefault="00010E8C" w:rsidP="005F4D08">
      <w:pPr>
        <w:suppressAutoHyphens/>
        <w:spacing w:after="0" w:line="240" w:lineRule="auto"/>
        <w:rPr>
          <w:rFonts w:ascii="Times New Roman" w:hAnsi="Times New Roman" w:cs="Times New Roman"/>
          <w:lang w:val="de-DE"/>
        </w:rPr>
      </w:pPr>
    </w:p>
    <w:p w14:paraId="0C3496B7" w14:textId="79C3D43B"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Der primäre Wirksamkeitsendpunkt war das Gesamtüberleben (OS). Der wichtigste sekundäre Wirksamkeitsendpunkt war das progressionsfreie Überleben (PFS). Die Ergebnisse sind in Tabelle</w:t>
      </w:r>
      <w:r w:rsidR="000206F4">
        <w:rPr>
          <w:rFonts w:ascii="Times New Roman" w:hAnsi="Times New Roman" w:cs="Times New Roman"/>
          <w:lang w:val="de-DE"/>
        </w:rPr>
        <w:t> </w:t>
      </w:r>
      <w:r w:rsidR="003653AE">
        <w:rPr>
          <w:rFonts w:ascii="Times New Roman" w:hAnsi="Times New Roman" w:cs="Times New Roman"/>
          <w:lang w:val="de-DE"/>
        </w:rPr>
        <w:t>22</w:t>
      </w:r>
      <w:r w:rsidR="003653AE" w:rsidRPr="009737B5">
        <w:rPr>
          <w:rFonts w:ascii="Times New Roman" w:hAnsi="Times New Roman" w:cs="Times New Roman"/>
          <w:lang w:val="de-DE"/>
        </w:rPr>
        <w:t xml:space="preserve"> </w:t>
      </w:r>
      <w:r w:rsidRPr="009737B5">
        <w:rPr>
          <w:rFonts w:ascii="Times New Roman" w:hAnsi="Times New Roman" w:cs="Times New Roman"/>
          <w:lang w:val="de-DE"/>
        </w:rPr>
        <w:t>dargestellt.</w:t>
      </w:r>
    </w:p>
    <w:p w14:paraId="5886A752" w14:textId="77777777" w:rsidR="00010E8C" w:rsidRPr="009737B5" w:rsidRDefault="00010E8C" w:rsidP="005F4D08">
      <w:pPr>
        <w:suppressAutoHyphens/>
        <w:spacing w:after="0" w:line="240" w:lineRule="auto"/>
        <w:rPr>
          <w:rFonts w:ascii="Times New Roman" w:hAnsi="Times New Roman" w:cs="Times New Roman"/>
          <w:lang w:val="de-DE"/>
        </w:rPr>
      </w:pPr>
    </w:p>
    <w:p w14:paraId="40CDE183" w14:textId="535A9B96" w:rsidR="00010E8C" w:rsidRPr="009737B5" w:rsidRDefault="00010E8C">
      <w:pPr>
        <w:keepNext/>
        <w:keepLines/>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0206F4">
        <w:rPr>
          <w:rFonts w:ascii="Times New Roman" w:hAnsi="Times New Roman" w:cs="Times New Roman"/>
          <w:b/>
          <w:lang w:val="de-DE"/>
        </w:rPr>
        <w:t> </w:t>
      </w:r>
      <w:r w:rsidR="003653AE">
        <w:rPr>
          <w:rFonts w:ascii="Times New Roman" w:hAnsi="Times New Roman" w:cs="Times New Roman"/>
          <w:b/>
          <w:lang w:val="de-DE"/>
        </w:rPr>
        <w:t>22</w:t>
      </w:r>
      <w:r w:rsidR="00047BAE" w:rsidRPr="009737B5">
        <w:rPr>
          <w:rFonts w:ascii="Times New Roman" w:hAnsi="Times New Roman" w:cs="Times New Roman"/>
          <w:b/>
          <w:lang w:val="de-DE"/>
        </w:rPr>
        <w:t>.</w:t>
      </w:r>
      <w:r w:rsidRPr="009737B5">
        <w:rPr>
          <w:rFonts w:ascii="Times New Roman" w:hAnsi="Times New Roman" w:cs="Times New Roman"/>
          <w:b/>
          <w:lang w:val="de-DE"/>
        </w:rPr>
        <w:t xml:space="preserve"> Wirksamkeitsergebnisse</w:t>
      </w:r>
      <w:r w:rsidRPr="009737B5">
        <w:rPr>
          <w:rFonts w:ascii="Times New Roman" w:hAnsi="Times New Roman" w:cs="Times New Roman"/>
          <w:b/>
          <w:vertAlign w:val="superscript"/>
          <w:lang w:val="de-DE"/>
        </w:rPr>
        <w:t>1,</w:t>
      </w:r>
      <w:r w:rsidR="008B5693" w:rsidRPr="009737B5">
        <w:rPr>
          <w:rFonts w:ascii="Times New Roman" w:hAnsi="Times New Roman" w:cs="Times New Roman"/>
          <w:b/>
          <w:vertAlign w:val="superscript"/>
          <w:lang w:val="de-DE"/>
        </w:rPr>
        <w:t xml:space="preserve"> </w:t>
      </w:r>
      <w:r w:rsidRPr="009737B5">
        <w:rPr>
          <w:rFonts w:ascii="Times New Roman" w:hAnsi="Times New Roman" w:cs="Times New Roman"/>
          <w:b/>
          <w:vertAlign w:val="superscript"/>
          <w:lang w:val="de-DE"/>
        </w:rPr>
        <w:t>2</w:t>
      </w:r>
      <w:r w:rsidRPr="009737B5">
        <w:rPr>
          <w:rFonts w:ascii="Times New Roman" w:hAnsi="Times New Roman" w:cs="Times New Roman"/>
          <w:b/>
          <w:lang w:val="de-DE"/>
        </w:rPr>
        <w:t xml:space="preserve"> der Studie</w:t>
      </w:r>
      <w:r w:rsidR="00D07211">
        <w:rPr>
          <w:rFonts w:ascii="Times New Roman" w:hAnsi="Times New Roman" w:cs="Times New Roman"/>
          <w:b/>
          <w:lang w:val="de-DE"/>
        </w:rPr>
        <w:t> </w:t>
      </w:r>
      <w:r w:rsidRPr="009737B5">
        <w:rPr>
          <w:rFonts w:ascii="Times New Roman" w:hAnsi="Times New Roman" w:cs="Times New Roman"/>
          <w:b/>
          <w:lang w:val="de-DE"/>
        </w:rPr>
        <w:t>GOG-0213</w:t>
      </w:r>
    </w:p>
    <w:p w14:paraId="35512792" w14:textId="77777777" w:rsidR="00010E8C" w:rsidRPr="009737B5" w:rsidRDefault="00010E8C">
      <w:pPr>
        <w:keepNext/>
        <w:keepLines/>
        <w:suppressAutoHyphens/>
        <w:spacing w:after="0" w:line="240" w:lineRule="auto"/>
        <w:rPr>
          <w:rFonts w:ascii="Times New Roman" w:hAnsi="Times New Roman" w:cs="Times New Roman"/>
          <w:lang w:val="de-DE"/>
        </w:rPr>
      </w:pPr>
    </w:p>
    <w:tbl>
      <w:tblPr>
        <w:tblW w:w="9072" w:type="dxa"/>
        <w:tblInd w:w="-5" w:type="dxa"/>
        <w:tblCellMar>
          <w:top w:w="50" w:type="dxa"/>
          <w:right w:w="115" w:type="dxa"/>
        </w:tblCellMar>
        <w:tblLook w:val="04A0" w:firstRow="1" w:lastRow="0" w:firstColumn="1" w:lastColumn="0" w:noHBand="0" w:noVBand="1"/>
      </w:tblPr>
      <w:tblGrid>
        <w:gridCol w:w="4097"/>
        <w:gridCol w:w="2566"/>
        <w:gridCol w:w="2409"/>
      </w:tblGrid>
      <w:tr w:rsidR="00513EAF" w:rsidRPr="00402720" w14:paraId="7D71FFD7" w14:textId="77777777" w:rsidTr="005B6ABF">
        <w:trPr>
          <w:trHeight w:val="20"/>
        </w:trPr>
        <w:tc>
          <w:tcPr>
            <w:tcW w:w="9072" w:type="dxa"/>
            <w:gridSpan w:val="3"/>
            <w:tcBorders>
              <w:top w:val="single" w:sz="4" w:space="0" w:color="000000"/>
              <w:left w:val="single" w:sz="4" w:space="0" w:color="000000"/>
              <w:bottom w:val="single" w:sz="4" w:space="0" w:color="000000"/>
              <w:right w:val="single" w:sz="4" w:space="0" w:color="000000"/>
            </w:tcBorders>
          </w:tcPr>
          <w:p w14:paraId="0567E2BC" w14:textId="77777777" w:rsidR="00513EAF" w:rsidRPr="00402720" w:rsidRDefault="00513EAF">
            <w:pPr>
              <w:keepNext/>
              <w:spacing w:after="0" w:line="240" w:lineRule="auto"/>
              <w:rPr>
                <w:rFonts w:ascii="Times New Roman" w:hAnsi="Times New Roman" w:cs="Times New Roman"/>
                <w:lang w:val="de-DE"/>
              </w:rPr>
            </w:pPr>
            <w:r w:rsidRPr="00402720">
              <w:rPr>
                <w:rFonts w:ascii="Times New Roman" w:hAnsi="Times New Roman" w:cs="Times New Roman"/>
                <w:lang w:val="de-DE"/>
              </w:rPr>
              <w:t>Primärer Endpunkt</w:t>
            </w:r>
          </w:p>
        </w:tc>
      </w:tr>
      <w:tr w:rsidR="00295D62" w:rsidRPr="00402720" w14:paraId="0AF4F077" w14:textId="77777777" w:rsidTr="00677CFE">
        <w:trPr>
          <w:trHeight w:val="20"/>
        </w:trPr>
        <w:tc>
          <w:tcPr>
            <w:tcW w:w="4097" w:type="dxa"/>
            <w:tcBorders>
              <w:top w:val="single" w:sz="4" w:space="0" w:color="000000"/>
              <w:left w:val="single" w:sz="4" w:space="0" w:color="000000"/>
              <w:bottom w:val="single" w:sz="4" w:space="0" w:color="000000"/>
              <w:right w:val="single" w:sz="4" w:space="0" w:color="000000"/>
            </w:tcBorders>
          </w:tcPr>
          <w:p w14:paraId="1970C821" w14:textId="77777777" w:rsidR="00295D62" w:rsidRPr="00402720" w:rsidRDefault="00295D62" w:rsidP="000B6CC4">
            <w:pPr>
              <w:keepNext/>
              <w:spacing w:after="0" w:line="240" w:lineRule="auto"/>
              <w:ind w:firstLine="601"/>
              <w:rPr>
                <w:rFonts w:ascii="Times New Roman" w:hAnsi="Times New Roman" w:cs="Times New Roman"/>
                <w:lang w:val="de-DE"/>
              </w:rPr>
            </w:pPr>
            <w:r w:rsidRPr="00402720">
              <w:rPr>
                <w:rFonts w:ascii="Times New Roman" w:hAnsi="Times New Roman" w:cs="Times New Roman"/>
                <w:lang w:val="de-DE"/>
              </w:rPr>
              <w:t>Gesamtüberleben (OS)</w:t>
            </w:r>
          </w:p>
        </w:tc>
        <w:tc>
          <w:tcPr>
            <w:tcW w:w="2566" w:type="dxa"/>
            <w:tcBorders>
              <w:top w:val="single" w:sz="4" w:space="0" w:color="000000"/>
              <w:left w:val="single" w:sz="4" w:space="0" w:color="000000"/>
              <w:bottom w:val="single" w:sz="4" w:space="0" w:color="000000"/>
              <w:right w:val="single" w:sz="4" w:space="0" w:color="000000"/>
            </w:tcBorders>
          </w:tcPr>
          <w:p w14:paraId="16BA588E"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CP</w:t>
            </w:r>
          </w:p>
          <w:p w14:paraId="05E40CC4"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336)</w:t>
            </w:r>
          </w:p>
        </w:tc>
        <w:tc>
          <w:tcPr>
            <w:tcW w:w="2409" w:type="dxa"/>
            <w:tcBorders>
              <w:top w:val="single" w:sz="4" w:space="0" w:color="000000"/>
              <w:left w:val="single" w:sz="4" w:space="0" w:color="000000"/>
              <w:bottom w:val="single" w:sz="4" w:space="0" w:color="000000"/>
              <w:right w:val="single" w:sz="4" w:space="0" w:color="000000"/>
            </w:tcBorders>
          </w:tcPr>
          <w:p w14:paraId="18CA7221"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CPB</w:t>
            </w:r>
          </w:p>
          <w:p w14:paraId="298914EF"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337)</w:t>
            </w:r>
          </w:p>
        </w:tc>
      </w:tr>
      <w:tr w:rsidR="00295D62" w:rsidRPr="00402720" w14:paraId="57A89E4A" w14:textId="77777777" w:rsidTr="00677CFE">
        <w:trPr>
          <w:trHeight w:val="20"/>
        </w:trPr>
        <w:tc>
          <w:tcPr>
            <w:tcW w:w="4097" w:type="dxa"/>
            <w:tcBorders>
              <w:top w:val="single" w:sz="4" w:space="0" w:color="000000"/>
              <w:left w:val="single" w:sz="4" w:space="0" w:color="000000"/>
              <w:bottom w:val="single" w:sz="4" w:space="0" w:color="000000"/>
              <w:right w:val="single" w:sz="4" w:space="0" w:color="000000"/>
            </w:tcBorders>
          </w:tcPr>
          <w:p w14:paraId="71B9BE53" w14:textId="77777777" w:rsidR="00295D62" w:rsidRPr="00402720" w:rsidRDefault="00295D62"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OS (Monate)</w:t>
            </w:r>
          </w:p>
        </w:tc>
        <w:tc>
          <w:tcPr>
            <w:tcW w:w="2566" w:type="dxa"/>
            <w:tcBorders>
              <w:top w:val="single" w:sz="4" w:space="0" w:color="000000"/>
              <w:left w:val="single" w:sz="4" w:space="0" w:color="000000"/>
              <w:bottom w:val="single" w:sz="4" w:space="0" w:color="000000"/>
              <w:right w:val="single" w:sz="4" w:space="0" w:color="000000"/>
            </w:tcBorders>
          </w:tcPr>
          <w:p w14:paraId="7DC75FB9"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37,3</w:t>
            </w:r>
          </w:p>
        </w:tc>
        <w:tc>
          <w:tcPr>
            <w:tcW w:w="2409" w:type="dxa"/>
            <w:tcBorders>
              <w:top w:val="single" w:sz="4" w:space="0" w:color="000000"/>
              <w:left w:val="single" w:sz="4" w:space="0" w:color="000000"/>
              <w:bottom w:val="single" w:sz="4" w:space="0" w:color="000000"/>
              <w:right w:val="single" w:sz="4" w:space="0" w:color="000000"/>
            </w:tcBorders>
          </w:tcPr>
          <w:p w14:paraId="64B039DC"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42,6</w:t>
            </w:r>
          </w:p>
        </w:tc>
      </w:tr>
      <w:tr w:rsidR="00295D62" w:rsidRPr="00402720" w14:paraId="78139526" w14:textId="77777777" w:rsidTr="005B6ABF">
        <w:trPr>
          <w:trHeight w:val="20"/>
        </w:trPr>
        <w:tc>
          <w:tcPr>
            <w:tcW w:w="4097" w:type="dxa"/>
            <w:tcBorders>
              <w:top w:val="single" w:sz="4" w:space="0" w:color="000000"/>
              <w:left w:val="single" w:sz="4" w:space="0" w:color="000000"/>
              <w:bottom w:val="single" w:sz="4" w:space="0" w:color="000000"/>
              <w:right w:val="single" w:sz="4" w:space="0" w:color="000000"/>
            </w:tcBorders>
          </w:tcPr>
          <w:p w14:paraId="7ACD4FE6" w14:textId="2FE8B1D7" w:rsidR="00295D62" w:rsidRPr="00402720" w:rsidRDefault="00295D62" w:rsidP="000B6CC4">
            <w:pPr>
              <w:keepNext/>
              <w:spacing w:after="0" w:line="240" w:lineRule="auto"/>
              <w:ind w:left="567"/>
              <w:rPr>
                <w:rFonts w:ascii="Times New Roman" w:hAnsi="Times New Roman" w:cs="Times New Roman"/>
              </w:rPr>
            </w:pPr>
            <w:r w:rsidRPr="00402720">
              <w:rPr>
                <w:rFonts w:ascii="Times New Roman" w:hAnsi="Times New Roman" w:cs="Times New Roman"/>
              </w:rPr>
              <w:t>Hazard Ratio (95</w:t>
            </w:r>
            <w:r w:rsidR="00905FDC">
              <w:rPr>
                <w:rFonts w:ascii="Times New Roman" w:hAnsi="Times New Roman" w:cs="Times New Roman"/>
              </w:rPr>
              <w:t> </w:t>
            </w:r>
            <w:r w:rsidR="00322E40" w:rsidRPr="00402720">
              <w:rPr>
                <w:rFonts w:ascii="Times New Roman" w:hAnsi="Times New Roman" w:cs="Times New Roman"/>
              </w:rPr>
              <w:t>%</w:t>
            </w:r>
            <w:r w:rsidR="00905FDC">
              <w:rPr>
                <w:rFonts w:ascii="Times New Roman" w:hAnsi="Times New Roman" w:cs="Times New Roman"/>
              </w:rPr>
              <w:t> </w:t>
            </w:r>
            <w:r w:rsidRPr="00402720">
              <w:rPr>
                <w:rFonts w:ascii="Times New Roman" w:hAnsi="Times New Roman" w:cs="Times New Roman"/>
              </w:rPr>
              <w:t>KI) (eCRF)</w:t>
            </w:r>
            <w:r w:rsidRPr="00402720">
              <w:rPr>
                <w:rFonts w:ascii="Times New Roman" w:hAnsi="Times New Roman" w:cs="Times New Roman"/>
                <w:vertAlign w:val="superscript"/>
              </w:rPr>
              <w:t>a</w:t>
            </w:r>
          </w:p>
        </w:tc>
        <w:tc>
          <w:tcPr>
            <w:tcW w:w="4975" w:type="dxa"/>
            <w:gridSpan w:val="2"/>
            <w:tcBorders>
              <w:top w:val="single" w:sz="4" w:space="0" w:color="000000"/>
              <w:left w:val="single" w:sz="4" w:space="0" w:color="000000"/>
              <w:bottom w:val="single" w:sz="4" w:space="0" w:color="000000"/>
              <w:right w:val="single" w:sz="4" w:space="0" w:color="000000"/>
            </w:tcBorders>
          </w:tcPr>
          <w:p w14:paraId="317F34A6"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0,823 [KI: 0,680; 0,996]</w:t>
            </w:r>
          </w:p>
        </w:tc>
      </w:tr>
      <w:tr w:rsidR="00295D62" w:rsidRPr="00402720" w14:paraId="0ADB61BC" w14:textId="77777777" w:rsidTr="005B6ABF">
        <w:trPr>
          <w:trHeight w:val="20"/>
        </w:trPr>
        <w:tc>
          <w:tcPr>
            <w:tcW w:w="4097" w:type="dxa"/>
            <w:tcBorders>
              <w:top w:val="single" w:sz="4" w:space="0" w:color="000000"/>
              <w:left w:val="single" w:sz="4" w:space="0" w:color="000000"/>
              <w:bottom w:val="single" w:sz="4" w:space="0" w:color="000000"/>
              <w:right w:val="single" w:sz="4" w:space="0" w:color="000000"/>
            </w:tcBorders>
          </w:tcPr>
          <w:p w14:paraId="224DD2A2" w14:textId="77777777" w:rsidR="00295D62" w:rsidRPr="00402720" w:rsidRDefault="00295D62"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p-Wert </w:t>
            </w:r>
          </w:p>
        </w:tc>
        <w:tc>
          <w:tcPr>
            <w:tcW w:w="4975" w:type="dxa"/>
            <w:gridSpan w:val="2"/>
            <w:tcBorders>
              <w:top w:val="single" w:sz="4" w:space="0" w:color="000000"/>
              <w:left w:val="single" w:sz="4" w:space="0" w:color="000000"/>
              <w:bottom w:val="single" w:sz="4" w:space="0" w:color="000000"/>
              <w:right w:val="single" w:sz="4" w:space="0" w:color="000000"/>
            </w:tcBorders>
          </w:tcPr>
          <w:p w14:paraId="1E966632"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0,0447</w:t>
            </w:r>
          </w:p>
        </w:tc>
      </w:tr>
      <w:tr w:rsidR="00295D62" w:rsidRPr="00402720" w14:paraId="56FC2610" w14:textId="77777777" w:rsidTr="005B6ABF">
        <w:trPr>
          <w:trHeight w:val="20"/>
        </w:trPr>
        <w:tc>
          <w:tcPr>
            <w:tcW w:w="4097" w:type="dxa"/>
            <w:tcBorders>
              <w:top w:val="single" w:sz="4" w:space="0" w:color="000000"/>
              <w:left w:val="single" w:sz="4" w:space="0" w:color="000000"/>
              <w:bottom w:val="single" w:sz="4" w:space="0" w:color="000000"/>
              <w:right w:val="single" w:sz="4" w:space="0" w:color="000000"/>
            </w:tcBorders>
          </w:tcPr>
          <w:p w14:paraId="1D412D69" w14:textId="1DD31100" w:rsidR="00295D62" w:rsidRPr="00402720" w:rsidRDefault="00295D62"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KI)</w:t>
            </w:r>
            <w:r w:rsidR="00047BAE" w:rsidRPr="00402720">
              <w:rPr>
                <w:rFonts w:ascii="Times New Roman" w:hAnsi="Times New Roman" w:cs="Times New Roman"/>
                <w:lang w:val="de-DE"/>
              </w:rPr>
              <w:t xml:space="preserve"> </w:t>
            </w:r>
            <w:r w:rsidRPr="00402720">
              <w:rPr>
                <w:rFonts w:ascii="Times New Roman" w:hAnsi="Times New Roman" w:cs="Times New Roman"/>
                <w:lang w:val="de-DE"/>
              </w:rPr>
              <w:t>(Registrierungsformular)</w:t>
            </w:r>
            <w:r w:rsidRPr="00402720">
              <w:rPr>
                <w:rFonts w:ascii="Times New Roman" w:hAnsi="Times New Roman" w:cs="Times New Roman"/>
                <w:vertAlign w:val="superscript"/>
                <w:lang w:val="de-DE"/>
              </w:rPr>
              <w:t>b</w:t>
            </w:r>
          </w:p>
        </w:tc>
        <w:tc>
          <w:tcPr>
            <w:tcW w:w="4975" w:type="dxa"/>
            <w:gridSpan w:val="2"/>
            <w:tcBorders>
              <w:top w:val="single" w:sz="4" w:space="0" w:color="000000"/>
              <w:left w:val="single" w:sz="4" w:space="0" w:color="000000"/>
              <w:bottom w:val="single" w:sz="4" w:space="0" w:color="000000"/>
              <w:right w:val="single" w:sz="4" w:space="0" w:color="000000"/>
            </w:tcBorders>
          </w:tcPr>
          <w:p w14:paraId="6877CCE4"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0,838 [KI: 0,693; 1,014]</w:t>
            </w:r>
          </w:p>
        </w:tc>
      </w:tr>
      <w:tr w:rsidR="00295D62" w:rsidRPr="00402720" w14:paraId="6107058A" w14:textId="77777777" w:rsidTr="005B6ABF">
        <w:trPr>
          <w:trHeight w:val="20"/>
        </w:trPr>
        <w:tc>
          <w:tcPr>
            <w:tcW w:w="4097" w:type="dxa"/>
            <w:tcBorders>
              <w:top w:val="single" w:sz="4" w:space="0" w:color="000000"/>
              <w:left w:val="single" w:sz="4" w:space="0" w:color="000000"/>
              <w:bottom w:val="single" w:sz="4" w:space="0" w:color="000000"/>
              <w:right w:val="single" w:sz="4" w:space="0" w:color="000000"/>
            </w:tcBorders>
          </w:tcPr>
          <w:p w14:paraId="224D087C" w14:textId="77777777" w:rsidR="00295D62" w:rsidRPr="00402720" w:rsidRDefault="00295D62"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p-Wert </w:t>
            </w:r>
          </w:p>
        </w:tc>
        <w:tc>
          <w:tcPr>
            <w:tcW w:w="4975" w:type="dxa"/>
            <w:gridSpan w:val="2"/>
            <w:tcBorders>
              <w:top w:val="single" w:sz="4" w:space="0" w:color="000000"/>
              <w:left w:val="single" w:sz="4" w:space="0" w:color="000000"/>
              <w:bottom w:val="single" w:sz="4" w:space="0" w:color="000000"/>
              <w:right w:val="single" w:sz="4" w:space="0" w:color="000000"/>
            </w:tcBorders>
          </w:tcPr>
          <w:p w14:paraId="004B3A44"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0,0683</w:t>
            </w:r>
          </w:p>
        </w:tc>
      </w:tr>
      <w:tr w:rsidR="001E7E40" w:rsidRPr="00402720" w14:paraId="08C0A6F8" w14:textId="77777777" w:rsidTr="005B6ABF">
        <w:trPr>
          <w:trHeight w:val="20"/>
        </w:trPr>
        <w:tc>
          <w:tcPr>
            <w:tcW w:w="9072" w:type="dxa"/>
            <w:gridSpan w:val="3"/>
            <w:tcBorders>
              <w:top w:val="single" w:sz="4" w:space="0" w:color="000000"/>
              <w:left w:val="single" w:sz="4" w:space="0" w:color="000000"/>
              <w:bottom w:val="single" w:sz="4" w:space="0" w:color="000000"/>
              <w:right w:val="single" w:sz="4" w:space="0" w:color="000000"/>
            </w:tcBorders>
          </w:tcPr>
          <w:p w14:paraId="656C59DF" w14:textId="77777777" w:rsidR="001E7E40" w:rsidRPr="00402720" w:rsidRDefault="001E7E40" w:rsidP="000B6CC4">
            <w:pPr>
              <w:keepNext/>
              <w:spacing w:after="0" w:line="240" w:lineRule="auto"/>
              <w:rPr>
                <w:rFonts w:ascii="Times New Roman" w:hAnsi="Times New Roman" w:cs="Times New Roman"/>
                <w:lang w:val="de-DE"/>
              </w:rPr>
            </w:pPr>
            <w:r w:rsidRPr="00402720">
              <w:rPr>
                <w:rFonts w:ascii="Times New Roman" w:hAnsi="Times New Roman" w:cs="Times New Roman"/>
                <w:lang w:val="de-DE"/>
              </w:rPr>
              <w:t>Sekundärer Endpunkt</w:t>
            </w:r>
          </w:p>
        </w:tc>
      </w:tr>
      <w:tr w:rsidR="00295D62" w:rsidRPr="00402720" w14:paraId="4D148990" w14:textId="77777777" w:rsidTr="00677CFE">
        <w:trPr>
          <w:trHeight w:val="20"/>
        </w:trPr>
        <w:tc>
          <w:tcPr>
            <w:tcW w:w="4097" w:type="dxa"/>
            <w:tcBorders>
              <w:top w:val="single" w:sz="4" w:space="0" w:color="000000"/>
              <w:left w:val="single" w:sz="4" w:space="0" w:color="000000"/>
              <w:bottom w:val="single" w:sz="4" w:space="0" w:color="000000"/>
              <w:right w:val="single" w:sz="4" w:space="0" w:color="000000"/>
            </w:tcBorders>
            <w:vAlign w:val="center"/>
          </w:tcPr>
          <w:p w14:paraId="61D21B3C" w14:textId="77777777" w:rsidR="00295D62" w:rsidRPr="00402720" w:rsidRDefault="00295D62"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Pro</w:t>
            </w:r>
            <w:r w:rsidR="00047BAE" w:rsidRPr="00402720">
              <w:rPr>
                <w:rFonts w:ascii="Times New Roman" w:hAnsi="Times New Roman" w:cs="Times New Roman"/>
                <w:lang w:val="de-DE"/>
              </w:rPr>
              <w:t>gressionsfreies Überleben (PFS)</w:t>
            </w:r>
          </w:p>
        </w:tc>
        <w:tc>
          <w:tcPr>
            <w:tcW w:w="2566" w:type="dxa"/>
            <w:tcBorders>
              <w:top w:val="single" w:sz="4" w:space="0" w:color="000000"/>
              <w:left w:val="single" w:sz="4" w:space="0" w:color="000000"/>
              <w:bottom w:val="single" w:sz="4" w:space="0" w:color="000000"/>
              <w:right w:val="single" w:sz="4" w:space="0" w:color="000000"/>
            </w:tcBorders>
          </w:tcPr>
          <w:p w14:paraId="546BADE7"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CP</w:t>
            </w:r>
          </w:p>
          <w:p w14:paraId="41FB6058"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336)</w:t>
            </w:r>
          </w:p>
        </w:tc>
        <w:tc>
          <w:tcPr>
            <w:tcW w:w="2409" w:type="dxa"/>
            <w:tcBorders>
              <w:top w:val="single" w:sz="4" w:space="0" w:color="000000"/>
              <w:left w:val="single" w:sz="4" w:space="0" w:color="000000"/>
              <w:bottom w:val="single" w:sz="4" w:space="0" w:color="000000"/>
              <w:right w:val="single" w:sz="4" w:space="0" w:color="000000"/>
            </w:tcBorders>
          </w:tcPr>
          <w:p w14:paraId="63ABD93F"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CPB</w:t>
            </w:r>
          </w:p>
          <w:p w14:paraId="52BA3874"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337)</w:t>
            </w:r>
          </w:p>
        </w:tc>
      </w:tr>
      <w:tr w:rsidR="00295D62" w:rsidRPr="00402720" w14:paraId="41362B67" w14:textId="77777777" w:rsidTr="00677CFE">
        <w:trPr>
          <w:trHeight w:val="20"/>
        </w:trPr>
        <w:tc>
          <w:tcPr>
            <w:tcW w:w="4097" w:type="dxa"/>
            <w:tcBorders>
              <w:top w:val="single" w:sz="4" w:space="0" w:color="000000"/>
              <w:left w:val="single" w:sz="4" w:space="0" w:color="000000"/>
              <w:bottom w:val="single" w:sz="4" w:space="0" w:color="000000"/>
              <w:right w:val="single" w:sz="4" w:space="0" w:color="000000"/>
            </w:tcBorders>
          </w:tcPr>
          <w:p w14:paraId="27EE47D5" w14:textId="77777777" w:rsidR="00295D62" w:rsidRPr="00402720" w:rsidRDefault="00295D62"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PFS (</w:t>
            </w:r>
            <w:r w:rsidR="00047BAE" w:rsidRPr="00402720">
              <w:rPr>
                <w:rFonts w:ascii="Times New Roman" w:hAnsi="Times New Roman" w:cs="Times New Roman"/>
                <w:lang w:val="de-DE"/>
              </w:rPr>
              <w:t>Monate)</w:t>
            </w:r>
          </w:p>
        </w:tc>
        <w:tc>
          <w:tcPr>
            <w:tcW w:w="2566" w:type="dxa"/>
            <w:tcBorders>
              <w:top w:val="single" w:sz="4" w:space="0" w:color="000000"/>
              <w:left w:val="single" w:sz="4" w:space="0" w:color="000000"/>
              <w:bottom w:val="single" w:sz="4" w:space="0" w:color="000000"/>
              <w:right w:val="single" w:sz="4" w:space="0" w:color="000000"/>
            </w:tcBorders>
          </w:tcPr>
          <w:p w14:paraId="7B468D24"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10,2</w:t>
            </w:r>
          </w:p>
        </w:tc>
        <w:tc>
          <w:tcPr>
            <w:tcW w:w="2409" w:type="dxa"/>
            <w:tcBorders>
              <w:top w:val="single" w:sz="4" w:space="0" w:color="000000"/>
              <w:left w:val="single" w:sz="4" w:space="0" w:color="000000"/>
              <w:bottom w:val="single" w:sz="4" w:space="0" w:color="000000"/>
              <w:right w:val="single" w:sz="4" w:space="0" w:color="000000"/>
            </w:tcBorders>
          </w:tcPr>
          <w:p w14:paraId="5CA1AB51"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13,8</w:t>
            </w:r>
          </w:p>
        </w:tc>
      </w:tr>
      <w:tr w:rsidR="00295D62" w:rsidRPr="00402720" w14:paraId="789431E2" w14:textId="77777777" w:rsidTr="00A65A83">
        <w:trPr>
          <w:trHeight w:val="283"/>
        </w:trPr>
        <w:tc>
          <w:tcPr>
            <w:tcW w:w="4097" w:type="dxa"/>
            <w:tcBorders>
              <w:top w:val="single" w:sz="4" w:space="0" w:color="000000"/>
              <w:left w:val="single" w:sz="4" w:space="0" w:color="000000"/>
              <w:bottom w:val="single" w:sz="4" w:space="0" w:color="000000"/>
              <w:right w:val="single" w:sz="4" w:space="0" w:color="000000"/>
            </w:tcBorders>
          </w:tcPr>
          <w:p w14:paraId="562BD440" w14:textId="409BC296" w:rsidR="00295D62" w:rsidRPr="00402720" w:rsidRDefault="00047BAE"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KI)</w:t>
            </w:r>
          </w:p>
        </w:tc>
        <w:tc>
          <w:tcPr>
            <w:tcW w:w="4975" w:type="dxa"/>
            <w:gridSpan w:val="2"/>
            <w:tcBorders>
              <w:top w:val="single" w:sz="4" w:space="0" w:color="000000"/>
              <w:left w:val="single" w:sz="4" w:space="0" w:color="000000"/>
              <w:bottom w:val="single" w:sz="4" w:space="0" w:color="000000"/>
              <w:right w:val="single" w:sz="4" w:space="0" w:color="000000"/>
            </w:tcBorders>
          </w:tcPr>
          <w:p w14:paraId="6A7A802D" w14:textId="77777777" w:rsidR="00295D62" w:rsidRPr="00402720" w:rsidRDefault="00295D62"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0,613 [KI: 0,521; 0,721]</w:t>
            </w:r>
          </w:p>
        </w:tc>
      </w:tr>
      <w:tr w:rsidR="00295D62" w:rsidRPr="00402720" w14:paraId="7EC989F4" w14:textId="77777777" w:rsidTr="00A65A83">
        <w:trPr>
          <w:trHeight w:val="283"/>
        </w:trPr>
        <w:tc>
          <w:tcPr>
            <w:tcW w:w="4097" w:type="dxa"/>
            <w:tcBorders>
              <w:top w:val="single" w:sz="4" w:space="0" w:color="000000"/>
              <w:left w:val="single" w:sz="4" w:space="0" w:color="000000"/>
              <w:bottom w:val="single" w:sz="4" w:space="0" w:color="000000"/>
              <w:right w:val="single" w:sz="4" w:space="0" w:color="000000"/>
            </w:tcBorders>
          </w:tcPr>
          <w:p w14:paraId="684AAEC0" w14:textId="77777777" w:rsidR="00295D62" w:rsidRPr="00402720" w:rsidRDefault="00047BAE" w:rsidP="000B6CC4">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p-Wert</w:t>
            </w:r>
          </w:p>
        </w:tc>
        <w:tc>
          <w:tcPr>
            <w:tcW w:w="4975" w:type="dxa"/>
            <w:gridSpan w:val="2"/>
            <w:tcBorders>
              <w:top w:val="single" w:sz="4" w:space="0" w:color="000000"/>
              <w:left w:val="single" w:sz="4" w:space="0" w:color="000000"/>
              <w:bottom w:val="single" w:sz="4" w:space="0" w:color="000000"/>
              <w:right w:val="single" w:sz="4" w:space="0" w:color="000000"/>
            </w:tcBorders>
          </w:tcPr>
          <w:p w14:paraId="141EDB23" w14:textId="77777777" w:rsidR="00295D62" w:rsidRPr="00402720" w:rsidRDefault="00E32D5C"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&lt;</w:t>
            </w:r>
            <w:r w:rsidR="00486888" w:rsidRPr="00402720">
              <w:rPr>
                <w:rFonts w:ascii="Times New Roman" w:hAnsi="Times New Roman" w:cs="Times New Roman"/>
                <w:lang w:val="de-DE"/>
              </w:rPr>
              <w:t xml:space="preserve"> </w:t>
            </w:r>
            <w:r w:rsidR="00295D62" w:rsidRPr="00402720">
              <w:rPr>
                <w:rFonts w:ascii="Times New Roman" w:hAnsi="Times New Roman" w:cs="Times New Roman"/>
                <w:lang w:val="de-DE"/>
              </w:rPr>
              <w:t>0,0001</w:t>
            </w:r>
          </w:p>
        </w:tc>
      </w:tr>
    </w:tbl>
    <w:p w14:paraId="14BE5758" w14:textId="35EAC56F" w:rsidR="00051C8A" w:rsidRPr="009737B5" w:rsidRDefault="00051C8A"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1</w:t>
      </w:r>
      <w:r w:rsidRPr="009737B5">
        <w:rPr>
          <w:rFonts w:ascii="Times New Roman" w:hAnsi="Times New Roman" w:cs="Times New Roman"/>
          <w:sz w:val="20"/>
          <w:szCs w:val="20"/>
          <w:lang w:val="de-DE"/>
        </w:rPr>
        <w:tab/>
        <w:t>Finale Analyse.</w:t>
      </w:r>
    </w:p>
    <w:p w14:paraId="65298EA1" w14:textId="77777777" w:rsidR="00295D62" w:rsidRPr="009737B5" w:rsidRDefault="00051C8A"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2</w:t>
      </w:r>
      <w:r w:rsidRPr="009737B5">
        <w:rPr>
          <w:rFonts w:ascii="Times New Roman" w:hAnsi="Times New Roman" w:cs="Times New Roman"/>
          <w:sz w:val="20"/>
          <w:szCs w:val="20"/>
          <w:lang w:val="de-DE"/>
        </w:rPr>
        <w:tab/>
        <w:t>Tumorbeurteilung und Bewertung des Ansprechens wurden von den Prüfärzten anhand der GOG</w:t>
      </w:r>
      <w:r w:rsidR="00A81B2A" w:rsidRPr="009737B5">
        <w:rPr>
          <w:rFonts w:ascii="Times New Roman" w:hAnsi="Times New Roman" w:cs="Times New Roman"/>
          <w:sz w:val="20"/>
          <w:szCs w:val="20"/>
          <w:lang w:val="de-DE"/>
        </w:rPr>
        <w:noBreakHyphen/>
      </w:r>
      <w:r w:rsidRPr="009737B5">
        <w:rPr>
          <w:rFonts w:ascii="Times New Roman" w:hAnsi="Times New Roman" w:cs="Times New Roman"/>
          <w:sz w:val="20"/>
          <w:szCs w:val="20"/>
          <w:lang w:val="de-DE"/>
        </w:rPr>
        <w:t>RECIST-Kriterien (Revidierte RECIST-Leitlinie [Version 1.1] Eur J Cancer. 2009; 45: 228Y247) durchgeführt.</w:t>
      </w:r>
    </w:p>
    <w:p w14:paraId="06519128" w14:textId="77777777" w:rsidR="00AD3FD2" w:rsidRPr="009737B5" w:rsidRDefault="00AD3FD2" w:rsidP="000B6CC4">
      <w:pPr>
        <w:keepNext/>
        <w:suppressAutoHyphens/>
        <w:spacing w:after="0" w:line="240" w:lineRule="auto"/>
        <w:ind w:left="567" w:hanging="567"/>
        <w:rPr>
          <w:rFonts w:ascii="Times New Roman" w:hAnsi="Times New Roman" w:cs="Times New Roman"/>
          <w:sz w:val="20"/>
          <w:szCs w:val="20"/>
          <w:lang w:val="de-DE"/>
        </w:rPr>
      </w:pPr>
    </w:p>
    <w:p w14:paraId="023A56C5" w14:textId="3280F01E" w:rsidR="00954064" w:rsidRPr="009737B5" w:rsidRDefault="00010E8C"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a</w:t>
      </w:r>
      <w:r w:rsidR="00051C8A" w:rsidRPr="009737B5">
        <w:rPr>
          <w:rFonts w:ascii="Times New Roman" w:hAnsi="Times New Roman" w:cs="Times New Roman"/>
          <w:sz w:val="20"/>
          <w:szCs w:val="20"/>
          <w:lang w:val="de-DE"/>
        </w:rPr>
        <w:tab/>
      </w:r>
      <w:r w:rsidRPr="009737B5">
        <w:rPr>
          <w:rFonts w:ascii="Times New Roman" w:hAnsi="Times New Roman" w:cs="Times New Roman"/>
          <w:sz w:val="20"/>
          <w:szCs w:val="20"/>
          <w:lang w:val="de-DE"/>
        </w:rPr>
        <w:t xml:space="preserve">Die Schätzung der Hazard Ratio erfolgte gemäß </w:t>
      </w:r>
      <w:r w:rsidRPr="009737B5">
        <w:rPr>
          <w:rFonts w:ascii="Times New Roman" w:hAnsi="Times New Roman" w:cs="Times New Roman"/>
          <w:i/>
          <w:sz w:val="20"/>
          <w:szCs w:val="20"/>
          <w:lang w:val="de-DE"/>
        </w:rPr>
        <w:t>Cox Proportional Hazards</w:t>
      </w:r>
      <w:r w:rsidRPr="009737B5">
        <w:rPr>
          <w:rFonts w:ascii="Times New Roman" w:hAnsi="Times New Roman" w:cs="Times New Roman"/>
          <w:sz w:val="20"/>
          <w:szCs w:val="20"/>
          <w:lang w:val="de-DE"/>
        </w:rPr>
        <w:t>-Modell, stratifiziert nach Dauer des platinfreien</w:t>
      </w:r>
      <w:r w:rsidR="00051C8A" w:rsidRPr="009737B5">
        <w:rPr>
          <w:rFonts w:ascii="Times New Roman" w:hAnsi="Times New Roman" w:cs="Times New Roman"/>
          <w:sz w:val="20"/>
          <w:szCs w:val="20"/>
          <w:lang w:val="de-DE"/>
        </w:rPr>
        <w:t xml:space="preserve"> </w:t>
      </w:r>
      <w:r w:rsidRPr="009737B5">
        <w:rPr>
          <w:rFonts w:ascii="Times New Roman" w:hAnsi="Times New Roman" w:cs="Times New Roman"/>
          <w:sz w:val="20"/>
          <w:szCs w:val="20"/>
          <w:lang w:val="de-DE"/>
        </w:rPr>
        <w:t>Intervalls vor der Aufnahme in die Studie gemäß eCRF (=</w:t>
      </w:r>
      <w:r w:rsidR="00D07211">
        <w:rPr>
          <w:rFonts w:ascii="Times New Roman" w:hAnsi="Times New Roman" w:cs="Times New Roman"/>
          <w:sz w:val="20"/>
          <w:szCs w:val="20"/>
          <w:lang w:val="de-DE"/>
        </w:rPr>
        <w:t> </w:t>
      </w:r>
      <w:r w:rsidRPr="009737B5">
        <w:rPr>
          <w:rFonts w:ascii="Times New Roman" w:hAnsi="Times New Roman" w:cs="Times New Roman"/>
          <w:i/>
          <w:sz w:val="20"/>
          <w:szCs w:val="20"/>
          <w:lang w:val="de-DE"/>
        </w:rPr>
        <w:t>electronic case report form</w:t>
      </w:r>
      <w:r w:rsidRPr="009737B5">
        <w:rPr>
          <w:rFonts w:ascii="Times New Roman" w:hAnsi="Times New Roman" w:cs="Times New Roman"/>
          <w:sz w:val="20"/>
          <w:szCs w:val="20"/>
          <w:lang w:val="de-DE"/>
        </w:rPr>
        <w:t>) und sekundärem chirurgischem</w:t>
      </w:r>
      <w:r w:rsidR="00051C8A" w:rsidRPr="009737B5">
        <w:rPr>
          <w:rFonts w:ascii="Times New Roman" w:hAnsi="Times New Roman" w:cs="Times New Roman"/>
          <w:sz w:val="20"/>
          <w:szCs w:val="20"/>
          <w:lang w:val="de-DE"/>
        </w:rPr>
        <w:t xml:space="preserve"> </w:t>
      </w:r>
      <w:r w:rsidRPr="009737B5">
        <w:rPr>
          <w:rFonts w:ascii="Times New Roman" w:hAnsi="Times New Roman" w:cs="Times New Roman"/>
          <w:sz w:val="20"/>
          <w:szCs w:val="20"/>
          <w:lang w:val="de-DE"/>
        </w:rPr>
        <w:t>Debulking-Status Ja/Nein (Ja</w:t>
      </w:r>
      <w:r w:rsidR="00D07211">
        <w:rPr>
          <w:rFonts w:ascii="Times New Roman" w:hAnsi="Times New Roman" w:cs="Times New Roman"/>
          <w:sz w:val="20"/>
          <w:szCs w:val="20"/>
          <w:lang w:val="de-DE"/>
        </w:rPr>
        <w:t> </w:t>
      </w:r>
      <w:r w:rsidRPr="009737B5">
        <w:rPr>
          <w:rFonts w:ascii="Times New Roman" w:hAnsi="Times New Roman" w:cs="Times New Roman"/>
          <w:sz w:val="20"/>
          <w:szCs w:val="20"/>
          <w:lang w:val="de-DE"/>
        </w:rPr>
        <w:t>=</w:t>
      </w:r>
      <w:r w:rsidR="00D07211">
        <w:rPr>
          <w:rFonts w:ascii="Times New Roman" w:hAnsi="Times New Roman" w:cs="Times New Roman"/>
          <w:sz w:val="20"/>
          <w:szCs w:val="20"/>
          <w:lang w:val="de-DE"/>
        </w:rPr>
        <w:t> </w:t>
      </w:r>
      <w:r w:rsidRPr="009737B5">
        <w:rPr>
          <w:rFonts w:ascii="Times New Roman" w:hAnsi="Times New Roman" w:cs="Times New Roman"/>
          <w:sz w:val="20"/>
          <w:szCs w:val="20"/>
          <w:lang w:val="de-DE"/>
        </w:rPr>
        <w:t>randomisiert für eine Zytoreduktion oder randomisiert für keine Zytoreduktion; Nein</w:t>
      </w:r>
      <w:r w:rsidR="00D07211">
        <w:rPr>
          <w:rFonts w:ascii="Times New Roman" w:hAnsi="Times New Roman" w:cs="Times New Roman"/>
          <w:sz w:val="20"/>
          <w:szCs w:val="20"/>
          <w:lang w:val="de-DE"/>
        </w:rPr>
        <w:t> </w:t>
      </w:r>
      <w:r w:rsidRPr="009737B5">
        <w:rPr>
          <w:rFonts w:ascii="Times New Roman" w:hAnsi="Times New Roman" w:cs="Times New Roman"/>
          <w:sz w:val="20"/>
          <w:szCs w:val="20"/>
          <w:lang w:val="de-DE"/>
        </w:rPr>
        <w:t>=</w:t>
      </w:r>
      <w:r w:rsidR="00D07211">
        <w:rPr>
          <w:rFonts w:ascii="Times New Roman" w:hAnsi="Times New Roman" w:cs="Times New Roman"/>
          <w:sz w:val="20"/>
          <w:szCs w:val="20"/>
          <w:lang w:val="de-DE"/>
        </w:rPr>
        <w:t> </w:t>
      </w:r>
      <w:r w:rsidRPr="009737B5">
        <w:rPr>
          <w:rFonts w:ascii="Times New Roman" w:hAnsi="Times New Roman" w:cs="Times New Roman"/>
          <w:sz w:val="20"/>
          <w:szCs w:val="20"/>
          <w:lang w:val="de-DE"/>
        </w:rPr>
        <w:t>kein Kandidat für oder keine Einwilligung zu einer Zytoreduktion).</w:t>
      </w:r>
    </w:p>
    <w:p w14:paraId="131F6FA1" w14:textId="512995C1" w:rsidR="00010E8C" w:rsidRPr="009737B5" w:rsidRDefault="00010E8C" w:rsidP="000B6CC4">
      <w:pPr>
        <w:keepNext/>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b</w:t>
      </w:r>
      <w:r w:rsidR="00954064" w:rsidRPr="009737B5">
        <w:rPr>
          <w:rFonts w:ascii="Times New Roman" w:hAnsi="Times New Roman" w:cs="Times New Roman"/>
          <w:sz w:val="20"/>
          <w:szCs w:val="20"/>
          <w:vertAlign w:val="superscript"/>
          <w:lang w:val="de-DE"/>
        </w:rPr>
        <w:tab/>
      </w:r>
      <w:r w:rsidR="00507FF9">
        <w:rPr>
          <w:rFonts w:ascii="Times New Roman" w:hAnsi="Times New Roman" w:cs="Times New Roman"/>
          <w:sz w:val="20"/>
          <w:szCs w:val="20"/>
          <w:lang w:val="de-DE"/>
        </w:rPr>
        <w:t>S</w:t>
      </w:r>
      <w:r w:rsidRPr="009737B5">
        <w:rPr>
          <w:rFonts w:ascii="Times New Roman" w:hAnsi="Times New Roman" w:cs="Times New Roman"/>
          <w:sz w:val="20"/>
          <w:szCs w:val="20"/>
          <w:lang w:val="de-DE"/>
        </w:rPr>
        <w:t xml:space="preserve">tratifiziert nach Dauer des behandlungsfreien Intervalls vor Aufnahme in diese Studie anhand des Registrierungsformulars und </w:t>
      </w:r>
      <w:r w:rsidR="00AD3FD2" w:rsidRPr="009737B5">
        <w:rPr>
          <w:rFonts w:ascii="Times New Roman" w:hAnsi="Times New Roman" w:cs="Times New Roman"/>
          <w:sz w:val="20"/>
          <w:szCs w:val="20"/>
          <w:lang w:val="de-DE"/>
        </w:rPr>
        <w:t xml:space="preserve">sekundären chirurgischen </w:t>
      </w:r>
      <w:r w:rsidRPr="009737B5">
        <w:rPr>
          <w:rFonts w:ascii="Times New Roman" w:hAnsi="Times New Roman" w:cs="Times New Roman"/>
          <w:sz w:val="20"/>
          <w:szCs w:val="20"/>
          <w:lang w:val="de-DE"/>
        </w:rPr>
        <w:t>Debulking-Status Ja/Nein.</w:t>
      </w:r>
    </w:p>
    <w:p w14:paraId="380A1F79" w14:textId="77777777" w:rsidR="00010E8C" w:rsidRPr="009737B5" w:rsidRDefault="00010E8C" w:rsidP="005F4D08">
      <w:pPr>
        <w:suppressAutoHyphens/>
        <w:spacing w:after="0" w:line="240" w:lineRule="auto"/>
        <w:rPr>
          <w:rFonts w:ascii="Times New Roman" w:hAnsi="Times New Roman" w:cs="Times New Roman"/>
          <w:lang w:val="de-DE"/>
        </w:rPr>
      </w:pPr>
    </w:p>
    <w:p w14:paraId="77664756" w14:textId="6AB65A8E"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Studie erreichte ihren primären Endpunkt einer Verlängerung des OS. Die Therapie mit </w:t>
      </w:r>
      <w:r w:rsidR="00863E83" w:rsidRPr="009737B5">
        <w:rPr>
          <w:rFonts w:ascii="Times New Roman" w:hAnsi="Times New Roman" w:cs="Times New Roman"/>
          <w:lang w:val="de-DE"/>
        </w:rPr>
        <w:t>Bevacizumab</w:t>
      </w:r>
      <w:r w:rsidR="00051C8A" w:rsidRPr="009737B5">
        <w:rPr>
          <w:rFonts w:ascii="Times New Roman" w:hAnsi="Times New Roman" w:cs="Times New Roman"/>
          <w:lang w:val="de-DE"/>
        </w:rPr>
        <w:t xml:space="preserve"> </w:t>
      </w:r>
      <w:r w:rsidRPr="009737B5">
        <w:rPr>
          <w:rFonts w:ascii="Times New Roman" w:hAnsi="Times New Roman" w:cs="Times New Roman"/>
          <w:lang w:val="de-DE"/>
        </w:rPr>
        <w:t>15</w:t>
      </w:r>
      <w:r w:rsidR="00AB26B9" w:rsidRPr="009737B5">
        <w:rPr>
          <w:rFonts w:ascii="Times New Roman" w:hAnsi="Times New Roman" w:cs="Times New Roman"/>
          <w:lang w:val="de-DE"/>
        </w:rPr>
        <w:t> mg</w:t>
      </w:r>
      <w:r w:rsidRPr="009737B5">
        <w:rPr>
          <w:rFonts w:ascii="Times New Roman" w:hAnsi="Times New Roman" w:cs="Times New Roman"/>
          <w:lang w:val="de-DE"/>
        </w:rPr>
        <w:t>/kg alle 3</w:t>
      </w:r>
      <w:r w:rsidR="00D07211">
        <w:rPr>
          <w:rFonts w:ascii="Times New Roman" w:hAnsi="Times New Roman" w:cs="Times New Roman"/>
          <w:lang w:val="de-DE"/>
        </w:rPr>
        <w:t> </w:t>
      </w:r>
      <w:r w:rsidRPr="009737B5">
        <w:rPr>
          <w:rFonts w:ascii="Times New Roman" w:hAnsi="Times New Roman" w:cs="Times New Roman"/>
          <w:lang w:val="de-DE"/>
        </w:rPr>
        <w:t>Wochen in Kombination mit Chemotherapie (Carboplatin und Paclitaxel) für 6 bis zu 8</w:t>
      </w:r>
      <w:r w:rsidR="00D07211">
        <w:rPr>
          <w:rFonts w:ascii="Times New Roman" w:hAnsi="Times New Roman" w:cs="Times New Roman"/>
          <w:lang w:val="de-DE"/>
        </w:rPr>
        <w:t> </w:t>
      </w:r>
      <w:r w:rsidRPr="009737B5">
        <w:rPr>
          <w:rFonts w:ascii="Times New Roman" w:hAnsi="Times New Roman" w:cs="Times New Roman"/>
          <w:lang w:val="de-DE"/>
        </w:rPr>
        <w:t xml:space="preserve">Zyklen, gefolgt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bis zum Auftreten einer Krankheitsprogression oder nicht mehr tolerierbarer Nebenwirkungen, führte, gemäß </w:t>
      </w:r>
      <w:r w:rsidR="00AD3FD2" w:rsidRPr="009737B5">
        <w:rPr>
          <w:rFonts w:ascii="Times New Roman" w:hAnsi="Times New Roman" w:cs="Times New Roman"/>
          <w:lang w:val="de-DE"/>
        </w:rPr>
        <w:t xml:space="preserve">den </w:t>
      </w:r>
      <w:r w:rsidRPr="009737B5">
        <w:rPr>
          <w:rFonts w:ascii="Times New Roman" w:hAnsi="Times New Roman" w:cs="Times New Roman"/>
          <w:lang w:val="de-DE"/>
        </w:rPr>
        <w:t>Daten aus dem eCRF und dem Vergleich mit einer Behandlung mit Carboplatin und Paclitaxel allein, zu einer klinisch bedeutsamen und statistisch signifikanten Verbesserung des OS.</w:t>
      </w:r>
    </w:p>
    <w:p w14:paraId="29CB9B0A" w14:textId="77777777" w:rsidR="00010E8C" w:rsidRPr="009737B5" w:rsidRDefault="00010E8C" w:rsidP="005F4D08">
      <w:pPr>
        <w:suppressAutoHyphens/>
        <w:spacing w:after="0" w:line="240" w:lineRule="auto"/>
        <w:rPr>
          <w:rFonts w:ascii="Times New Roman" w:hAnsi="Times New Roman" w:cs="Times New Roman"/>
          <w:lang w:val="de-DE"/>
        </w:rPr>
      </w:pPr>
    </w:p>
    <w:p w14:paraId="03079E96" w14:textId="77777777" w:rsidR="00010E8C" w:rsidRPr="009737B5" w:rsidRDefault="00010E8C" w:rsidP="00047BAE">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MO22224</w:t>
      </w:r>
    </w:p>
    <w:p w14:paraId="565B8CB3" w14:textId="70BCF24B"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In der Studie MO22224 wurden die Wirksamkeit und Sicherheit von Bevacizumab in Kombination mit Chemotherapie bei Patienten mit platinresistentem Rezidiv eines epithelialen Ovarialkarzinoms, Eileiterkarzinoms oder primären Peritonealkarzinoms evaluiert. Diese Studie wurde als offene, </w:t>
      </w:r>
      <w:r w:rsidRPr="009737B5">
        <w:rPr>
          <w:rFonts w:ascii="Times New Roman" w:hAnsi="Times New Roman" w:cs="Times New Roman"/>
          <w:lang w:val="de-DE"/>
        </w:rPr>
        <w:lastRenderedPageBreak/>
        <w:t>randomisierte, zweiarmige Studie der Phase</w:t>
      </w:r>
      <w:r w:rsidR="00D07211">
        <w:rPr>
          <w:rFonts w:ascii="Times New Roman" w:hAnsi="Times New Roman" w:cs="Times New Roman"/>
          <w:lang w:val="de-DE"/>
        </w:rPr>
        <w:t> </w:t>
      </w:r>
      <w:r w:rsidRPr="009737B5">
        <w:rPr>
          <w:rFonts w:ascii="Times New Roman" w:hAnsi="Times New Roman" w:cs="Times New Roman"/>
          <w:lang w:val="de-DE"/>
        </w:rPr>
        <w:t>III zur Bewertung von Bevacizumab plus Chemotherapie (CT</w:t>
      </w:r>
      <w:r w:rsidR="0099604B">
        <w:rPr>
          <w:rFonts w:ascii="Times New Roman" w:hAnsi="Times New Roman" w:cs="Times New Roman"/>
          <w:lang w:val="de-DE"/>
        </w:rPr>
        <w:t xml:space="preserve"> </w:t>
      </w:r>
      <w:r w:rsidRPr="009737B5">
        <w:rPr>
          <w:rFonts w:ascii="Times New Roman" w:hAnsi="Times New Roman" w:cs="Times New Roman"/>
          <w:lang w:val="de-DE"/>
        </w:rPr>
        <w:t>+</w:t>
      </w:r>
      <w:r w:rsidR="0099604B">
        <w:rPr>
          <w:rFonts w:ascii="Times New Roman" w:hAnsi="Times New Roman" w:cs="Times New Roman"/>
          <w:lang w:val="de-DE"/>
        </w:rPr>
        <w:t xml:space="preserve"> </w:t>
      </w:r>
      <w:r w:rsidRPr="009737B5">
        <w:rPr>
          <w:rFonts w:ascii="Times New Roman" w:hAnsi="Times New Roman" w:cs="Times New Roman"/>
          <w:lang w:val="de-DE"/>
        </w:rPr>
        <w:t>BV) im Vergleich zu Chemotherapie allein (CT) ausgelegt.</w:t>
      </w:r>
    </w:p>
    <w:p w14:paraId="11318F51" w14:textId="77777777" w:rsidR="009E217E" w:rsidRPr="009737B5" w:rsidRDefault="009E217E" w:rsidP="005F4D08">
      <w:pPr>
        <w:suppressAutoHyphens/>
        <w:spacing w:after="0" w:line="240" w:lineRule="auto"/>
        <w:rPr>
          <w:rFonts w:ascii="Times New Roman" w:hAnsi="Times New Roman" w:cs="Times New Roman"/>
          <w:lang w:val="de-DE"/>
        </w:rPr>
      </w:pPr>
    </w:p>
    <w:p w14:paraId="3553CA34" w14:textId="1BA818FD" w:rsidR="00010E8C" w:rsidRPr="009737B5" w:rsidRDefault="00010E8C" w:rsidP="009E217E">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Insgesamt wurden 361</w:t>
      </w:r>
      <w:r w:rsidR="00D07211">
        <w:rPr>
          <w:rFonts w:ascii="Times New Roman" w:hAnsi="Times New Roman" w:cs="Times New Roman"/>
          <w:lang w:val="de-DE"/>
        </w:rPr>
        <w:t> </w:t>
      </w:r>
      <w:r w:rsidRPr="009737B5">
        <w:rPr>
          <w:rFonts w:ascii="Times New Roman" w:hAnsi="Times New Roman" w:cs="Times New Roman"/>
          <w:lang w:val="de-DE"/>
        </w:rPr>
        <w:t>Patienten in die Studie aufgenommen und erhielten entweder Chemotherapie (Paclitaxel, Topotecan oder pegyliertes liposomales Doxorubicin [PLD]) allein oder in Kombination mit Bevacizumab:</w:t>
      </w:r>
    </w:p>
    <w:p w14:paraId="6A80F412" w14:textId="77777777" w:rsidR="00010E8C" w:rsidRPr="009737B5" w:rsidRDefault="00010E8C" w:rsidP="009E217E">
      <w:pPr>
        <w:keepNext/>
        <w:suppressAutoHyphens/>
        <w:spacing w:after="0" w:line="240" w:lineRule="auto"/>
        <w:rPr>
          <w:rFonts w:ascii="Times New Roman" w:hAnsi="Times New Roman" w:cs="Times New Roman"/>
          <w:lang w:val="de-DE"/>
        </w:rPr>
      </w:pPr>
    </w:p>
    <w:p w14:paraId="702045CE" w14:textId="77777777" w:rsidR="00010E8C" w:rsidRPr="009737B5" w:rsidRDefault="00051C8A" w:rsidP="009E217E">
      <w:pPr>
        <w:keepNext/>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r>
      <w:r w:rsidR="00010E8C" w:rsidRPr="009737B5">
        <w:rPr>
          <w:rFonts w:ascii="Times New Roman" w:hAnsi="Times New Roman" w:cs="Times New Roman"/>
          <w:lang w:val="de-DE"/>
        </w:rPr>
        <w:t>CT-Arm (Chemotherapie allein):</w:t>
      </w:r>
    </w:p>
    <w:p w14:paraId="2122E5ED" w14:textId="3906511F" w:rsidR="00010E8C" w:rsidRPr="0008161A" w:rsidRDefault="00010E8C" w:rsidP="00C84577">
      <w:pPr>
        <w:pStyle w:val="Default"/>
        <w:keepNext/>
        <w:numPr>
          <w:ilvl w:val="0"/>
          <w:numId w:val="1"/>
        </w:numPr>
        <w:ind w:left="1134" w:hanging="425"/>
        <w:rPr>
          <w:lang w:val="de-DE"/>
        </w:rPr>
      </w:pPr>
      <w:r w:rsidRPr="00C84577">
        <w:rPr>
          <w:sz w:val="22"/>
          <w:szCs w:val="22"/>
          <w:lang w:val="de-DE"/>
        </w:rPr>
        <w:t>Paclitaxel 80</w:t>
      </w:r>
      <w:r w:rsidR="00AB26B9" w:rsidRPr="00C84577">
        <w:rPr>
          <w:sz w:val="22"/>
          <w:szCs w:val="22"/>
          <w:lang w:val="de-DE"/>
        </w:rPr>
        <w:t> mg</w:t>
      </w:r>
      <w:r w:rsidRPr="00C84577">
        <w:rPr>
          <w:sz w:val="22"/>
          <w:szCs w:val="22"/>
          <w:lang w:val="de-DE"/>
        </w:rPr>
        <w:t>/m</w:t>
      </w:r>
      <w:r w:rsidRPr="00C84577">
        <w:rPr>
          <w:sz w:val="22"/>
          <w:szCs w:val="22"/>
          <w:vertAlign w:val="superscript"/>
          <w:lang w:val="de-DE"/>
        </w:rPr>
        <w:t>2</w:t>
      </w:r>
      <w:r w:rsidRPr="00C84577">
        <w:rPr>
          <w:sz w:val="22"/>
          <w:szCs w:val="22"/>
          <w:lang w:val="de-DE"/>
        </w:rPr>
        <w:t xml:space="preserve"> als i.v. Infusion über 1</w:t>
      </w:r>
      <w:r w:rsidR="00D07211" w:rsidRPr="00C84577">
        <w:rPr>
          <w:sz w:val="22"/>
          <w:szCs w:val="22"/>
          <w:lang w:val="de-DE"/>
        </w:rPr>
        <w:t> </w:t>
      </w:r>
      <w:r w:rsidRPr="00C84577">
        <w:rPr>
          <w:sz w:val="22"/>
          <w:szCs w:val="22"/>
          <w:lang w:val="de-DE"/>
        </w:rPr>
        <w:t>Stunde an den Tagen</w:t>
      </w:r>
      <w:r w:rsidR="00D07211" w:rsidRPr="00C84577">
        <w:rPr>
          <w:sz w:val="22"/>
          <w:szCs w:val="22"/>
          <w:lang w:val="de-DE"/>
        </w:rPr>
        <w:t> </w:t>
      </w:r>
      <w:r w:rsidRPr="00C84577">
        <w:rPr>
          <w:sz w:val="22"/>
          <w:szCs w:val="22"/>
          <w:lang w:val="de-DE"/>
        </w:rPr>
        <w:t>1, 8, 15 und 22 alle</w:t>
      </w:r>
      <w:r w:rsidR="00511E21">
        <w:rPr>
          <w:sz w:val="22"/>
          <w:szCs w:val="22"/>
          <w:lang w:val="de-DE"/>
        </w:rPr>
        <w:t xml:space="preserve"> </w:t>
      </w:r>
      <w:r w:rsidRPr="00C84577">
        <w:rPr>
          <w:sz w:val="22"/>
          <w:szCs w:val="22"/>
          <w:lang w:val="de-DE"/>
        </w:rPr>
        <w:t>4</w:t>
      </w:r>
      <w:r w:rsidR="00D07211" w:rsidRPr="00C84577">
        <w:rPr>
          <w:sz w:val="22"/>
          <w:szCs w:val="22"/>
          <w:lang w:val="de-DE"/>
        </w:rPr>
        <w:t> </w:t>
      </w:r>
      <w:r w:rsidRPr="00C84577">
        <w:rPr>
          <w:sz w:val="22"/>
          <w:szCs w:val="22"/>
          <w:lang w:val="de-DE"/>
        </w:rPr>
        <w:t>Wochen.</w:t>
      </w:r>
    </w:p>
    <w:p w14:paraId="52DB72C3" w14:textId="4262F0E5" w:rsidR="00010E8C" w:rsidRPr="0008161A" w:rsidRDefault="00010E8C" w:rsidP="00C84577">
      <w:pPr>
        <w:pStyle w:val="Default"/>
        <w:keepNext/>
        <w:numPr>
          <w:ilvl w:val="0"/>
          <w:numId w:val="1"/>
        </w:numPr>
        <w:ind w:left="1134" w:hanging="425"/>
        <w:rPr>
          <w:lang w:val="de-DE"/>
        </w:rPr>
      </w:pPr>
      <w:r w:rsidRPr="00C84577">
        <w:rPr>
          <w:sz w:val="22"/>
          <w:szCs w:val="22"/>
          <w:lang w:val="de-DE"/>
        </w:rPr>
        <w:t>Topotecan 4</w:t>
      </w:r>
      <w:r w:rsidR="00AB26B9" w:rsidRPr="00C84577">
        <w:rPr>
          <w:sz w:val="22"/>
          <w:szCs w:val="22"/>
          <w:lang w:val="de-DE"/>
        </w:rPr>
        <w:t> mg</w:t>
      </w:r>
      <w:r w:rsidRPr="00C84577">
        <w:rPr>
          <w:sz w:val="22"/>
          <w:szCs w:val="22"/>
          <w:lang w:val="de-DE"/>
        </w:rPr>
        <w:t>/m</w:t>
      </w:r>
      <w:r w:rsidRPr="00C84577">
        <w:rPr>
          <w:sz w:val="22"/>
          <w:szCs w:val="22"/>
          <w:vertAlign w:val="superscript"/>
          <w:lang w:val="de-DE"/>
        </w:rPr>
        <w:t>2</w:t>
      </w:r>
      <w:r w:rsidRPr="00C84577">
        <w:rPr>
          <w:sz w:val="22"/>
          <w:szCs w:val="22"/>
          <w:lang w:val="de-DE"/>
        </w:rPr>
        <w:t xml:space="preserve"> als i.v. Infusion über 30</w:t>
      </w:r>
      <w:r w:rsidR="00D07211" w:rsidRPr="00C84577">
        <w:rPr>
          <w:sz w:val="22"/>
          <w:szCs w:val="22"/>
          <w:lang w:val="de-DE"/>
        </w:rPr>
        <w:t> </w:t>
      </w:r>
      <w:r w:rsidRPr="00C84577">
        <w:rPr>
          <w:sz w:val="22"/>
          <w:szCs w:val="22"/>
          <w:lang w:val="de-DE"/>
        </w:rPr>
        <w:t>Minuten an den Tagen</w:t>
      </w:r>
      <w:r w:rsidR="00D07211" w:rsidRPr="00C84577">
        <w:rPr>
          <w:sz w:val="22"/>
          <w:szCs w:val="22"/>
          <w:lang w:val="de-DE"/>
        </w:rPr>
        <w:t> </w:t>
      </w:r>
      <w:r w:rsidRPr="00C84577">
        <w:rPr>
          <w:sz w:val="22"/>
          <w:szCs w:val="22"/>
          <w:lang w:val="de-DE"/>
        </w:rPr>
        <w:t>1, 8 und 15 alle</w:t>
      </w:r>
      <w:r w:rsidR="00051C8A" w:rsidRPr="00C84577">
        <w:rPr>
          <w:sz w:val="22"/>
          <w:szCs w:val="22"/>
          <w:lang w:val="de-DE"/>
        </w:rPr>
        <w:t xml:space="preserve"> </w:t>
      </w:r>
      <w:r w:rsidRPr="00C84577">
        <w:rPr>
          <w:sz w:val="22"/>
          <w:szCs w:val="22"/>
          <w:lang w:val="de-DE"/>
        </w:rPr>
        <w:t>4</w:t>
      </w:r>
      <w:r w:rsidR="00D07211" w:rsidRPr="00C84577">
        <w:rPr>
          <w:sz w:val="22"/>
          <w:szCs w:val="22"/>
          <w:lang w:val="de-DE"/>
        </w:rPr>
        <w:t> </w:t>
      </w:r>
      <w:r w:rsidRPr="00C84577">
        <w:rPr>
          <w:sz w:val="22"/>
          <w:szCs w:val="22"/>
          <w:lang w:val="de-DE"/>
        </w:rPr>
        <w:t>Wochen. Alternativ konnte eine 1,25</w:t>
      </w:r>
      <w:r w:rsidR="00676AA9" w:rsidRPr="00C84577">
        <w:rPr>
          <w:sz w:val="22"/>
          <w:szCs w:val="22"/>
          <w:lang w:val="de-DE"/>
        </w:rPr>
        <w:t> </w:t>
      </w:r>
      <w:r w:rsidRPr="00C84577">
        <w:rPr>
          <w:sz w:val="22"/>
          <w:szCs w:val="22"/>
          <w:lang w:val="de-DE"/>
        </w:rPr>
        <w:t>mg/m</w:t>
      </w:r>
      <w:r w:rsidRPr="00C84577">
        <w:rPr>
          <w:sz w:val="22"/>
          <w:szCs w:val="22"/>
          <w:vertAlign w:val="superscript"/>
          <w:lang w:val="de-DE"/>
        </w:rPr>
        <w:t>2</w:t>
      </w:r>
      <w:r w:rsidRPr="00C84577">
        <w:rPr>
          <w:sz w:val="22"/>
          <w:szCs w:val="22"/>
          <w:lang w:val="de-DE"/>
        </w:rPr>
        <w:t>-Dosis über 30</w:t>
      </w:r>
      <w:r w:rsidR="00D07211" w:rsidRPr="00C84577">
        <w:rPr>
          <w:sz w:val="22"/>
          <w:szCs w:val="22"/>
          <w:lang w:val="de-DE"/>
        </w:rPr>
        <w:t> </w:t>
      </w:r>
      <w:r w:rsidRPr="00C84577">
        <w:rPr>
          <w:sz w:val="22"/>
          <w:szCs w:val="22"/>
          <w:lang w:val="de-DE"/>
        </w:rPr>
        <w:t>Minuten an den Tagen</w:t>
      </w:r>
      <w:r w:rsidR="00D07211" w:rsidRPr="00C84577">
        <w:rPr>
          <w:sz w:val="22"/>
          <w:szCs w:val="22"/>
          <w:lang w:val="de-DE"/>
        </w:rPr>
        <w:t> </w:t>
      </w:r>
      <w:r w:rsidRPr="00C84577">
        <w:rPr>
          <w:sz w:val="22"/>
          <w:szCs w:val="22"/>
          <w:lang w:val="de-DE"/>
        </w:rPr>
        <w:t>1</w:t>
      </w:r>
      <w:r w:rsidR="00D07211" w:rsidRPr="00C84577">
        <w:rPr>
          <w:sz w:val="22"/>
          <w:szCs w:val="22"/>
          <w:lang w:val="de-DE"/>
        </w:rPr>
        <w:t xml:space="preserve"> </w:t>
      </w:r>
      <w:r w:rsidRPr="00C84577">
        <w:rPr>
          <w:sz w:val="22"/>
          <w:szCs w:val="22"/>
          <w:lang w:val="de-DE"/>
        </w:rPr>
        <w:t>-</w:t>
      </w:r>
      <w:r w:rsidR="00D07211" w:rsidRPr="00C84577">
        <w:rPr>
          <w:sz w:val="22"/>
          <w:szCs w:val="22"/>
          <w:lang w:val="de-DE"/>
        </w:rPr>
        <w:t> </w:t>
      </w:r>
      <w:r w:rsidRPr="00C84577">
        <w:rPr>
          <w:sz w:val="22"/>
          <w:szCs w:val="22"/>
          <w:lang w:val="de-DE"/>
        </w:rPr>
        <w:t>5 alle 3</w:t>
      </w:r>
      <w:r w:rsidR="00D07211" w:rsidRPr="00C84577">
        <w:rPr>
          <w:sz w:val="22"/>
          <w:szCs w:val="22"/>
          <w:lang w:val="de-DE"/>
        </w:rPr>
        <w:t> </w:t>
      </w:r>
      <w:r w:rsidRPr="00C84577">
        <w:rPr>
          <w:sz w:val="22"/>
          <w:szCs w:val="22"/>
          <w:lang w:val="de-DE"/>
        </w:rPr>
        <w:t>Wochen verabreicht werden.</w:t>
      </w:r>
    </w:p>
    <w:p w14:paraId="47CE8F7C" w14:textId="38CF984B" w:rsidR="00010E8C" w:rsidRPr="0008161A" w:rsidRDefault="00010E8C" w:rsidP="00C84577">
      <w:pPr>
        <w:pStyle w:val="Default"/>
        <w:keepNext/>
        <w:numPr>
          <w:ilvl w:val="0"/>
          <w:numId w:val="1"/>
        </w:numPr>
        <w:ind w:left="1134" w:hanging="425"/>
        <w:rPr>
          <w:lang w:val="de-DE"/>
        </w:rPr>
      </w:pPr>
      <w:r w:rsidRPr="00C84577">
        <w:rPr>
          <w:sz w:val="22"/>
          <w:szCs w:val="22"/>
          <w:lang w:val="de-DE"/>
        </w:rPr>
        <w:t>PLD 40</w:t>
      </w:r>
      <w:r w:rsidR="00AB26B9" w:rsidRPr="00C84577">
        <w:rPr>
          <w:sz w:val="22"/>
          <w:szCs w:val="22"/>
          <w:lang w:val="de-DE"/>
        </w:rPr>
        <w:t> mg</w:t>
      </w:r>
      <w:r w:rsidRPr="00C84577">
        <w:rPr>
          <w:sz w:val="22"/>
          <w:szCs w:val="22"/>
          <w:lang w:val="de-DE"/>
        </w:rPr>
        <w:t>/m</w:t>
      </w:r>
      <w:r w:rsidRPr="00C84577">
        <w:rPr>
          <w:sz w:val="22"/>
          <w:szCs w:val="22"/>
          <w:vertAlign w:val="superscript"/>
          <w:lang w:val="de-DE"/>
        </w:rPr>
        <w:t>2</w:t>
      </w:r>
      <w:r w:rsidRPr="00C84577">
        <w:rPr>
          <w:sz w:val="22"/>
          <w:szCs w:val="22"/>
          <w:lang w:val="de-DE"/>
        </w:rPr>
        <w:t xml:space="preserve"> als i.v. Infusion 1</w:t>
      </w:r>
      <w:r w:rsidR="00AB26B9" w:rsidRPr="00C84577">
        <w:rPr>
          <w:sz w:val="22"/>
          <w:szCs w:val="22"/>
          <w:lang w:val="de-DE"/>
        </w:rPr>
        <w:t> mg</w:t>
      </w:r>
      <w:r w:rsidRPr="00C84577">
        <w:rPr>
          <w:sz w:val="22"/>
          <w:szCs w:val="22"/>
          <w:lang w:val="de-DE"/>
        </w:rPr>
        <w:t>/min an Tag</w:t>
      </w:r>
      <w:r w:rsidR="00D07211" w:rsidRPr="00C84577">
        <w:rPr>
          <w:sz w:val="22"/>
          <w:szCs w:val="22"/>
          <w:lang w:val="de-DE"/>
        </w:rPr>
        <w:t> </w:t>
      </w:r>
      <w:r w:rsidRPr="00C84577">
        <w:rPr>
          <w:sz w:val="22"/>
          <w:szCs w:val="22"/>
          <w:lang w:val="de-DE"/>
        </w:rPr>
        <w:t>1 nur alle 4</w:t>
      </w:r>
      <w:r w:rsidR="00D07211" w:rsidRPr="00C84577">
        <w:rPr>
          <w:sz w:val="22"/>
          <w:szCs w:val="22"/>
          <w:lang w:val="de-DE"/>
        </w:rPr>
        <w:t> </w:t>
      </w:r>
      <w:r w:rsidRPr="00C84577">
        <w:rPr>
          <w:sz w:val="22"/>
          <w:szCs w:val="22"/>
          <w:lang w:val="de-DE"/>
        </w:rPr>
        <w:t>Wochen. Nach Zyklus</w:t>
      </w:r>
      <w:r w:rsidR="00511E21">
        <w:rPr>
          <w:sz w:val="22"/>
          <w:szCs w:val="22"/>
          <w:lang w:val="de-DE"/>
        </w:rPr>
        <w:t xml:space="preserve"> </w:t>
      </w:r>
      <w:r w:rsidRPr="00C84577">
        <w:rPr>
          <w:sz w:val="22"/>
          <w:szCs w:val="22"/>
          <w:lang w:val="de-DE"/>
        </w:rPr>
        <w:t>1</w:t>
      </w:r>
      <w:r w:rsidR="00D07211" w:rsidRPr="00C84577">
        <w:rPr>
          <w:sz w:val="22"/>
          <w:szCs w:val="22"/>
          <w:lang w:val="de-DE"/>
        </w:rPr>
        <w:t> </w:t>
      </w:r>
      <w:r w:rsidRPr="00C84577">
        <w:rPr>
          <w:sz w:val="22"/>
          <w:szCs w:val="22"/>
          <w:lang w:val="de-DE"/>
        </w:rPr>
        <w:t>konnte das Arzneimittel als Infusion über 1</w:t>
      </w:r>
      <w:r w:rsidR="00D07211" w:rsidRPr="00C84577">
        <w:rPr>
          <w:sz w:val="22"/>
          <w:szCs w:val="22"/>
          <w:lang w:val="de-DE"/>
        </w:rPr>
        <w:t> </w:t>
      </w:r>
      <w:r w:rsidRPr="00C84577">
        <w:rPr>
          <w:sz w:val="22"/>
          <w:szCs w:val="22"/>
          <w:lang w:val="de-DE"/>
        </w:rPr>
        <w:t>Stunde gegeben werden.</w:t>
      </w:r>
    </w:p>
    <w:p w14:paraId="5A63706C" w14:textId="00FF043B" w:rsidR="00010E8C" w:rsidRPr="009737B5" w:rsidRDefault="00010E8C" w:rsidP="009E217E">
      <w:pPr>
        <w:pStyle w:val="ListParagraph"/>
        <w:keepNext/>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CT</w:t>
      </w:r>
      <w:r w:rsidR="00B962FA">
        <w:rPr>
          <w:rFonts w:ascii="Times New Roman" w:hAnsi="Times New Roman" w:cs="Times New Roman"/>
          <w:lang w:val="de-DE"/>
        </w:rPr>
        <w:t xml:space="preserve"> </w:t>
      </w:r>
      <w:r w:rsidRPr="009737B5">
        <w:rPr>
          <w:rFonts w:ascii="Times New Roman" w:hAnsi="Times New Roman" w:cs="Times New Roman"/>
          <w:lang w:val="de-DE"/>
        </w:rPr>
        <w:t>+</w:t>
      </w:r>
      <w:r w:rsidR="00B962FA">
        <w:rPr>
          <w:rFonts w:ascii="Times New Roman" w:hAnsi="Times New Roman" w:cs="Times New Roman"/>
          <w:lang w:val="de-DE"/>
        </w:rPr>
        <w:t xml:space="preserve"> </w:t>
      </w:r>
      <w:r w:rsidRPr="009737B5">
        <w:rPr>
          <w:rFonts w:ascii="Times New Roman" w:hAnsi="Times New Roman" w:cs="Times New Roman"/>
          <w:lang w:val="de-DE"/>
        </w:rPr>
        <w:t>BV-Arm (Chemotherapie plus Bevacizumab):</w:t>
      </w:r>
    </w:p>
    <w:p w14:paraId="33DCBA0C" w14:textId="0F123517" w:rsidR="00010E8C" w:rsidRPr="0008161A" w:rsidRDefault="00010E8C" w:rsidP="00C84577">
      <w:pPr>
        <w:pStyle w:val="Default"/>
        <w:keepNext/>
        <w:numPr>
          <w:ilvl w:val="0"/>
          <w:numId w:val="1"/>
        </w:numPr>
        <w:ind w:left="1134" w:hanging="425"/>
        <w:rPr>
          <w:lang w:val="de-DE"/>
        </w:rPr>
      </w:pPr>
      <w:r w:rsidRPr="00C84577">
        <w:rPr>
          <w:sz w:val="22"/>
          <w:szCs w:val="22"/>
          <w:lang w:val="de-DE"/>
        </w:rPr>
        <w:t>Die ausgewählte Chemotherapie wurde kombiniert mit Bevacizumab 10</w:t>
      </w:r>
      <w:r w:rsidR="00AB26B9" w:rsidRPr="00C84577">
        <w:rPr>
          <w:sz w:val="22"/>
          <w:szCs w:val="22"/>
          <w:lang w:val="de-DE"/>
        </w:rPr>
        <w:t> mg</w:t>
      </w:r>
      <w:r w:rsidRPr="00C84577">
        <w:rPr>
          <w:sz w:val="22"/>
          <w:szCs w:val="22"/>
          <w:lang w:val="de-DE"/>
        </w:rPr>
        <w:t>/kg i.v. alle 2</w:t>
      </w:r>
      <w:r w:rsidR="00D07211" w:rsidRPr="00C84577">
        <w:rPr>
          <w:sz w:val="22"/>
          <w:szCs w:val="22"/>
          <w:lang w:val="de-DE"/>
        </w:rPr>
        <w:t> </w:t>
      </w:r>
      <w:r w:rsidRPr="00C84577">
        <w:rPr>
          <w:sz w:val="22"/>
          <w:szCs w:val="22"/>
          <w:lang w:val="de-DE"/>
        </w:rPr>
        <w:t>Wochen (oder Bevacizumab 15</w:t>
      </w:r>
      <w:r w:rsidR="00AB26B9" w:rsidRPr="00C84577">
        <w:rPr>
          <w:sz w:val="22"/>
          <w:szCs w:val="22"/>
          <w:lang w:val="de-DE"/>
        </w:rPr>
        <w:t> mg</w:t>
      </w:r>
      <w:r w:rsidRPr="00C84577">
        <w:rPr>
          <w:sz w:val="22"/>
          <w:szCs w:val="22"/>
          <w:lang w:val="de-DE"/>
        </w:rPr>
        <w:t>/kg alle 3</w:t>
      </w:r>
      <w:r w:rsidR="00D07211" w:rsidRPr="00C84577">
        <w:rPr>
          <w:sz w:val="22"/>
          <w:szCs w:val="22"/>
          <w:lang w:val="de-DE"/>
        </w:rPr>
        <w:t> </w:t>
      </w:r>
      <w:r w:rsidRPr="00C84577">
        <w:rPr>
          <w:sz w:val="22"/>
          <w:szCs w:val="22"/>
          <w:lang w:val="de-DE"/>
        </w:rPr>
        <w:t>Wochen, wenn in Kombination mit Topotecan 1,25</w:t>
      </w:r>
      <w:r w:rsidR="00AB26B9" w:rsidRPr="00C84577">
        <w:rPr>
          <w:sz w:val="22"/>
          <w:szCs w:val="22"/>
          <w:lang w:val="de-DE"/>
        </w:rPr>
        <w:t> mg</w:t>
      </w:r>
      <w:r w:rsidRPr="00C84577">
        <w:rPr>
          <w:sz w:val="22"/>
          <w:szCs w:val="22"/>
          <w:lang w:val="de-DE"/>
        </w:rPr>
        <w:t>/m</w:t>
      </w:r>
      <w:r w:rsidRPr="00C84577">
        <w:rPr>
          <w:sz w:val="22"/>
          <w:szCs w:val="22"/>
          <w:vertAlign w:val="superscript"/>
          <w:lang w:val="de-DE"/>
        </w:rPr>
        <w:t>2</w:t>
      </w:r>
      <w:r w:rsidRPr="00C84577">
        <w:rPr>
          <w:sz w:val="22"/>
          <w:szCs w:val="22"/>
          <w:lang w:val="de-DE"/>
        </w:rPr>
        <w:t xml:space="preserve"> an den Tagen</w:t>
      </w:r>
      <w:r w:rsidR="00D07211" w:rsidRPr="00C84577">
        <w:rPr>
          <w:sz w:val="22"/>
          <w:szCs w:val="22"/>
          <w:lang w:val="de-DE"/>
        </w:rPr>
        <w:t> </w:t>
      </w:r>
      <w:r w:rsidRPr="00C84577">
        <w:rPr>
          <w:sz w:val="22"/>
          <w:szCs w:val="22"/>
          <w:lang w:val="de-DE"/>
        </w:rPr>
        <w:t>1</w:t>
      </w:r>
      <w:r w:rsidR="00D07211" w:rsidRPr="00C84577">
        <w:rPr>
          <w:sz w:val="22"/>
          <w:szCs w:val="22"/>
          <w:lang w:val="de-DE"/>
        </w:rPr>
        <w:t> </w:t>
      </w:r>
      <w:r w:rsidRPr="00C84577">
        <w:rPr>
          <w:sz w:val="22"/>
          <w:szCs w:val="22"/>
          <w:lang w:val="de-DE"/>
        </w:rPr>
        <w:t>-</w:t>
      </w:r>
      <w:r w:rsidR="00D07211" w:rsidRPr="00C84577">
        <w:rPr>
          <w:sz w:val="22"/>
          <w:szCs w:val="22"/>
          <w:lang w:val="de-DE"/>
        </w:rPr>
        <w:t> </w:t>
      </w:r>
      <w:r w:rsidRPr="00C84577">
        <w:rPr>
          <w:sz w:val="22"/>
          <w:szCs w:val="22"/>
          <w:lang w:val="de-DE"/>
        </w:rPr>
        <w:t>5 alle 3</w:t>
      </w:r>
      <w:r w:rsidR="00D07211" w:rsidRPr="00C84577">
        <w:rPr>
          <w:sz w:val="22"/>
          <w:szCs w:val="22"/>
          <w:lang w:val="de-DE"/>
        </w:rPr>
        <w:t> </w:t>
      </w:r>
      <w:r w:rsidRPr="00C84577">
        <w:rPr>
          <w:sz w:val="22"/>
          <w:szCs w:val="22"/>
          <w:lang w:val="de-DE"/>
        </w:rPr>
        <w:t>Wochen).</w:t>
      </w:r>
    </w:p>
    <w:p w14:paraId="35DA3DE5" w14:textId="77777777" w:rsidR="00010E8C" w:rsidRPr="009737B5" w:rsidRDefault="00010E8C" w:rsidP="005F4D08">
      <w:pPr>
        <w:suppressAutoHyphens/>
        <w:spacing w:after="0" w:line="240" w:lineRule="auto"/>
        <w:rPr>
          <w:rFonts w:ascii="Times New Roman" w:hAnsi="Times New Roman" w:cs="Times New Roman"/>
          <w:lang w:val="de-DE"/>
        </w:rPr>
      </w:pPr>
    </w:p>
    <w:p w14:paraId="10854460" w14:textId="2AC0821D"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Geeignete Patienten hatten ein epitheliales Ovarialkarzinom, Eileiterkarzinom oder primäres Peritonealkarzinom, bei denen es innerhalb von </w:t>
      </w:r>
      <w:r w:rsidR="00E32D5C" w:rsidRPr="009737B5">
        <w:rPr>
          <w:rFonts w:ascii="Times New Roman" w:hAnsi="Times New Roman" w:cs="Times New Roman"/>
          <w:lang w:val="de-DE"/>
        </w:rPr>
        <w:t>&lt; </w:t>
      </w:r>
      <w:r w:rsidRPr="009737B5">
        <w:rPr>
          <w:rFonts w:ascii="Times New Roman" w:hAnsi="Times New Roman" w:cs="Times New Roman"/>
          <w:lang w:val="de-DE"/>
        </w:rPr>
        <w:t>6</w:t>
      </w:r>
      <w:r w:rsidR="00D07211">
        <w:rPr>
          <w:rFonts w:ascii="Times New Roman" w:hAnsi="Times New Roman" w:cs="Times New Roman"/>
          <w:lang w:val="de-DE"/>
        </w:rPr>
        <w:t> </w:t>
      </w:r>
      <w:r w:rsidRPr="009737B5">
        <w:rPr>
          <w:rFonts w:ascii="Times New Roman" w:hAnsi="Times New Roman" w:cs="Times New Roman"/>
          <w:lang w:val="de-DE"/>
        </w:rPr>
        <w:t>Monaten nach der vorherigen Platintherapie, bestehend aus mindestens 4</w:t>
      </w:r>
      <w:r w:rsidR="00D07211">
        <w:rPr>
          <w:rFonts w:ascii="Times New Roman" w:hAnsi="Times New Roman" w:cs="Times New Roman"/>
          <w:lang w:val="de-DE"/>
        </w:rPr>
        <w:t> </w:t>
      </w:r>
      <w:r w:rsidRPr="009737B5">
        <w:rPr>
          <w:rFonts w:ascii="Times New Roman" w:hAnsi="Times New Roman" w:cs="Times New Roman"/>
          <w:lang w:val="de-DE"/>
        </w:rPr>
        <w:t xml:space="preserve">Platintherapiezyklen, zu einer Progression gekommen ist. Patienten sollten eine Lebenserwartung von </w:t>
      </w:r>
      <w:r w:rsidR="00E32D5C" w:rsidRPr="009737B5">
        <w:rPr>
          <w:rFonts w:ascii="Times New Roman" w:hAnsi="Times New Roman" w:cs="Times New Roman"/>
          <w:lang w:val="de-DE"/>
        </w:rPr>
        <w:t>≥ </w:t>
      </w:r>
      <w:r w:rsidRPr="009737B5">
        <w:rPr>
          <w:rFonts w:ascii="Times New Roman" w:hAnsi="Times New Roman" w:cs="Times New Roman"/>
          <w:lang w:val="de-DE"/>
        </w:rPr>
        <w:t>12</w:t>
      </w:r>
      <w:r w:rsidR="00D07211">
        <w:rPr>
          <w:rFonts w:ascii="Times New Roman" w:hAnsi="Times New Roman" w:cs="Times New Roman"/>
          <w:lang w:val="de-DE"/>
        </w:rPr>
        <w:t> </w:t>
      </w:r>
      <w:r w:rsidRPr="009737B5">
        <w:rPr>
          <w:rFonts w:ascii="Times New Roman" w:hAnsi="Times New Roman" w:cs="Times New Roman"/>
          <w:lang w:val="de-DE"/>
        </w:rPr>
        <w:t>Wochen gehabt haben und keine vorherige Strahlentherapie des Beckens oder Abdomens. Die meisten Patienten waren FIGO</w:t>
      </w:r>
      <w:r w:rsidR="00AD3FD2" w:rsidRPr="009737B5">
        <w:rPr>
          <w:rFonts w:ascii="Times New Roman" w:hAnsi="Times New Roman" w:cs="Times New Roman"/>
          <w:lang w:val="de-DE"/>
        </w:rPr>
        <w:t>-</w:t>
      </w:r>
      <w:r w:rsidRPr="009737B5">
        <w:rPr>
          <w:rFonts w:ascii="Times New Roman" w:hAnsi="Times New Roman" w:cs="Times New Roman"/>
          <w:lang w:val="de-DE"/>
        </w:rPr>
        <w:t>Stadium</w:t>
      </w:r>
      <w:r w:rsidR="00D07211">
        <w:rPr>
          <w:rFonts w:ascii="Times New Roman" w:hAnsi="Times New Roman" w:cs="Times New Roman"/>
          <w:lang w:val="de-DE"/>
        </w:rPr>
        <w:t> </w:t>
      </w:r>
      <w:r w:rsidRPr="009737B5">
        <w:rPr>
          <w:rFonts w:ascii="Times New Roman" w:hAnsi="Times New Roman" w:cs="Times New Roman"/>
          <w:lang w:val="de-DE"/>
        </w:rPr>
        <w:t>IIIC oder Stadium</w:t>
      </w:r>
      <w:r w:rsidR="00D07211">
        <w:rPr>
          <w:rFonts w:ascii="Times New Roman" w:hAnsi="Times New Roman" w:cs="Times New Roman"/>
          <w:lang w:val="de-DE"/>
        </w:rPr>
        <w:t> </w:t>
      </w:r>
      <w:r w:rsidRPr="009737B5">
        <w:rPr>
          <w:rFonts w:ascii="Times New Roman" w:hAnsi="Times New Roman" w:cs="Times New Roman"/>
          <w:lang w:val="de-DE"/>
        </w:rPr>
        <w:t>IV. Die Mehrheit der Patienten hatte in beiden Armen einen ECOG-Performance-Status (PS) von</w:t>
      </w:r>
      <w:r w:rsidR="00D07211">
        <w:rPr>
          <w:rFonts w:ascii="Times New Roman" w:hAnsi="Times New Roman" w:cs="Times New Roman"/>
          <w:lang w:val="de-DE"/>
        </w:rPr>
        <w:t> </w:t>
      </w:r>
      <w:r w:rsidRPr="009737B5">
        <w:rPr>
          <w:rFonts w:ascii="Times New Roman" w:hAnsi="Times New Roman" w:cs="Times New Roman"/>
          <w:lang w:val="de-DE"/>
        </w:rPr>
        <w:t>0 (CT:</w:t>
      </w:r>
      <w:r w:rsidR="00411E9D" w:rsidRPr="009737B5">
        <w:rPr>
          <w:rFonts w:ascii="Times New Roman" w:hAnsi="Times New Roman" w:cs="Times New Roman"/>
          <w:lang w:val="de-DE"/>
        </w:rPr>
        <w:t xml:space="preserve"> </w:t>
      </w:r>
      <w:r w:rsidRPr="009737B5">
        <w:rPr>
          <w:rFonts w:ascii="Times New Roman" w:hAnsi="Times New Roman" w:cs="Times New Roman"/>
          <w:lang w:val="de-DE"/>
        </w:rPr>
        <w:t>56,4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vs. CT</w:t>
      </w:r>
      <w:r w:rsidR="00B962FA">
        <w:rPr>
          <w:rFonts w:ascii="Times New Roman" w:hAnsi="Times New Roman" w:cs="Times New Roman"/>
          <w:lang w:val="de-DE"/>
        </w:rPr>
        <w:t xml:space="preserve"> </w:t>
      </w:r>
      <w:r w:rsidRPr="009737B5">
        <w:rPr>
          <w:rFonts w:ascii="Times New Roman" w:hAnsi="Times New Roman" w:cs="Times New Roman"/>
          <w:lang w:val="de-DE"/>
        </w:rPr>
        <w:t>+</w:t>
      </w:r>
      <w:r w:rsidR="00B962FA">
        <w:rPr>
          <w:rFonts w:ascii="Times New Roman" w:hAnsi="Times New Roman" w:cs="Times New Roman"/>
          <w:lang w:val="de-DE"/>
        </w:rPr>
        <w:t xml:space="preserve"> </w:t>
      </w:r>
      <w:r w:rsidRPr="009737B5">
        <w:rPr>
          <w:rFonts w:ascii="Times New Roman" w:hAnsi="Times New Roman" w:cs="Times New Roman"/>
          <w:lang w:val="de-DE"/>
        </w:rPr>
        <w:t>BV: 61,2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prozentuale Anteil der Patienten mit ECOG-PS von 1 bzw. </w:t>
      </w:r>
      <w:r w:rsidR="00E32D5C" w:rsidRPr="009737B5">
        <w:rPr>
          <w:rFonts w:ascii="Times New Roman" w:hAnsi="Times New Roman" w:cs="Times New Roman"/>
          <w:lang w:val="de-DE"/>
        </w:rPr>
        <w:t>≥ </w:t>
      </w:r>
      <w:r w:rsidRPr="009737B5">
        <w:rPr>
          <w:rFonts w:ascii="Times New Roman" w:hAnsi="Times New Roman" w:cs="Times New Roman"/>
          <w:lang w:val="de-DE"/>
        </w:rPr>
        <w:t>2 war 38,7</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bzw. 5,0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CT-Arm und 29,8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bzw. 9,0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CT</w:t>
      </w:r>
      <w:r w:rsidR="00B962FA">
        <w:rPr>
          <w:rFonts w:ascii="Times New Roman" w:hAnsi="Times New Roman" w:cs="Times New Roman"/>
          <w:lang w:val="de-DE"/>
        </w:rPr>
        <w:t xml:space="preserve"> </w:t>
      </w:r>
      <w:r w:rsidRPr="009737B5">
        <w:rPr>
          <w:rFonts w:ascii="Times New Roman" w:hAnsi="Times New Roman" w:cs="Times New Roman"/>
          <w:lang w:val="de-DE"/>
        </w:rPr>
        <w:t>+</w:t>
      </w:r>
      <w:r w:rsidR="00B962FA">
        <w:rPr>
          <w:rFonts w:ascii="Times New Roman" w:hAnsi="Times New Roman" w:cs="Times New Roman"/>
          <w:lang w:val="de-DE"/>
        </w:rPr>
        <w:t xml:space="preserve"> </w:t>
      </w:r>
      <w:r w:rsidRPr="009737B5">
        <w:rPr>
          <w:rFonts w:ascii="Times New Roman" w:hAnsi="Times New Roman" w:cs="Times New Roman"/>
          <w:lang w:val="de-DE"/>
        </w:rPr>
        <w:t>BV-Arm. Informationen zur ethnischen Gruppe liegen für 29,3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vor</w:t>
      </w:r>
      <w:r w:rsidR="00256573">
        <w:rPr>
          <w:rFonts w:ascii="Times New Roman" w:hAnsi="Times New Roman" w:cs="Times New Roman"/>
          <w:lang w:val="de-DE"/>
        </w:rPr>
        <w:t>,</w:t>
      </w:r>
      <w:r w:rsidRPr="009737B5">
        <w:rPr>
          <w:rFonts w:ascii="Times New Roman" w:hAnsi="Times New Roman" w:cs="Times New Roman"/>
          <w:lang w:val="de-DE"/>
        </w:rPr>
        <w:t xml:space="preserve"> und fast alle Patienten waren Weiße. Das Durchschnittsalter der Patienten war 61,0 (Bereich: 25</w:t>
      </w:r>
      <w:r w:rsidR="00D07211">
        <w:rPr>
          <w:rFonts w:ascii="Times New Roman" w:hAnsi="Times New Roman" w:cs="Times New Roman"/>
          <w:lang w:val="de-DE"/>
        </w:rPr>
        <w:t> </w:t>
      </w:r>
      <w:r w:rsidRPr="009737B5">
        <w:rPr>
          <w:rFonts w:ascii="Times New Roman" w:hAnsi="Times New Roman" w:cs="Times New Roman"/>
          <w:lang w:val="de-DE"/>
        </w:rPr>
        <w:t>-</w:t>
      </w:r>
      <w:r w:rsidR="00D07211">
        <w:rPr>
          <w:rFonts w:ascii="Times New Roman" w:hAnsi="Times New Roman" w:cs="Times New Roman"/>
          <w:lang w:val="de-DE"/>
        </w:rPr>
        <w:t> </w:t>
      </w:r>
      <w:r w:rsidRPr="009737B5">
        <w:rPr>
          <w:rFonts w:ascii="Times New Roman" w:hAnsi="Times New Roman" w:cs="Times New Roman"/>
          <w:lang w:val="de-DE"/>
        </w:rPr>
        <w:t>84) Jahre. Insgesamt 16</w:t>
      </w:r>
      <w:r w:rsidR="00D07211">
        <w:rPr>
          <w:rFonts w:ascii="Times New Roman" w:hAnsi="Times New Roman" w:cs="Times New Roman"/>
          <w:lang w:val="de-DE"/>
        </w:rPr>
        <w:t> </w:t>
      </w:r>
      <w:r w:rsidRPr="009737B5">
        <w:rPr>
          <w:rFonts w:ascii="Times New Roman" w:hAnsi="Times New Roman" w:cs="Times New Roman"/>
          <w:lang w:val="de-DE"/>
        </w:rPr>
        <w:t>Patienten (4,4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waren </w:t>
      </w:r>
      <w:r w:rsidR="00E32D5C" w:rsidRPr="009737B5">
        <w:rPr>
          <w:rFonts w:ascii="Times New Roman" w:hAnsi="Times New Roman" w:cs="Times New Roman"/>
          <w:lang w:val="de-DE"/>
        </w:rPr>
        <w:t>&gt; </w:t>
      </w:r>
      <w:r w:rsidRPr="009737B5">
        <w:rPr>
          <w:rFonts w:ascii="Times New Roman" w:hAnsi="Times New Roman" w:cs="Times New Roman"/>
          <w:lang w:val="de-DE"/>
        </w:rPr>
        <w:t>75</w:t>
      </w:r>
      <w:r w:rsidR="0091668D" w:rsidRPr="009737B5">
        <w:rPr>
          <w:rFonts w:ascii="Times New Roman" w:hAnsi="Times New Roman" w:cs="Times New Roman"/>
          <w:lang w:val="de-DE"/>
        </w:rPr>
        <w:t> </w:t>
      </w:r>
      <w:r w:rsidRPr="009737B5">
        <w:rPr>
          <w:rFonts w:ascii="Times New Roman" w:hAnsi="Times New Roman" w:cs="Times New Roman"/>
          <w:lang w:val="de-DE"/>
        </w:rPr>
        <w:t>Jahre</w:t>
      </w:r>
      <w:r w:rsidR="00AD3FD2" w:rsidRPr="009737B5">
        <w:rPr>
          <w:rFonts w:ascii="Times New Roman" w:hAnsi="Times New Roman" w:cs="Times New Roman"/>
          <w:lang w:val="de-DE"/>
        </w:rPr>
        <w:t xml:space="preserve"> alt</w:t>
      </w:r>
      <w:r w:rsidRPr="009737B5">
        <w:rPr>
          <w:rFonts w:ascii="Times New Roman" w:hAnsi="Times New Roman" w:cs="Times New Roman"/>
          <w:lang w:val="de-DE"/>
        </w:rPr>
        <w:t>. Die Gesamtraten von Therapieabbrüchen aufgrund von Nebenwirkungen waren 8,8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CT-Arm und 43,6</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CT</w:t>
      </w:r>
      <w:r w:rsidR="00B962FA">
        <w:rPr>
          <w:rFonts w:ascii="Times New Roman" w:hAnsi="Times New Roman" w:cs="Times New Roman"/>
          <w:lang w:val="de-DE"/>
        </w:rPr>
        <w:t xml:space="preserve"> </w:t>
      </w:r>
      <w:r w:rsidRPr="009737B5">
        <w:rPr>
          <w:rFonts w:ascii="Times New Roman" w:hAnsi="Times New Roman" w:cs="Times New Roman"/>
          <w:lang w:val="de-DE"/>
        </w:rPr>
        <w:t>+</w:t>
      </w:r>
      <w:r w:rsidR="00B962FA">
        <w:rPr>
          <w:rFonts w:ascii="Times New Roman" w:hAnsi="Times New Roman" w:cs="Times New Roman"/>
          <w:lang w:val="de-DE"/>
        </w:rPr>
        <w:t xml:space="preserve"> </w:t>
      </w:r>
      <w:r w:rsidRPr="009737B5">
        <w:rPr>
          <w:rFonts w:ascii="Times New Roman" w:hAnsi="Times New Roman" w:cs="Times New Roman"/>
          <w:lang w:val="de-DE"/>
        </w:rPr>
        <w:t>BV-Arm (meist aufgrund von Grad</w:t>
      </w:r>
      <w:r w:rsidR="00D07211">
        <w:rPr>
          <w:rFonts w:ascii="Times New Roman" w:hAnsi="Times New Roman" w:cs="Times New Roman"/>
          <w:lang w:val="de-DE"/>
        </w:rPr>
        <w:t> </w:t>
      </w:r>
      <w:r w:rsidRPr="009737B5">
        <w:rPr>
          <w:rFonts w:ascii="Times New Roman" w:hAnsi="Times New Roman" w:cs="Times New Roman"/>
          <w:lang w:val="de-DE"/>
        </w:rPr>
        <w:t>2</w:t>
      </w:r>
      <w:r w:rsidR="00D07211">
        <w:rPr>
          <w:rFonts w:ascii="Times New Roman" w:hAnsi="Times New Roman" w:cs="Times New Roman"/>
          <w:lang w:val="de-DE"/>
        </w:rPr>
        <w:t> </w:t>
      </w:r>
      <w:r w:rsidRPr="009737B5">
        <w:rPr>
          <w:rFonts w:ascii="Times New Roman" w:hAnsi="Times New Roman" w:cs="Times New Roman"/>
          <w:lang w:val="de-DE"/>
        </w:rPr>
        <w:t>-</w:t>
      </w:r>
      <w:r w:rsidR="00D07211">
        <w:rPr>
          <w:rFonts w:ascii="Times New Roman" w:hAnsi="Times New Roman" w:cs="Times New Roman"/>
          <w:lang w:val="de-DE"/>
        </w:rPr>
        <w:t> </w:t>
      </w:r>
      <w:r w:rsidRPr="009737B5">
        <w:rPr>
          <w:rFonts w:ascii="Times New Roman" w:hAnsi="Times New Roman" w:cs="Times New Roman"/>
          <w:lang w:val="de-DE"/>
        </w:rPr>
        <w:t>3 Nebenwirkungen)</w:t>
      </w:r>
      <w:r w:rsidR="00256573">
        <w:rPr>
          <w:rFonts w:ascii="Times New Roman" w:hAnsi="Times New Roman" w:cs="Times New Roman"/>
          <w:lang w:val="de-DE"/>
        </w:rPr>
        <w:t>,</w:t>
      </w:r>
      <w:r w:rsidRPr="009737B5">
        <w:rPr>
          <w:rFonts w:ascii="Times New Roman" w:hAnsi="Times New Roman" w:cs="Times New Roman"/>
          <w:lang w:val="de-DE"/>
        </w:rPr>
        <w:t xml:space="preserve"> und die mittlere Zeit bis zum Abbruch im CT</w:t>
      </w:r>
      <w:r w:rsidR="00B962FA">
        <w:rPr>
          <w:rFonts w:ascii="Times New Roman" w:hAnsi="Times New Roman" w:cs="Times New Roman"/>
          <w:lang w:val="de-DE"/>
        </w:rPr>
        <w:t xml:space="preserve"> </w:t>
      </w:r>
      <w:r w:rsidRPr="009737B5">
        <w:rPr>
          <w:rFonts w:ascii="Times New Roman" w:hAnsi="Times New Roman" w:cs="Times New Roman"/>
          <w:lang w:val="de-DE"/>
        </w:rPr>
        <w:t>+</w:t>
      </w:r>
      <w:r w:rsidR="00B962FA">
        <w:rPr>
          <w:rFonts w:ascii="Times New Roman" w:hAnsi="Times New Roman" w:cs="Times New Roman"/>
          <w:lang w:val="de-DE"/>
        </w:rPr>
        <w:t xml:space="preserve"> </w:t>
      </w:r>
      <w:r w:rsidRPr="009737B5">
        <w:rPr>
          <w:rFonts w:ascii="Times New Roman" w:hAnsi="Times New Roman" w:cs="Times New Roman"/>
          <w:lang w:val="de-DE"/>
        </w:rPr>
        <w:t>BV-Arm war 5,2</w:t>
      </w:r>
      <w:r w:rsidR="00D07211">
        <w:rPr>
          <w:rFonts w:ascii="Times New Roman" w:hAnsi="Times New Roman" w:cs="Times New Roman"/>
          <w:lang w:val="de-DE"/>
        </w:rPr>
        <w:t> </w:t>
      </w:r>
      <w:r w:rsidRPr="009737B5">
        <w:rPr>
          <w:rFonts w:ascii="Times New Roman" w:hAnsi="Times New Roman" w:cs="Times New Roman"/>
          <w:lang w:val="de-DE"/>
        </w:rPr>
        <w:t>Monate verglichen mit 2,4</w:t>
      </w:r>
      <w:r w:rsidR="00D07211">
        <w:rPr>
          <w:rFonts w:ascii="Times New Roman" w:hAnsi="Times New Roman" w:cs="Times New Roman"/>
          <w:lang w:val="de-DE"/>
        </w:rPr>
        <w:t> </w:t>
      </w:r>
      <w:r w:rsidRPr="009737B5">
        <w:rPr>
          <w:rFonts w:ascii="Times New Roman" w:hAnsi="Times New Roman" w:cs="Times New Roman"/>
          <w:lang w:val="de-DE"/>
        </w:rPr>
        <w:t xml:space="preserve">Monaten im CT-Arm. Die Abbruchraten aufgrund von Nebenwirkungen in der Subgruppe der Patienten </w:t>
      </w:r>
      <w:r w:rsidR="00E32D5C" w:rsidRPr="009737B5">
        <w:rPr>
          <w:rFonts w:ascii="Times New Roman" w:hAnsi="Times New Roman" w:cs="Times New Roman"/>
          <w:lang w:val="de-DE"/>
        </w:rPr>
        <w:t>&gt; </w:t>
      </w:r>
      <w:r w:rsidRPr="009737B5">
        <w:rPr>
          <w:rFonts w:ascii="Times New Roman" w:hAnsi="Times New Roman" w:cs="Times New Roman"/>
          <w:lang w:val="de-DE"/>
        </w:rPr>
        <w:t>65</w:t>
      </w:r>
      <w:r w:rsidR="0091668D" w:rsidRPr="009737B5">
        <w:rPr>
          <w:rFonts w:ascii="Times New Roman" w:hAnsi="Times New Roman" w:cs="Times New Roman"/>
          <w:lang w:val="de-DE"/>
        </w:rPr>
        <w:t> </w:t>
      </w:r>
      <w:r w:rsidRPr="009737B5">
        <w:rPr>
          <w:rFonts w:ascii="Times New Roman" w:hAnsi="Times New Roman" w:cs="Times New Roman"/>
          <w:lang w:val="de-DE"/>
        </w:rPr>
        <w:t>Jahre waren 8,8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CT-Arm und 50,0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im CT</w:t>
      </w:r>
      <w:r w:rsidR="00B962FA">
        <w:rPr>
          <w:rFonts w:ascii="Times New Roman" w:hAnsi="Times New Roman" w:cs="Times New Roman"/>
          <w:lang w:val="de-DE"/>
        </w:rPr>
        <w:t xml:space="preserve"> </w:t>
      </w:r>
      <w:r w:rsidRPr="009737B5">
        <w:rPr>
          <w:rFonts w:ascii="Times New Roman" w:hAnsi="Times New Roman" w:cs="Times New Roman"/>
          <w:lang w:val="de-DE"/>
        </w:rPr>
        <w:t>+</w:t>
      </w:r>
      <w:r w:rsidR="00B962FA">
        <w:rPr>
          <w:rFonts w:ascii="Times New Roman" w:hAnsi="Times New Roman" w:cs="Times New Roman"/>
          <w:lang w:val="de-DE"/>
        </w:rPr>
        <w:t xml:space="preserve"> </w:t>
      </w:r>
      <w:r w:rsidRPr="009737B5">
        <w:rPr>
          <w:rFonts w:ascii="Times New Roman" w:hAnsi="Times New Roman" w:cs="Times New Roman"/>
          <w:lang w:val="de-DE"/>
        </w:rPr>
        <w:t>BV-Arm. Die HR für PFS war 0,47 (95</w:t>
      </w:r>
      <w:r w:rsidR="00322E40" w:rsidRPr="009737B5">
        <w:rPr>
          <w:rFonts w:ascii="Times New Roman" w:hAnsi="Times New Roman" w:cs="Times New Roman"/>
          <w:lang w:val="de-DE"/>
        </w:rPr>
        <w:t> %</w:t>
      </w:r>
      <w:r w:rsidR="00D07211">
        <w:rPr>
          <w:rFonts w:ascii="Times New Roman" w:hAnsi="Times New Roman" w:cs="Times New Roman"/>
          <w:lang w:val="de-DE"/>
        </w:rPr>
        <w:t> </w:t>
      </w:r>
      <w:r w:rsidRPr="009737B5">
        <w:rPr>
          <w:rFonts w:ascii="Times New Roman" w:hAnsi="Times New Roman" w:cs="Times New Roman"/>
          <w:lang w:val="de-DE"/>
        </w:rPr>
        <w:t>KI: 0,35; 0,62) bzw. 0,45 (95</w:t>
      </w:r>
      <w:r w:rsidR="00322E40" w:rsidRPr="009737B5">
        <w:rPr>
          <w:rFonts w:ascii="Times New Roman" w:hAnsi="Times New Roman" w:cs="Times New Roman"/>
          <w:lang w:val="de-DE"/>
        </w:rPr>
        <w:t> %</w:t>
      </w:r>
      <w:r w:rsidR="00D07211">
        <w:rPr>
          <w:rFonts w:ascii="Times New Roman" w:hAnsi="Times New Roman" w:cs="Times New Roman"/>
          <w:lang w:val="de-DE"/>
        </w:rPr>
        <w:t> </w:t>
      </w:r>
      <w:r w:rsidRPr="009737B5">
        <w:rPr>
          <w:rFonts w:ascii="Times New Roman" w:hAnsi="Times New Roman" w:cs="Times New Roman"/>
          <w:lang w:val="de-DE"/>
        </w:rPr>
        <w:t xml:space="preserve">KI: 0,31; 0,67) für die Subgruppe </w:t>
      </w:r>
      <w:r w:rsidR="00E32D5C" w:rsidRPr="009737B5">
        <w:rPr>
          <w:rFonts w:ascii="Times New Roman" w:hAnsi="Times New Roman" w:cs="Times New Roman"/>
          <w:lang w:val="de-DE"/>
        </w:rPr>
        <w:t>&lt; </w:t>
      </w:r>
      <w:r w:rsidRPr="009737B5">
        <w:rPr>
          <w:rFonts w:ascii="Times New Roman" w:hAnsi="Times New Roman" w:cs="Times New Roman"/>
          <w:lang w:val="de-DE"/>
        </w:rPr>
        <w:t xml:space="preserve">65 bzw. </w:t>
      </w:r>
      <w:r w:rsidR="00E32D5C" w:rsidRPr="009737B5">
        <w:rPr>
          <w:rFonts w:ascii="Times New Roman" w:hAnsi="Times New Roman" w:cs="Times New Roman"/>
          <w:lang w:val="de-DE"/>
        </w:rPr>
        <w:t>≥ </w:t>
      </w:r>
      <w:r w:rsidRPr="009737B5">
        <w:rPr>
          <w:rFonts w:ascii="Times New Roman" w:hAnsi="Times New Roman" w:cs="Times New Roman"/>
          <w:lang w:val="de-DE"/>
        </w:rPr>
        <w:t>65.</w:t>
      </w:r>
    </w:p>
    <w:p w14:paraId="639CC39B" w14:textId="77777777" w:rsidR="009E217E" w:rsidRPr="009737B5" w:rsidRDefault="009E217E" w:rsidP="005F4D08">
      <w:pPr>
        <w:suppressAutoHyphens/>
        <w:spacing w:after="0" w:line="240" w:lineRule="auto"/>
        <w:rPr>
          <w:rFonts w:ascii="Times New Roman" w:hAnsi="Times New Roman" w:cs="Times New Roman"/>
          <w:lang w:val="de-DE"/>
        </w:rPr>
      </w:pPr>
    </w:p>
    <w:p w14:paraId="1008FC02" w14:textId="7B906CDA"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Der primäre Endpunkt war progressionsfreies Überleben, sekundäre Endpunkte schlossen objektive Ansprechrate und Gesamtüberleben ein. Die Ergebnisse sind in Tabelle</w:t>
      </w:r>
      <w:r w:rsidR="000206F4">
        <w:rPr>
          <w:rFonts w:ascii="Times New Roman" w:hAnsi="Times New Roman" w:cs="Times New Roman"/>
          <w:lang w:val="de-DE"/>
        </w:rPr>
        <w:t> </w:t>
      </w:r>
      <w:r w:rsidR="003653AE">
        <w:rPr>
          <w:rFonts w:ascii="Times New Roman" w:hAnsi="Times New Roman" w:cs="Times New Roman"/>
          <w:lang w:val="de-DE"/>
        </w:rPr>
        <w:t>23</w:t>
      </w:r>
      <w:r w:rsidR="003653AE" w:rsidRPr="009737B5">
        <w:rPr>
          <w:rFonts w:ascii="Times New Roman" w:hAnsi="Times New Roman" w:cs="Times New Roman"/>
          <w:lang w:val="de-DE"/>
        </w:rPr>
        <w:t xml:space="preserve"> </w:t>
      </w:r>
      <w:r w:rsidRPr="009737B5">
        <w:rPr>
          <w:rFonts w:ascii="Times New Roman" w:hAnsi="Times New Roman" w:cs="Times New Roman"/>
          <w:lang w:val="de-DE"/>
        </w:rPr>
        <w:t>dargestellt.</w:t>
      </w:r>
    </w:p>
    <w:p w14:paraId="43B8A561" w14:textId="77777777" w:rsidR="00010E8C" w:rsidRPr="009737B5" w:rsidRDefault="00010E8C" w:rsidP="005F4D08">
      <w:pPr>
        <w:suppressAutoHyphens/>
        <w:spacing w:after="0" w:line="240" w:lineRule="auto"/>
        <w:rPr>
          <w:rFonts w:ascii="Times New Roman" w:hAnsi="Times New Roman" w:cs="Times New Roman"/>
          <w:lang w:val="de-DE"/>
        </w:rPr>
      </w:pPr>
    </w:p>
    <w:p w14:paraId="1DAD4D1D" w14:textId="364C60E9" w:rsidR="00010E8C" w:rsidRPr="009737B5" w:rsidRDefault="00010E8C">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0206F4">
        <w:rPr>
          <w:rFonts w:ascii="Times New Roman" w:hAnsi="Times New Roman" w:cs="Times New Roman"/>
          <w:b/>
          <w:lang w:val="de-DE"/>
        </w:rPr>
        <w:t> </w:t>
      </w:r>
      <w:r w:rsidR="003653AE">
        <w:rPr>
          <w:rFonts w:ascii="Times New Roman" w:hAnsi="Times New Roman" w:cs="Times New Roman"/>
          <w:b/>
          <w:lang w:val="de-DE"/>
        </w:rPr>
        <w:t>23</w:t>
      </w:r>
      <w:r w:rsidR="008574AB" w:rsidRPr="009737B5">
        <w:rPr>
          <w:rFonts w:ascii="Times New Roman" w:hAnsi="Times New Roman" w:cs="Times New Roman"/>
          <w:b/>
          <w:lang w:val="de-DE"/>
        </w:rPr>
        <w:t>.</w:t>
      </w:r>
      <w:r w:rsidRPr="009737B5">
        <w:rPr>
          <w:rFonts w:ascii="Times New Roman" w:hAnsi="Times New Roman" w:cs="Times New Roman"/>
          <w:b/>
          <w:lang w:val="de-DE"/>
        </w:rPr>
        <w:t xml:space="preserve"> Wirksamkeitsergebnisse aus der Studie</w:t>
      </w:r>
      <w:r w:rsidR="00D07211">
        <w:rPr>
          <w:rFonts w:ascii="Times New Roman" w:hAnsi="Times New Roman" w:cs="Times New Roman"/>
          <w:b/>
          <w:lang w:val="de-DE"/>
        </w:rPr>
        <w:t> </w:t>
      </w:r>
      <w:r w:rsidRPr="009737B5">
        <w:rPr>
          <w:rFonts w:ascii="Times New Roman" w:hAnsi="Times New Roman" w:cs="Times New Roman"/>
          <w:b/>
          <w:lang w:val="de-DE"/>
        </w:rPr>
        <w:t>MO22224</w:t>
      </w:r>
    </w:p>
    <w:p w14:paraId="1C7400F8" w14:textId="77777777" w:rsidR="00010E8C" w:rsidRPr="009737B5" w:rsidRDefault="00010E8C">
      <w:pPr>
        <w:keepNext/>
        <w:suppressAutoHyphens/>
        <w:spacing w:after="0" w:line="240" w:lineRule="auto"/>
        <w:rPr>
          <w:rFonts w:ascii="Times New Roman" w:hAnsi="Times New Roman" w:cs="Times New Roman"/>
          <w:lang w:val="de-DE"/>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7" w:type="dxa"/>
          <w:right w:w="115" w:type="dxa"/>
        </w:tblCellMar>
        <w:tblLook w:val="04A0" w:firstRow="1" w:lastRow="0" w:firstColumn="1" w:lastColumn="0" w:noHBand="0" w:noVBand="1"/>
      </w:tblPr>
      <w:tblGrid>
        <w:gridCol w:w="4500"/>
        <w:gridCol w:w="2093"/>
        <w:gridCol w:w="2196"/>
      </w:tblGrid>
      <w:tr w:rsidR="00411E9D" w:rsidRPr="00402720" w14:paraId="5E025D22" w14:textId="77777777" w:rsidTr="005B6ABF">
        <w:trPr>
          <w:trHeight w:val="20"/>
        </w:trPr>
        <w:tc>
          <w:tcPr>
            <w:tcW w:w="8789" w:type="dxa"/>
            <w:gridSpan w:val="3"/>
          </w:tcPr>
          <w:p w14:paraId="2955DCBF" w14:textId="77777777" w:rsidR="00411E9D" w:rsidRPr="00402720" w:rsidRDefault="009E217E" w:rsidP="001F459A">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Primärer Endpunkt</w:t>
            </w:r>
          </w:p>
        </w:tc>
      </w:tr>
      <w:tr w:rsidR="00411E9D" w:rsidRPr="00402720" w14:paraId="0D032D3A" w14:textId="77777777" w:rsidTr="005B6ABF">
        <w:trPr>
          <w:trHeight w:val="20"/>
        </w:trPr>
        <w:tc>
          <w:tcPr>
            <w:tcW w:w="8789" w:type="dxa"/>
            <w:gridSpan w:val="3"/>
          </w:tcPr>
          <w:p w14:paraId="1BBBC1B6" w14:textId="77777777" w:rsidR="00411E9D" w:rsidRPr="00402720" w:rsidRDefault="00411E9D" w:rsidP="001F459A">
            <w:pPr>
              <w:spacing w:after="0" w:line="240" w:lineRule="auto"/>
              <w:rPr>
                <w:rFonts w:ascii="Times New Roman" w:hAnsi="Times New Roman" w:cs="Times New Roman"/>
                <w:lang w:val="de-DE"/>
              </w:rPr>
            </w:pPr>
            <w:r w:rsidRPr="00402720">
              <w:rPr>
                <w:rFonts w:ascii="Times New Roman" w:hAnsi="Times New Roman" w:cs="Times New Roman"/>
                <w:lang w:val="de-DE"/>
              </w:rPr>
              <w:t>Progressionsfreies Überleben*</w:t>
            </w:r>
          </w:p>
        </w:tc>
      </w:tr>
      <w:tr w:rsidR="00411E9D" w:rsidRPr="00402720" w14:paraId="02EE6BBD" w14:textId="77777777" w:rsidTr="005B6ABF">
        <w:trPr>
          <w:trHeight w:val="20"/>
        </w:trPr>
        <w:tc>
          <w:tcPr>
            <w:tcW w:w="4500" w:type="dxa"/>
          </w:tcPr>
          <w:p w14:paraId="4DEAAFD5" w14:textId="77777777" w:rsidR="00411E9D" w:rsidRPr="00402720" w:rsidRDefault="00411E9D" w:rsidP="001F459A">
            <w:pPr>
              <w:spacing w:after="0" w:line="240" w:lineRule="auto"/>
              <w:rPr>
                <w:rFonts w:ascii="Times New Roman" w:hAnsi="Times New Roman" w:cs="Times New Roman"/>
                <w:lang w:val="de-DE"/>
              </w:rPr>
            </w:pPr>
          </w:p>
        </w:tc>
        <w:tc>
          <w:tcPr>
            <w:tcW w:w="2093" w:type="dxa"/>
          </w:tcPr>
          <w:p w14:paraId="3F686D33" w14:textId="77777777" w:rsidR="00411E9D" w:rsidRPr="00402720" w:rsidRDefault="00411E9D" w:rsidP="001F459A">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CT</w:t>
            </w:r>
          </w:p>
          <w:p w14:paraId="243209CE" w14:textId="77777777" w:rsidR="00411E9D" w:rsidRPr="00402720" w:rsidRDefault="00411E9D" w:rsidP="001F459A">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182)</w:t>
            </w:r>
          </w:p>
        </w:tc>
        <w:tc>
          <w:tcPr>
            <w:tcW w:w="2196" w:type="dxa"/>
          </w:tcPr>
          <w:p w14:paraId="2EAEFA3B" w14:textId="77777777" w:rsidR="00411E9D" w:rsidRPr="00402720" w:rsidRDefault="00411E9D" w:rsidP="001F459A">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CT</w:t>
            </w:r>
            <w:r w:rsidR="00100BAB" w:rsidRPr="00402720">
              <w:rPr>
                <w:rFonts w:ascii="Times New Roman" w:hAnsi="Times New Roman" w:cs="Times New Roman"/>
                <w:lang w:val="de-DE"/>
              </w:rPr>
              <w:t xml:space="preserve"> </w:t>
            </w:r>
            <w:r w:rsidRPr="00402720">
              <w:rPr>
                <w:rFonts w:ascii="Times New Roman" w:hAnsi="Times New Roman" w:cs="Times New Roman"/>
                <w:lang w:val="de-DE"/>
              </w:rPr>
              <w:t>+</w:t>
            </w:r>
            <w:r w:rsidR="00100BAB" w:rsidRPr="00402720">
              <w:rPr>
                <w:rFonts w:ascii="Times New Roman" w:hAnsi="Times New Roman" w:cs="Times New Roman"/>
                <w:lang w:val="de-DE"/>
              </w:rPr>
              <w:t xml:space="preserve"> </w:t>
            </w:r>
            <w:r w:rsidRPr="00402720">
              <w:rPr>
                <w:rFonts w:ascii="Times New Roman" w:hAnsi="Times New Roman" w:cs="Times New Roman"/>
                <w:lang w:val="de-DE"/>
              </w:rPr>
              <w:t>BV</w:t>
            </w:r>
          </w:p>
          <w:p w14:paraId="09C26D79" w14:textId="77777777" w:rsidR="00411E9D" w:rsidRPr="00402720" w:rsidRDefault="00411E9D" w:rsidP="001F459A">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179)</w:t>
            </w:r>
          </w:p>
        </w:tc>
      </w:tr>
      <w:tr w:rsidR="00411E9D" w:rsidRPr="00402720" w14:paraId="759F4F54" w14:textId="77777777" w:rsidTr="005B6ABF">
        <w:trPr>
          <w:trHeight w:val="20"/>
        </w:trPr>
        <w:tc>
          <w:tcPr>
            <w:tcW w:w="4500" w:type="dxa"/>
          </w:tcPr>
          <w:p w14:paraId="0FA7EEA8" w14:textId="77777777" w:rsidR="00411E9D" w:rsidRPr="00402720" w:rsidRDefault="00411E9D" w:rsidP="001F459A">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 (Monate)</w:t>
            </w:r>
          </w:p>
        </w:tc>
        <w:tc>
          <w:tcPr>
            <w:tcW w:w="2093" w:type="dxa"/>
          </w:tcPr>
          <w:p w14:paraId="387B50F7" w14:textId="77777777" w:rsidR="00411E9D" w:rsidRPr="00402720" w:rsidRDefault="00411E9D" w:rsidP="001F459A">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3,4</w:t>
            </w:r>
          </w:p>
        </w:tc>
        <w:tc>
          <w:tcPr>
            <w:tcW w:w="2196" w:type="dxa"/>
          </w:tcPr>
          <w:p w14:paraId="6DDDEB78" w14:textId="77777777" w:rsidR="00411E9D" w:rsidRPr="00402720" w:rsidRDefault="00411E9D" w:rsidP="001F459A">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6,7</w:t>
            </w:r>
          </w:p>
        </w:tc>
      </w:tr>
      <w:tr w:rsidR="00411E9D" w:rsidRPr="00402720" w14:paraId="6B512649" w14:textId="77777777" w:rsidTr="005B6ABF">
        <w:trPr>
          <w:trHeight w:val="20"/>
        </w:trPr>
        <w:tc>
          <w:tcPr>
            <w:tcW w:w="4500" w:type="dxa"/>
          </w:tcPr>
          <w:p w14:paraId="7BB349B7" w14:textId="37633AFA" w:rsidR="00411E9D" w:rsidRPr="00402720" w:rsidRDefault="00411E9D" w:rsidP="001F459A">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w:t>
            </w:r>
            <w:r w:rsidR="009E217E" w:rsidRPr="00402720">
              <w:rPr>
                <w:rFonts w:ascii="Times New Roman" w:hAnsi="Times New Roman" w:cs="Times New Roman"/>
                <w:lang w:val="de-DE"/>
              </w:rPr>
              <w:t xml:space="preserve"> </w:t>
            </w:r>
            <w:r w:rsidRPr="00402720">
              <w:rPr>
                <w:rFonts w:ascii="Times New Roman" w:hAnsi="Times New Roman" w:cs="Times New Roman"/>
                <w:lang w:val="de-DE"/>
              </w:rPr>
              <w:t>(95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004B7EB5" w:rsidRPr="00402720">
              <w:rPr>
                <w:rFonts w:ascii="Times New Roman" w:hAnsi="Times New Roman" w:cs="Times New Roman"/>
                <w:lang w:val="de-DE"/>
              </w:rPr>
              <w:t>KI)</w:t>
            </w:r>
          </w:p>
        </w:tc>
        <w:tc>
          <w:tcPr>
            <w:tcW w:w="4289" w:type="dxa"/>
            <w:gridSpan w:val="2"/>
          </w:tcPr>
          <w:p w14:paraId="281FE998" w14:textId="77777777" w:rsidR="00411E9D" w:rsidRPr="00402720" w:rsidRDefault="00411E9D" w:rsidP="001F459A">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0,379 [0,296; 0,485]</w:t>
            </w:r>
          </w:p>
        </w:tc>
      </w:tr>
      <w:tr w:rsidR="00411E9D" w:rsidRPr="00402720" w14:paraId="697D3BA9" w14:textId="77777777" w:rsidTr="005B6ABF">
        <w:trPr>
          <w:trHeight w:val="20"/>
        </w:trPr>
        <w:tc>
          <w:tcPr>
            <w:tcW w:w="4500" w:type="dxa"/>
          </w:tcPr>
          <w:p w14:paraId="2336B5F5" w14:textId="77777777" w:rsidR="00411E9D" w:rsidRPr="00402720" w:rsidRDefault="00411E9D" w:rsidP="001F459A">
            <w:pPr>
              <w:spacing w:after="0" w:line="240" w:lineRule="auto"/>
              <w:ind w:left="567"/>
              <w:rPr>
                <w:rFonts w:ascii="Times New Roman" w:hAnsi="Times New Roman" w:cs="Times New Roman"/>
                <w:lang w:val="de-DE"/>
              </w:rPr>
            </w:pPr>
            <w:r w:rsidRPr="00402720">
              <w:rPr>
                <w:rFonts w:ascii="Times New Roman" w:hAnsi="Times New Roman" w:cs="Times New Roman"/>
                <w:lang w:val="de-DE"/>
              </w:rPr>
              <w:t>p-Wert</w:t>
            </w:r>
          </w:p>
        </w:tc>
        <w:tc>
          <w:tcPr>
            <w:tcW w:w="4289" w:type="dxa"/>
            <w:gridSpan w:val="2"/>
          </w:tcPr>
          <w:p w14:paraId="04EF402A" w14:textId="77777777" w:rsidR="00411E9D" w:rsidRPr="00402720" w:rsidRDefault="00E32D5C" w:rsidP="001F459A">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&lt;</w:t>
            </w:r>
            <w:r w:rsidR="00486888" w:rsidRPr="00402720">
              <w:rPr>
                <w:rFonts w:ascii="Times New Roman" w:hAnsi="Times New Roman" w:cs="Times New Roman"/>
                <w:lang w:val="de-DE"/>
              </w:rPr>
              <w:t xml:space="preserve"> </w:t>
            </w:r>
            <w:r w:rsidR="00411E9D" w:rsidRPr="00402720">
              <w:rPr>
                <w:rFonts w:ascii="Times New Roman" w:hAnsi="Times New Roman" w:cs="Times New Roman"/>
                <w:lang w:val="de-DE"/>
              </w:rPr>
              <w:t>0,0001</w:t>
            </w:r>
          </w:p>
        </w:tc>
      </w:tr>
      <w:tr w:rsidR="00411E9D" w:rsidRPr="00402720" w14:paraId="7178A4F7" w14:textId="77777777" w:rsidTr="005B6ABF">
        <w:trPr>
          <w:trHeight w:val="20"/>
        </w:trPr>
        <w:tc>
          <w:tcPr>
            <w:tcW w:w="8789" w:type="dxa"/>
            <w:gridSpan w:val="3"/>
          </w:tcPr>
          <w:p w14:paraId="0466A946" w14:textId="77777777" w:rsidR="00411E9D" w:rsidRPr="00402720" w:rsidRDefault="009E217E" w:rsidP="00C6668F">
            <w:pPr>
              <w:keepNext/>
              <w:suppressAutoHyphens/>
              <w:spacing w:after="0" w:line="240" w:lineRule="auto"/>
              <w:jc w:val="center"/>
              <w:rPr>
                <w:rFonts w:ascii="Times New Roman" w:hAnsi="Times New Roman" w:cs="Times New Roman"/>
                <w:lang w:val="de-DE"/>
              </w:rPr>
            </w:pPr>
            <w:r w:rsidRPr="00402720">
              <w:rPr>
                <w:rFonts w:ascii="Times New Roman" w:hAnsi="Times New Roman" w:cs="Times New Roman"/>
                <w:lang w:val="de-DE"/>
              </w:rPr>
              <w:lastRenderedPageBreak/>
              <w:t>Sekundäre Endpunkte</w:t>
            </w:r>
          </w:p>
        </w:tc>
      </w:tr>
      <w:tr w:rsidR="00411E9D" w:rsidRPr="00402720" w14:paraId="698FAC20" w14:textId="77777777" w:rsidTr="005B6ABF">
        <w:trPr>
          <w:trHeight w:val="20"/>
        </w:trPr>
        <w:tc>
          <w:tcPr>
            <w:tcW w:w="8789" w:type="dxa"/>
            <w:gridSpan w:val="3"/>
          </w:tcPr>
          <w:p w14:paraId="3C5D7CF6" w14:textId="77777777" w:rsidR="00411E9D" w:rsidRPr="00402720" w:rsidRDefault="009E217E" w:rsidP="00C6668F">
            <w:pPr>
              <w:keepNext/>
              <w:suppressAutoHyphens/>
              <w:spacing w:after="0" w:line="240" w:lineRule="auto"/>
              <w:rPr>
                <w:rFonts w:ascii="Times New Roman" w:hAnsi="Times New Roman" w:cs="Times New Roman"/>
                <w:lang w:val="de-DE"/>
              </w:rPr>
            </w:pPr>
            <w:r w:rsidRPr="00402720">
              <w:rPr>
                <w:rFonts w:ascii="Times New Roman" w:hAnsi="Times New Roman" w:cs="Times New Roman"/>
                <w:lang w:val="de-DE"/>
              </w:rPr>
              <w:t>Objektive Ansprechrate**</w:t>
            </w:r>
          </w:p>
        </w:tc>
      </w:tr>
      <w:tr w:rsidR="00411E9D" w:rsidRPr="00402720" w14:paraId="5B09F8D9" w14:textId="77777777" w:rsidTr="005B6ABF">
        <w:trPr>
          <w:trHeight w:val="20"/>
        </w:trPr>
        <w:tc>
          <w:tcPr>
            <w:tcW w:w="4500" w:type="dxa"/>
            <w:vAlign w:val="center"/>
          </w:tcPr>
          <w:p w14:paraId="47CB41C2" w14:textId="77777777" w:rsidR="00411E9D" w:rsidRPr="00402720" w:rsidRDefault="00411E9D" w:rsidP="00C6668F">
            <w:pPr>
              <w:keepNext/>
              <w:suppressAutoHyphens/>
              <w:spacing w:after="0" w:line="240" w:lineRule="auto"/>
              <w:rPr>
                <w:rFonts w:ascii="Times New Roman" w:hAnsi="Times New Roman" w:cs="Times New Roman"/>
                <w:lang w:val="de-DE"/>
              </w:rPr>
            </w:pPr>
          </w:p>
        </w:tc>
        <w:tc>
          <w:tcPr>
            <w:tcW w:w="2093" w:type="dxa"/>
          </w:tcPr>
          <w:p w14:paraId="5BA68C29" w14:textId="77777777" w:rsidR="00411E9D" w:rsidRPr="00402720" w:rsidRDefault="00411E9D" w:rsidP="001F459A">
            <w:pPr>
              <w:suppressAutoHyphens/>
              <w:spacing w:after="0" w:line="240" w:lineRule="auto"/>
              <w:jc w:val="center"/>
              <w:rPr>
                <w:rFonts w:ascii="Times New Roman" w:hAnsi="Times New Roman" w:cs="Times New Roman"/>
                <w:lang w:val="de-DE"/>
              </w:rPr>
            </w:pPr>
            <w:r w:rsidRPr="00402720">
              <w:rPr>
                <w:rFonts w:ascii="Times New Roman" w:hAnsi="Times New Roman" w:cs="Times New Roman"/>
                <w:lang w:val="de-DE"/>
              </w:rPr>
              <w:t>CT</w:t>
            </w:r>
          </w:p>
          <w:p w14:paraId="1F5BF530" w14:textId="77777777" w:rsidR="00411E9D" w:rsidRPr="00402720" w:rsidRDefault="00411E9D" w:rsidP="001F459A">
            <w:pPr>
              <w:suppressAutoHyphens/>
              <w:spacing w:after="0" w:line="240" w:lineRule="auto"/>
              <w:jc w:val="center"/>
              <w:rPr>
                <w:rFonts w:ascii="Times New Roman" w:hAnsi="Times New Roman" w:cs="Times New Roman"/>
                <w:lang w:val="de-DE"/>
              </w:rPr>
            </w:pPr>
            <w:r w:rsidRPr="00402720">
              <w:rPr>
                <w:rFonts w:ascii="Times New Roman" w:hAnsi="Times New Roman" w:cs="Times New Roman"/>
                <w:lang w:val="de-DE"/>
              </w:rPr>
              <w:t>(n = 144)</w:t>
            </w:r>
          </w:p>
        </w:tc>
        <w:tc>
          <w:tcPr>
            <w:tcW w:w="2196" w:type="dxa"/>
          </w:tcPr>
          <w:p w14:paraId="25D9E252" w14:textId="77777777" w:rsidR="00411E9D" w:rsidRPr="00402720" w:rsidRDefault="00411E9D" w:rsidP="001F459A">
            <w:pPr>
              <w:suppressAutoHyphens/>
              <w:spacing w:after="0" w:line="240" w:lineRule="auto"/>
              <w:jc w:val="center"/>
              <w:rPr>
                <w:rFonts w:ascii="Times New Roman" w:hAnsi="Times New Roman" w:cs="Times New Roman"/>
                <w:lang w:val="de-DE"/>
              </w:rPr>
            </w:pPr>
            <w:r w:rsidRPr="00402720">
              <w:rPr>
                <w:rFonts w:ascii="Times New Roman" w:hAnsi="Times New Roman" w:cs="Times New Roman"/>
                <w:lang w:val="de-DE"/>
              </w:rPr>
              <w:t>CT</w:t>
            </w:r>
            <w:r w:rsidR="00100BAB" w:rsidRPr="00402720">
              <w:rPr>
                <w:rFonts w:ascii="Times New Roman" w:hAnsi="Times New Roman" w:cs="Times New Roman"/>
                <w:lang w:val="de-DE"/>
              </w:rPr>
              <w:t xml:space="preserve"> </w:t>
            </w:r>
            <w:r w:rsidRPr="00402720">
              <w:rPr>
                <w:rFonts w:ascii="Times New Roman" w:hAnsi="Times New Roman" w:cs="Times New Roman"/>
                <w:lang w:val="de-DE"/>
              </w:rPr>
              <w:t>+</w:t>
            </w:r>
            <w:r w:rsidR="00100BAB" w:rsidRPr="00402720">
              <w:rPr>
                <w:rFonts w:ascii="Times New Roman" w:hAnsi="Times New Roman" w:cs="Times New Roman"/>
                <w:lang w:val="de-DE"/>
              </w:rPr>
              <w:t xml:space="preserve"> </w:t>
            </w:r>
            <w:r w:rsidRPr="00402720">
              <w:rPr>
                <w:rFonts w:ascii="Times New Roman" w:hAnsi="Times New Roman" w:cs="Times New Roman"/>
                <w:lang w:val="de-DE"/>
              </w:rPr>
              <w:t>BV</w:t>
            </w:r>
          </w:p>
          <w:p w14:paraId="32CC19E3" w14:textId="77777777" w:rsidR="00411E9D" w:rsidRPr="00402720" w:rsidRDefault="00411E9D" w:rsidP="001F459A">
            <w:pPr>
              <w:suppressAutoHyphens/>
              <w:spacing w:after="0" w:line="240" w:lineRule="auto"/>
              <w:jc w:val="center"/>
              <w:rPr>
                <w:rFonts w:ascii="Times New Roman" w:hAnsi="Times New Roman" w:cs="Times New Roman"/>
                <w:lang w:val="de-DE"/>
              </w:rPr>
            </w:pPr>
            <w:r w:rsidRPr="00402720">
              <w:rPr>
                <w:rFonts w:ascii="Times New Roman" w:hAnsi="Times New Roman" w:cs="Times New Roman"/>
                <w:lang w:val="de-DE"/>
              </w:rPr>
              <w:t>(n = 142)</w:t>
            </w:r>
          </w:p>
        </w:tc>
      </w:tr>
      <w:tr w:rsidR="00411E9D" w:rsidRPr="00402720" w14:paraId="3F9694AF" w14:textId="77777777" w:rsidTr="005B6ABF">
        <w:trPr>
          <w:trHeight w:val="20"/>
        </w:trPr>
        <w:tc>
          <w:tcPr>
            <w:tcW w:w="4500" w:type="dxa"/>
          </w:tcPr>
          <w:p w14:paraId="289C7F70" w14:textId="77777777" w:rsidR="00411E9D" w:rsidRPr="00402720" w:rsidRDefault="00411E9D" w:rsidP="00C6668F">
            <w:pPr>
              <w:keepNext/>
              <w:suppressAutoHyphens/>
              <w:spacing w:after="0" w:line="240" w:lineRule="auto"/>
              <w:ind w:left="567" w:hanging="567"/>
              <w:rPr>
                <w:rFonts w:ascii="Times New Roman" w:hAnsi="Times New Roman" w:cs="Times New Roman"/>
                <w:lang w:val="de-DE"/>
              </w:rPr>
            </w:pPr>
            <w:r w:rsidRPr="00402720">
              <w:rPr>
                <w:rFonts w:ascii="Times New Roman" w:hAnsi="Times New Roman" w:cs="Times New Roman"/>
                <w:lang w:val="de-DE"/>
              </w:rPr>
              <w:t xml:space="preserve">Patienten mit objektivem Ansprechen </w:t>
            </w:r>
          </w:p>
        </w:tc>
        <w:tc>
          <w:tcPr>
            <w:tcW w:w="2093" w:type="dxa"/>
          </w:tcPr>
          <w:p w14:paraId="16D1C707" w14:textId="77777777" w:rsidR="00411E9D" w:rsidRPr="00402720" w:rsidRDefault="00411E9D" w:rsidP="001F459A">
            <w:pPr>
              <w:suppressAutoHyphens/>
              <w:spacing w:after="0" w:line="240" w:lineRule="auto"/>
              <w:jc w:val="center"/>
              <w:rPr>
                <w:rFonts w:ascii="Times New Roman" w:hAnsi="Times New Roman" w:cs="Times New Roman"/>
                <w:lang w:val="de-DE"/>
              </w:rPr>
            </w:pPr>
            <w:r w:rsidRPr="00402720">
              <w:rPr>
                <w:rFonts w:ascii="Times New Roman" w:hAnsi="Times New Roman" w:cs="Times New Roman"/>
                <w:lang w:val="de-DE"/>
              </w:rPr>
              <w:t>18 (12,5</w:t>
            </w:r>
            <w:r w:rsidR="00486888"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r w:rsidRPr="00402720">
              <w:rPr>
                <w:rFonts w:ascii="Times New Roman" w:hAnsi="Times New Roman" w:cs="Times New Roman"/>
                <w:lang w:val="de-DE"/>
              </w:rPr>
              <w:t>)</w:t>
            </w:r>
          </w:p>
        </w:tc>
        <w:tc>
          <w:tcPr>
            <w:tcW w:w="2196" w:type="dxa"/>
          </w:tcPr>
          <w:p w14:paraId="08CD1B22" w14:textId="77777777" w:rsidR="00411E9D" w:rsidRPr="00402720" w:rsidRDefault="00411E9D" w:rsidP="001F459A">
            <w:pPr>
              <w:suppressAutoHyphens/>
              <w:spacing w:after="0" w:line="240" w:lineRule="auto"/>
              <w:jc w:val="center"/>
              <w:rPr>
                <w:rFonts w:ascii="Times New Roman" w:hAnsi="Times New Roman" w:cs="Times New Roman"/>
                <w:lang w:val="de-DE"/>
              </w:rPr>
            </w:pPr>
            <w:r w:rsidRPr="00402720">
              <w:rPr>
                <w:rFonts w:ascii="Times New Roman" w:hAnsi="Times New Roman" w:cs="Times New Roman"/>
                <w:lang w:val="de-DE"/>
              </w:rPr>
              <w:t>40 (28,2</w:t>
            </w:r>
            <w:r w:rsidR="00486888"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r w:rsidRPr="00402720">
              <w:rPr>
                <w:rFonts w:ascii="Times New Roman" w:hAnsi="Times New Roman" w:cs="Times New Roman"/>
                <w:lang w:val="de-DE"/>
              </w:rPr>
              <w:t>)</w:t>
            </w:r>
          </w:p>
        </w:tc>
      </w:tr>
      <w:tr w:rsidR="00411E9D" w:rsidRPr="00402720" w14:paraId="3B5E311D" w14:textId="77777777" w:rsidTr="005B6ABF">
        <w:trPr>
          <w:trHeight w:val="20"/>
        </w:trPr>
        <w:tc>
          <w:tcPr>
            <w:tcW w:w="4500" w:type="dxa"/>
          </w:tcPr>
          <w:p w14:paraId="0ED2D34C" w14:textId="77777777" w:rsidR="00411E9D" w:rsidRPr="00402720" w:rsidRDefault="00411E9D" w:rsidP="00C6668F">
            <w:pPr>
              <w:keepNext/>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p-Wert </w:t>
            </w:r>
          </w:p>
        </w:tc>
        <w:tc>
          <w:tcPr>
            <w:tcW w:w="4289" w:type="dxa"/>
            <w:gridSpan w:val="2"/>
          </w:tcPr>
          <w:p w14:paraId="4900B64B" w14:textId="77777777" w:rsidR="00411E9D" w:rsidRPr="00402720" w:rsidRDefault="00411E9D" w:rsidP="001F459A">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0,0007</w:t>
            </w:r>
          </w:p>
        </w:tc>
      </w:tr>
      <w:tr w:rsidR="00511E21" w:rsidRPr="00402720" w14:paraId="34D38CF1" w14:textId="77777777" w:rsidTr="00C84577">
        <w:trPr>
          <w:trHeight w:val="20"/>
        </w:trPr>
        <w:tc>
          <w:tcPr>
            <w:tcW w:w="4500" w:type="dxa"/>
          </w:tcPr>
          <w:p w14:paraId="69F4E446" w14:textId="77777777" w:rsidR="00511E21" w:rsidRPr="00402720" w:rsidRDefault="00511E21" w:rsidP="000B6CC4">
            <w:pPr>
              <w:keepNext/>
              <w:spacing w:after="0" w:line="240" w:lineRule="auto"/>
              <w:rPr>
                <w:rFonts w:ascii="Times New Roman" w:hAnsi="Times New Roman" w:cs="Times New Roman"/>
                <w:lang w:val="de-DE"/>
              </w:rPr>
            </w:pPr>
            <w:r w:rsidRPr="00402720">
              <w:rPr>
                <w:rFonts w:ascii="Times New Roman" w:hAnsi="Times New Roman" w:cs="Times New Roman"/>
                <w:lang w:val="de-DE"/>
              </w:rPr>
              <w:t>Gesamtüberleben (OS) (finale Analyse)***</w:t>
            </w:r>
          </w:p>
        </w:tc>
        <w:tc>
          <w:tcPr>
            <w:tcW w:w="4289" w:type="dxa"/>
            <w:gridSpan w:val="2"/>
          </w:tcPr>
          <w:p w14:paraId="278F0585" w14:textId="7324E868" w:rsidR="00511E21" w:rsidRPr="00402720" w:rsidRDefault="00511E21" w:rsidP="000B6CC4">
            <w:pPr>
              <w:keepNext/>
              <w:spacing w:after="0" w:line="240" w:lineRule="auto"/>
              <w:rPr>
                <w:rFonts w:ascii="Times New Roman" w:hAnsi="Times New Roman" w:cs="Times New Roman"/>
                <w:lang w:val="de-DE"/>
              </w:rPr>
            </w:pPr>
          </w:p>
        </w:tc>
      </w:tr>
      <w:tr w:rsidR="00411E9D" w:rsidRPr="00402720" w14:paraId="547F23F9" w14:textId="77777777" w:rsidTr="005B6ABF">
        <w:trPr>
          <w:trHeight w:val="20"/>
        </w:trPr>
        <w:tc>
          <w:tcPr>
            <w:tcW w:w="4500" w:type="dxa"/>
          </w:tcPr>
          <w:p w14:paraId="32D2DA49" w14:textId="77777777" w:rsidR="00411E9D" w:rsidRPr="00402720" w:rsidRDefault="00411E9D" w:rsidP="000B6CC4">
            <w:pPr>
              <w:keepNext/>
              <w:spacing w:after="0" w:line="240" w:lineRule="auto"/>
              <w:rPr>
                <w:rFonts w:ascii="Times New Roman" w:hAnsi="Times New Roman" w:cs="Times New Roman"/>
                <w:lang w:val="de-DE"/>
              </w:rPr>
            </w:pPr>
          </w:p>
        </w:tc>
        <w:tc>
          <w:tcPr>
            <w:tcW w:w="2093" w:type="dxa"/>
          </w:tcPr>
          <w:p w14:paraId="5E0CE91A" w14:textId="77777777" w:rsidR="00411E9D" w:rsidRPr="00402720" w:rsidRDefault="00411E9D"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CT</w:t>
            </w:r>
          </w:p>
          <w:p w14:paraId="30576855" w14:textId="77777777" w:rsidR="00411E9D" w:rsidRPr="00402720" w:rsidRDefault="00411E9D"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182)</w:t>
            </w:r>
          </w:p>
        </w:tc>
        <w:tc>
          <w:tcPr>
            <w:tcW w:w="2196" w:type="dxa"/>
          </w:tcPr>
          <w:p w14:paraId="244A4F36" w14:textId="523754C1" w:rsidR="00411E9D" w:rsidRPr="00402720" w:rsidRDefault="00411E9D"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CT</w:t>
            </w:r>
            <w:r w:rsidR="00797D9D" w:rsidRPr="00402720">
              <w:rPr>
                <w:rFonts w:ascii="Times New Roman" w:hAnsi="Times New Roman" w:cs="Times New Roman"/>
                <w:lang w:val="de-DE"/>
              </w:rPr>
              <w:t xml:space="preserve"> </w:t>
            </w:r>
            <w:r w:rsidRPr="00402720">
              <w:rPr>
                <w:rFonts w:ascii="Times New Roman" w:hAnsi="Times New Roman" w:cs="Times New Roman"/>
                <w:lang w:val="de-DE"/>
              </w:rPr>
              <w:t>+</w:t>
            </w:r>
            <w:r w:rsidR="00797D9D" w:rsidRPr="00402720">
              <w:rPr>
                <w:rFonts w:ascii="Times New Roman" w:hAnsi="Times New Roman" w:cs="Times New Roman"/>
                <w:lang w:val="de-DE"/>
              </w:rPr>
              <w:t xml:space="preserve"> </w:t>
            </w:r>
            <w:r w:rsidRPr="00402720">
              <w:rPr>
                <w:rFonts w:ascii="Times New Roman" w:hAnsi="Times New Roman" w:cs="Times New Roman"/>
                <w:lang w:val="de-DE"/>
              </w:rPr>
              <w:t>BV</w:t>
            </w:r>
          </w:p>
          <w:p w14:paraId="51CD8549" w14:textId="77777777" w:rsidR="00411E9D" w:rsidRPr="00402720" w:rsidRDefault="00411E9D" w:rsidP="000B6CC4">
            <w:pPr>
              <w:keepNext/>
              <w:spacing w:after="0" w:line="240" w:lineRule="auto"/>
              <w:jc w:val="center"/>
              <w:rPr>
                <w:rFonts w:ascii="Times New Roman" w:hAnsi="Times New Roman" w:cs="Times New Roman"/>
                <w:lang w:val="de-DE"/>
              </w:rPr>
            </w:pPr>
            <w:r w:rsidRPr="00402720">
              <w:rPr>
                <w:rFonts w:ascii="Times New Roman" w:hAnsi="Times New Roman" w:cs="Times New Roman"/>
                <w:lang w:val="de-DE"/>
              </w:rPr>
              <w:t>(n = 179)</w:t>
            </w:r>
          </w:p>
        </w:tc>
      </w:tr>
      <w:tr w:rsidR="00411E9D" w:rsidRPr="00402720" w14:paraId="73DC683D" w14:textId="77777777" w:rsidTr="005B6ABF">
        <w:trPr>
          <w:trHeight w:val="20"/>
        </w:trPr>
        <w:tc>
          <w:tcPr>
            <w:tcW w:w="4500" w:type="dxa"/>
          </w:tcPr>
          <w:p w14:paraId="2C93FB39" w14:textId="77777777" w:rsidR="00411E9D" w:rsidRPr="00402720" w:rsidRDefault="00411E9D" w:rsidP="009F363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 xml:space="preserve">Medianes OS (Monate) </w:t>
            </w:r>
          </w:p>
        </w:tc>
        <w:tc>
          <w:tcPr>
            <w:tcW w:w="2093" w:type="dxa"/>
          </w:tcPr>
          <w:p w14:paraId="44198589" w14:textId="77777777" w:rsidR="00411E9D" w:rsidRPr="00402720" w:rsidRDefault="00411E9D" w:rsidP="009F363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13,3</w:t>
            </w:r>
          </w:p>
        </w:tc>
        <w:tc>
          <w:tcPr>
            <w:tcW w:w="2196" w:type="dxa"/>
          </w:tcPr>
          <w:p w14:paraId="2224ABB8" w14:textId="77777777" w:rsidR="00411E9D" w:rsidRPr="00402720" w:rsidRDefault="00411E9D" w:rsidP="009F363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16,6</w:t>
            </w:r>
          </w:p>
        </w:tc>
      </w:tr>
      <w:tr w:rsidR="00411E9D" w:rsidRPr="00402720" w14:paraId="23DC5DFB" w14:textId="77777777" w:rsidTr="005B6ABF">
        <w:trPr>
          <w:trHeight w:val="20"/>
        </w:trPr>
        <w:tc>
          <w:tcPr>
            <w:tcW w:w="4500" w:type="dxa"/>
          </w:tcPr>
          <w:p w14:paraId="6997E76A" w14:textId="7A32B19D" w:rsidR="00411E9D" w:rsidRPr="00402720" w:rsidRDefault="00411E9D" w:rsidP="009F363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w:t>
            </w:r>
            <w:r w:rsidR="009E217E" w:rsidRPr="00402720">
              <w:rPr>
                <w:rFonts w:ascii="Times New Roman" w:hAnsi="Times New Roman" w:cs="Times New Roman"/>
                <w:lang w:val="de-DE"/>
              </w:rPr>
              <w:t xml:space="preserve"> </w:t>
            </w:r>
            <w:r w:rsidRPr="00402720">
              <w:rPr>
                <w:rFonts w:ascii="Times New Roman" w:hAnsi="Times New Roman" w:cs="Times New Roman"/>
                <w:lang w:val="de-DE"/>
              </w:rPr>
              <w:t>(95</w:t>
            </w:r>
            <w:r w:rsidR="00905FDC">
              <w:rPr>
                <w:rFonts w:ascii="Times New Roman" w:hAnsi="Times New Roman" w:cs="Times New Roman"/>
                <w:lang w:val="de-DE"/>
              </w:rPr>
              <w:t> </w:t>
            </w:r>
            <w:r w:rsidR="00322E40" w:rsidRPr="00402720">
              <w:rPr>
                <w:rFonts w:ascii="Times New Roman" w:hAnsi="Times New Roman" w:cs="Times New Roman"/>
                <w:lang w:val="de-DE"/>
              </w:rPr>
              <w:t>%</w:t>
            </w:r>
            <w:r w:rsidR="00905FDC">
              <w:rPr>
                <w:rFonts w:ascii="Times New Roman" w:hAnsi="Times New Roman" w:cs="Times New Roman"/>
                <w:lang w:val="de-DE"/>
              </w:rPr>
              <w:t> </w:t>
            </w:r>
            <w:r w:rsidRPr="00402720">
              <w:rPr>
                <w:rFonts w:ascii="Times New Roman" w:hAnsi="Times New Roman" w:cs="Times New Roman"/>
                <w:lang w:val="de-DE"/>
              </w:rPr>
              <w:t xml:space="preserve">KI) </w:t>
            </w:r>
          </w:p>
        </w:tc>
        <w:tc>
          <w:tcPr>
            <w:tcW w:w="4289" w:type="dxa"/>
            <w:gridSpan w:val="2"/>
          </w:tcPr>
          <w:p w14:paraId="0395C612" w14:textId="77777777" w:rsidR="00411E9D" w:rsidRPr="00402720" w:rsidRDefault="00411E9D" w:rsidP="009F363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0,870 [0,678; 1,116]</w:t>
            </w:r>
          </w:p>
        </w:tc>
      </w:tr>
      <w:tr w:rsidR="00411E9D" w:rsidRPr="00402720" w14:paraId="510FAAA5" w14:textId="77777777" w:rsidTr="00F97D4E">
        <w:trPr>
          <w:trHeight w:val="283"/>
        </w:trPr>
        <w:tc>
          <w:tcPr>
            <w:tcW w:w="4500" w:type="dxa"/>
          </w:tcPr>
          <w:p w14:paraId="580E3DEC" w14:textId="77777777" w:rsidR="00411E9D" w:rsidRPr="00402720" w:rsidRDefault="009E217E" w:rsidP="009F363E">
            <w:pPr>
              <w:spacing w:after="0" w:line="240" w:lineRule="auto"/>
              <w:ind w:left="567"/>
              <w:rPr>
                <w:rFonts w:ascii="Times New Roman" w:hAnsi="Times New Roman" w:cs="Times New Roman"/>
                <w:lang w:val="de-DE"/>
              </w:rPr>
            </w:pPr>
            <w:r w:rsidRPr="00402720">
              <w:rPr>
                <w:rFonts w:ascii="Times New Roman" w:hAnsi="Times New Roman" w:cs="Times New Roman"/>
                <w:lang w:val="de-DE"/>
              </w:rPr>
              <w:t>p-Wert</w:t>
            </w:r>
          </w:p>
        </w:tc>
        <w:tc>
          <w:tcPr>
            <w:tcW w:w="4289" w:type="dxa"/>
            <w:gridSpan w:val="2"/>
          </w:tcPr>
          <w:p w14:paraId="356A7B79" w14:textId="77777777" w:rsidR="00411E9D" w:rsidRPr="00402720" w:rsidRDefault="00411E9D" w:rsidP="009F363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0,2711</w:t>
            </w:r>
          </w:p>
        </w:tc>
      </w:tr>
    </w:tbl>
    <w:p w14:paraId="6112660A" w14:textId="77777777" w:rsidR="00010E8C" w:rsidRPr="009737B5" w:rsidRDefault="00010E8C" w:rsidP="005F4D08">
      <w:pPr>
        <w:suppressAutoHyphens/>
        <w:spacing w:after="0" w:line="240" w:lineRule="auto"/>
        <w:rPr>
          <w:rFonts w:ascii="Times New Roman" w:hAnsi="Times New Roman" w:cs="Times New Roman"/>
          <w:sz w:val="20"/>
          <w:szCs w:val="20"/>
          <w:lang w:val="de-DE"/>
        </w:rPr>
      </w:pPr>
      <w:r w:rsidRPr="009737B5">
        <w:rPr>
          <w:rFonts w:ascii="Times New Roman" w:hAnsi="Times New Roman" w:cs="Times New Roman"/>
          <w:sz w:val="20"/>
          <w:szCs w:val="20"/>
          <w:lang w:val="de-DE"/>
        </w:rPr>
        <w:t>Bei allen in dieser Tabelle aufgeführten Analysen handelt es sich um stratifizierte Analysen.</w:t>
      </w:r>
    </w:p>
    <w:p w14:paraId="19E16F44" w14:textId="05D4CD59" w:rsidR="00010E8C" w:rsidRPr="009737B5" w:rsidRDefault="00575014" w:rsidP="00575014">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lang w:val="de-DE"/>
        </w:rPr>
        <w:t>*</w:t>
      </w:r>
      <w:r w:rsidRPr="009737B5">
        <w:rPr>
          <w:rFonts w:ascii="Times New Roman" w:hAnsi="Times New Roman" w:cs="Times New Roman"/>
          <w:sz w:val="20"/>
          <w:szCs w:val="20"/>
          <w:lang w:val="de-DE"/>
        </w:rPr>
        <w:tab/>
      </w:r>
      <w:r w:rsidR="00010E8C" w:rsidRPr="009737B5">
        <w:rPr>
          <w:rFonts w:ascii="Times New Roman" w:hAnsi="Times New Roman" w:cs="Times New Roman"/>
          <w:sz w:val="20"/>
          <w:szCs w:val="20"/>
          <w:lang w:val="de-DE"/>
        </w:rPr>
        <w:t>Die Primäranalyse wurde mit Stichtag 14.</w:t>
      </w:r>
      <w:r w:rsidR="00D07211">
        <w:rPr>
          <w:rFonts w:ascii="Times New Roman" w:hAnsi="Times New Roman" w:cs="Times New Roman"/>
          <w:sz w:val="20"/>
          <w:szCs w:val="20"/>
          <w:lang w:val="de-DE"/>
        </w:rPr>
        <w:t> </w:t>
      </w:r>
      <w:r w:rsidR="00010E8C" w:rsidRPr="009737B5">
        <w:rPr>
          <w:rFonts w:ascii="Times New Roman" w:hAnsi="Times New Roman" w:cs="Times New Roman"/>
          <w:sz w:val="20"/>
          <w:szCs w:val="20"/>
          <w:lang w:val="de-DE"/>
        </w:rPr>
        <w:t>November 2011 durchgeführt.</w:t>
      </w:r>
    </w:p>
    <w:p w14:paraId="7876512D" w14:textId="77777777" w:rsidR="00010E8C" w:rsidRPr="009737B5" w:rsidRDefault="00010E8C" w:rsidP="00575014">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lang w:val="de-DE"/>
        </w:rPr>
        <w:t>*</w:t>
      </w:r>
      <w:r w:rsidR="00575014" w:rsidRPr="009737B5">
        <w:rPr>
          <w:rFonts w:ascii="Times New Roman" w:hAnsi="Times New Roman" w:cs="Times New Roman"/>
          <w:sz w:val="20"/>
          <w:szCs w:val="20"/>
          <w:lang w:val="de-DE"/>
        </w:rPr>
        <w:t>*</w:t>
      </w:r>
      <w:r w:rsidR="00575014" w:rsidRPr="009737B5">
        <w:rPr>
          <w:rFonts w:ascii="Times New Roman" w:hAnsi="Times New Roman" w:cs="Times New Roman"/>
          <w:sz w:val="20"/>
          <w:szCs w:val="20"/>
          <w:lang w:val="de-DE"/>
        </w:rPr>
        <w:tab/>
      </w:r>
      <w:r w:rsidRPr="009737B5">
        <w:rPr>
          <w:rFonts w:ascii="Times New Roman" w:hAnsi="Times New Roman" w:cs="Times New Roman"/>
          <w:sz w:val="20"/>
          <w:szCs w:val="20"/>
          <w:lang w:val="de-DE"/>
        </w:rPr>
        <w:t>Randomisierte Patienten mit messbarer Erkrankung zu Behandlungsbeginn.</w:t>
      </w:r>
    </w:p>
    <w:p w14:paraId="6E152481" w14:textId="4FD685CE" w:rsidR="00010E8C" w:rsidRPr="009737B5" w:rsidRDefault="00575014" w:rsidP="00575014">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lang w:val="de-DE"/>
        </w:rPr>
        <w:t>***</w:t>
      </w:r>
      <w:r w:rsidRPr="009737B5">
        <w:rPr>
          <w:rFonts w:ascii="Times New Roman" w:hAnsi="Times New Roman" w:cs="Times New Roman"/>
          <w:sz w:val="20"/>
          <w:szCs w:val="20"/>
          <w:lang w:val="de-DE"/>
        </w:rPr>
        <w:tab/>
      </w:r>
      <w:r w:rsidR="00010E8C" w:rsidRPr="009737B5">
        <w:rPr>
          <w:rFonts w:ascii="Times New Roman" w:hAnsi="Times New Roman" w:cs="Times New Roman"/>
          <w:sz w:val="20"/>
          <w:szCs w:val="20"/>
          <w:lang w:val="de-DE"/>
        </w:rPr>
        <w:t>Die finale Analyse des Gesamtüberlebens wurde durchgeführt, nachdem 266</w:t>
      </w:r>
      <w:r w:rsidR="00D07211">
        <w:rPr>
          <w:rFonts w:ascii="Times New Roman" w:hAnsi="Times New Roman" w:cs="Times New Roman"/>
          <w:sz w:val="20"/>
          <w:szCs w:val="20"/>
          <w:lang w:val="de-DE"/>
        </w:rPr>
        <w:t> </w:t>
      </w:r>
      <w:r w:rsidR="00010E8C" w:rsidRPr="009737B5">
        <w:rPr>
          <w:rFonts w:ascii="Times New Roman" w:hAnsi="Times New Roman" w:cs="Times New Roman"/>
          <w:sz w:val="20"/>
          <w:szCs w:val="20"/>
          <w:lang w:val="de-DE"/>
        </w:rPr>
        <w:t>Todesfälle, was 73,7</w:t>
      </w:r>
      <w:r w:rsidR="00322E40" w:rsidRPr="009737B5">
        <w:rPr>
          <w:rFonts w:ascii="Times New Roman" w:hAnsi="Times New Roman" w:cs="Times New Roman"/>
          <w:sz w:val="20"/>
          <w:szCs w:val="20"/>
          <w:lang w:val="de-DE"/>
        </w:rPr>
        <w:t> %</w:t>
      </w:r>
      <w:r w:rsidR="00010E8C" w:rsidRPr="009737B5">
        <w:rPr>
          <w:rFonts w:ascii="Times New Roman" w:hAnsi="Times New Roman" w:cs="Times New Roman"/>
          <w:sz w:val="20"/>
          <w:szCs w:val="20"/>
          <w:lang w:val="de-DE"/>
        </w:rPr>
        <w:t xml:space="preserve"> der eingeschlossenen Patienten entspricht, beobachtet wurden.</w:t>
      </w:r>
    </w:p>
    <w:p w14:paraId="3C265E20" w14:textId="77777777" w:rsidR="00010E8C" w:rsidRPr="009737B5" w:rsidRDefault="00010E8C" w:rsidP="005F4D08">
      <w:pPr>
        <w:suppressAutoHyphens/>
        <w:spacing w:after="0" w:line="240" w:lineRule="auto"/>
        <w:rPr>
          <w:rFonts w:ascii="Times New Roman" w:hAnsi="Times New Roman" w:cs="Times New Roman"/>
          <w:lang w:val="de-DE"/>
        </w:rPr>
      </w:pPr>
    </w:p>
    <w:p w14:paraId="26F5D5CE" w14:textId="6A2354D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Der primäre Endpunkt dieser Studie, die Verbesserung des PFS, wurde erreicht. Patienten mit platinresistentem Rezidiv, die Bevacizumab in Kombination mit Chemotherapie erhalten haben, hatten eine statistisch signifikante Verbesserung des progressionsfreien Überlebens im Vergleich zu Patienten, die mit Chemotherapie allein (Paclitaxel, Topotecan oder PLD) behandelt wurden.</w:t>
      </w:r>
      <w:r w:rsidR="009E217E" w:rsidRPr="009737B5">
        <w:rPr>
          <w:rFonts w:ascii="Times New Roman" w:hAnsi="Times New Roman" w:cs="Times New Roman"/>
          <w:lang w:val="de-DE"/>
        </w:rPr>
        <w:t xml:space="preserve"> </w:t>
      </w:r>
      <w:r w:rsidRPr="009737B5">
        <w:rPr>
          <w:rFonts w:ascii="Times New Roman" w:hAnsi="Times New Roman" w:cs="Times New Roman"/>
          <w:lang w:val="de-DE"/>
        </w:rPr>
        <w:t>Patienten erhielten Bevacizumab in einer Dosis von 10</w:t>
      </w:r>
      <w:r w:rsidR="00AB26B9" w:rsidRPr="009737B5">
        <w:rPr>
          <w:rFonts w:ascii="Times New Roman" w:hAnsi="Times New Roman" w:cs="Times New Roman"/>
          <w:lang w:val="de-DE"/>
        </w:rPr>
        <w:t> mg</w:t>
      </w:r>
      <w:r w:rsidRPr="009737B5">
        <w:rPr>
          <w:rFonts w:ascii="Times New Roman" w:hAnsi="Times New Roman" w:cs="Times New Roman"/>
          <w:lang w:val="de-DE"/>
        </w:rPr>
        <w:t>/kg alle 2</w:t>
      </w:r>
      <w:r w:rsidR="00D07211">
        <w:rPr>
          <w:rFonts w:ascii="Times New Roman" w:hAnsi="Times New Roman" w:cs="Times New Roman"/>
          <w:lang w:val="de-DE"/>
        </w:rPr>
        <w:t> </w:t>
      </w:r>
      <w:r w:rsidRPr="009737B5">
        <w:rPr>
          <w:rFonts w:ascii="Times New Roman" w:hAnsi="Times New Roman" w:cs="Times New Roman"/>
          <w:lang w:val="de-DE"/>
        </w:rPr>
        <w:t>Wochen (oder 15</w:t>
      </w:r>
      <w:r w:rsidR="00AB26B9" w:rsidRPr="009737B5">
        <w:rPr>
          <w:rFonts w:ascii="Times New Roman" w:hAnsi="Times New Roman" w:cs="Times New Roman"/>
          <w:lang w:val="de-DE"/>
        </w:rPr>
        <w:t> mg</w:t>
      </w:r>
      <w:r w:rsidRPr="009737B5">
        <w:rPr>
          <w:rFonts w:ascii="Times New Roman" w:hAnsi="Times New Roman" w:cs="Times New Roman"/>
          <w:lang w:val="de-DE"/>
        </w:rPr>
        <w:t>/kg alle</w:t>
      </w:r>
      <w:r w:rsidR="00575014" w:rsidRPr="009737B5">
        <w:rPr>
          <w:rFonts w:ascii="Times New Roman" w:hAnsi="Times New Roman" w:cs="Times New Roman"/>
          <w:lang w:val="de-DE"/>
        </w:rPr>
        <w:t xml:space="preserve"> </w:t>
      </w:r>
      <w:r w:rsidRPr="009737B5">
        <w:rPr>
          <w:rFonts w:ascii="Times New Roman" w:hAnsi="Times New Roman" w:cs="Times New Roman"/>
          <w:lang w:val="de-DE"/>
        </w:rPr>
        <w:t>3</w:t>
      </w:r>
      <w:r w:rsidR="00D07211">
        <w:rPr>
          <w:rFonts w:ascii="Times New Roman" w:hAnsi="Times New Roman" w:cs="Times New Roman"/>
          <w:lang w:val="de-DE"/>
        </w:rPr>
        <w:t> </w:t>
      </w:r>
      <w:r w:rsidRPr="009737B5">
        <w:rPr>
          <w:rFonts w:ascii="Times New Roman" w:hAnsi="Times New Roman" w:cs="Times New Roman"/>
          <w:lang w:val="de-DE"/>
        </w:rPr>
        <w:t>Wochen, wenn in Kombination mit 1,25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Topotecan an den Tagen</w:t>
      </w:r>
      <w:r w:rsidR="00D07211">
        <w:rPr>
          <w:rFonts w:ascii="Times New Roman" w:hAnsi="Times New Roman" w:cs="Times New Roman"/>
          <w:lang w:val="de-DE"/>
        </w:rPr>
        <w:t> </w:t>
      </w:r>
      <w:r w:rsidRPr="009737B5">
        <w:rPr>
          <w:rFonts w:ascii="Times New Roman" w:hAnsi="Times New Roman" w:cs="Times New Roman"/>
          <w:lang w:val="de-DE"/>
        </w:rPr>
        <w:t>1</w:t>
      </w:r>
      <w:r w:rsidR="00D07211">
        <w:rPr>
          <w:rFonts w:ascii="Times New Roman" w:hAnsi="Times New Roman" w:cs="Times New Roman"/>
          <w:lang w:val="de-DE"/>
        </w:rPr>
        <w:t> </w:t>
      </w:r>
      <w:r w:rsidRPr="009737B5">
        <w:rPr>
          <w:rFonts w:ascii="Times New Roman" w:hAnsi="Times New Roman" w:cs="Times New Roman"/>
          <w:lang w:val="de-DE"/>
        </w:rPr>
        <w:t>-</w:t>
      </w:r>
      <w:r w:rsidR="00D07211">
        <w:rPr>
          <w:rFonts w:ascii="Times New Roman" w:hAnsi="Times New Roman" w:cs="Times New Roman"/>
          <w:lang w:val="de-DE"/>
        </w:rPr>
        <w:t xml:space="preserve"> </w:t>
      </w:r>
      <w:r w:rsidRPr="009737B5">
        <w:rPr>
          <w:rFonts w:ascii="Times New Roman" w:hAnsi="Times New Roman" w:cs="Times New Roman"/>
          <w:lang w:val="de-DE"/>
        </w:rPr>
        <w:t>5 alle 3</w:t>
      </w:r>
      <w:r w:rsidR="00D07211">
        <w:rPr>
          <w:rFonts w:ascii="Times New Roman" w:hAnsi="Times New Roman" w:cs="Times New Roman"/>
          <w:lang w:val="de-DE"/>
        </w:rPr>
        <w:t> </w:t>
      </w:r>
      <w:r w:rsidRPr="009737B5">
        <w:rPr>
          <w:rFonts w:ascii="Times New Roman" w:hAnsi="Times New Roman" w:cs="Times New Roman"/>
          <w:lang w:val="de-DE"/>
        </w:rPr>
        <w:t>Wochen) in Kombination mit Chemotherapie und weiter bis zur Krankheitsprogression oder bis zum Auftreten nicht mehr tolerierbarer Nebenwirkungen. Die exploratorischen PFS- und OS-Analysen sind nach Chemotherapiekohorten (Paclitaxel, Topotecan und PLD) in Tabelle</w:t>
      </w:r>
      <w:r w:rsidR="000206F4">
        <w:rPr>
          <w:rFonts w:ascii="Times New Roman" w:hAnsi="Times New Roman" w:cs="Times New Roman"/>
          <w:lang w:val="de-DE"/>
        </w:rPr>
        <w:t> </w:t>
      </w:r>
      <w:r w:rsidR="003653AE">
        <w:rPr>
          <w:rFonts w:ascii="Times New Roman" w:hAnsi="Times New Roman" w:cs="Times New Roman"/>
          <w:lang w:val="de-DE"/>
        </w:rPr>
        <w:t>24</w:t>
      </w:r>
      <w:r w:rsidR="003653AE" w:rsidRPr="009737B5">
        <w:rPr>
          <w:rFonts w:ascii="Times New Roman" w:hAnsi="Times New Roman" w:cs="Times New Roman"/>
          <w:lang w:val="de-DE"/>
        </w:rPr>
        <w:t xml:space="preserve"> </w:t>
      </w:r>
      <w:r w:rsidRPr="009737B5">
        <w:rPr>
          <w:rFonts w:ascii="Times New Roman" w:hAnsi="Times New Roman" w:cs="Times New Roman"/>
          <w:lang w:val="de-DE"/>
        </w:rPr>
        <w:t>zusammengefasst.</w:t>
      </w:r>
    </w:p>
    <w:p w14:paraId="4018140E" w14:textId="77777777" w:rsidR="00010E8C" w:rsidRPr="009737B5" w:rsidRDefault="00010E8C" w:rsidP="005F4D08">
      <w:pPr>
        <w:suppressAutoHyphens/>
        <w:spacing w:after="0" w:line="240" w:lineRule="auto"/>
        <w:rPr>
          <w:rFonts w:ascii="Times New Roman" w:hAnsi="Times New Roman" w:cs="Times New Roman"/>
          <w:lang w:val="de-DE"/>
        </w:rPr>
      </w:pPr>
    </w:p>
    <w:p w14:paraId="76C63D37" w14:textId="5B1D6842" w:rsidR="00010E8C" w:rsidRPr="009737B5" w:rsidRDefault="00010E8C" w:rsidP="00CB38A2">
      <w:pPr>
        <w:keepNext/>
        <w:suppressAutoHyphens/>
        <w:spacing w:after="0" w:line="240" w:lineRule="auto"/>
        <w:ind w:right="-1"/>
        <w:rPr>
          <w:rFonts w:ascii="Times New Roman" w:hAnsi="Times New Roman" w:cs="Times New Roman"/>
          <w:b/>
          <w:lang w:val="de-DE"/>
        </w:rPr>
      </w:pPr>
      <w:r w:rsidRPr="009737B5">
        <w:rPr>
          <w:rFonts w:ascii="Times New Roman" w:hAnsi="Times New Roman" w:cs="Times New Roman"/>
          <w:b/>
          <w:lang w:val="de-DE"/>
        </w:rPr>
        <w:t>Tabelle</w:t>
      </w:r>
      <w:r w:rsidR="000206F4">
        <w:rPr>
          <w:rFonts w:ascii="Times New Roman" w:hAnsi="Times New Roman" w:cs="Times New Roman"/>
          <w:b/>
          <w:lang w:val="de-DE"/>
        </w:rPr>
        <w:t> </w:t>
      </w:r>
      <w:r w:rsidR="003653AE">
        <w:rPr>
          <w:rFonts w:ascii="Times New Roman" w:hAnsi="Times New Roman" w:cs="Times New Roman"/>
          <w:b/>
          <w:lang w:val="de-DE"/>
        </w:rPr>
        <w:t>24</w:t>
      </w:r>
      <w:r w:rsidR="008574AB" w:rsidRPr="009737B5">
        <w:rPr>
          <w:rFonts w:ascii="Times New Roman" w:hAnsi="Times New Roman" w:cs="Times New Roman"/>
          <w:b/>
          <w:lang w:val="de-DE"/>
        </w:rPr>
        <w:t>.</w:t>
      </w:r>
      <w:r w:rsidRPr="009737B5">
        <w:rPr>
          <w:rFonts w:ascii="Times New Roman" w:hAnsi="Times New Roman" w:cs="Times New Roman"/>
          <w:b/>
          <w:lang w:val="de-DE"/>
        </w:rPr>
        <w:t xml:space="preserve"> Exploratorische PFS- und OS-Analysen nach Chemotherapiekohorte</w:t>
      </w:r>
    </w:p>
    <w:p w14:paraId="2E2768E8" w14:textId="77777777" w:rsidR="00010E8C" w:rsidRPr="009737B5" w:rsidRDefault="00010E8C" w:rsidP="009E217E">
      <w:pPr>
        <w:keepNext/>
        <w:suppressAutoHyphens/>
        <w:spacing w:after="0" w:line="240" w:lineRule="auto"/>
        <w:rPr>
          <w:rFonts w:ascii="Times New Roman" w:hAnsi="Times New Roman" w:cs="Times New Roman"/>
          <w:lang w:val="de-D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left w:w="0" w:type="dxa"/>
          <w:right w:w="115" w:type="dxa"/>
        </w:tblCellMar>
        <w:tblLook w:val="04A0" w:firstRow="1" w:lastRow="0" w:firstColumn="1" w:lastColumn="0" w:noHBand="0" w:noVBand="1"/>
      </w:tblPr>
      <w:tblGrid>
        <w:gridCol w:w="2971"/>
        <w:gridCol w:w="2983"/>
        <w:gridCol w:w="3118"/>
      </w:tblGrid>
      <w:tr w:rsidR="0028633A" w:rsidRPr="00402720" w14:paraId="2D6F6F0A" w14:textId="77777777" w:rsidTr="00CB38A2">
        <w:trPr>
          <w:trHeight w:val="20"/>
          <w:tblHeader/>
        </w:trPr>
        <w:tc>
          <w:tcPr>
            <w:tcW w:w="2971" w:type="dxa"/>
          </w:tcPr>
          <w:p w14:paraId="38F064EC" w14:textId="77777777" w:rsidR="0028633A" w:rsidRPr="00402720" w:rsidRDefault="0028633A" w:rsidP="000C571C">
            <w:pPr>
              <w:keepNext/>
              <w:spacing w:after="0" w:line="240" w:lineRule="auto"/>
              <w:jc w:val="center"/>
              <w:rPr>
                <w:rFonts w:ascii="Times New Roman" w:hAnsi="Times New Roman" w:cs="Times New Roman"/>
                <w:b/>
                <w:lang w:val="de-DE"/>
              </w:rPr>
            </w:pPr>
          </w:p>
        </w:tc>
        <w:tc>
          <w:tcPr>
            <w:tcW w:w="2983" w:type="dxa"/>
          </w:tcPr>
          <w:p w14:paraId="795C8700" w14:textId="77777777" w:rsidR="0028633A" w:rsidRPr="00402720" w:rsidRDefault="0028633A" w:rsidP="000C571C">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CT</w:t>
            </w:r>
          </w:p>
        </w:tc>
        <w:tc>
          <w:tcPr>
            <w:tcW w:w="3118" w:type="dxa"/>
          </w:tcPr>
          <w:p w14:paraId="6DB3FFF6" w14:textId="77777777" w:rsidR="0028633A" w:rsidRPr="00402720" w:rsidRDefault="0028633A" w:rsidP="000C571C">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CT</w:t>
            </w:r>
            <w:r w:rsidR="006055CF" w:rsidRPr="00402720">
              <w:rPr>
                <w:rFonts w:ascii="Times New Roman" w:hAnsi="Times New Roman" w:cs="Times New Roman"/>
                <w:b/>
                <w:lang w:val="de-DE"/>
              </w:rPr>
              <w:t xml:space="preserve"> </w:t>
            </w:r>
            <w:r w:rsidRPr="00402720">
              <w:rPr>
                <w:rFonts w:ascii="Times New Roman" w:hAnsi="Times New Roman" w:cs="Times New Roman"/>
                <w:b/>
                <w:lang w:val="de-DE"/>
              </w:rPr>
              <w:t>+</w:t>
            </w:r>
            <w:r w:rsidR="006055CF" w:rsidRPr="00402720">
              <w:rPr>
                <w:rFonts w:ascii="Times New Roman" w:hAnsi="Times New Roman" w:cs="Times New Roman"/>
                <w:b/>
                <w:lang w:val="de-DE"/>
              </w:rPr>
              <w:t xml:space="preserve"> </w:t>
            </w:r>
            <w:r w:rsidRPr="00402720">
              <w:rPr>
                <w:rFonts w:ascii="Times New Roman" w:hAnsi="Times New Roman" w:cs="Times New Roman"/>
                <w:b/>
                <w:lang w:val="de-DE"/>
              </w:rPr>
              <w:t>BV</w:t>
            </w:r>
          </w:p>
        </w:tc>
      </w:tr>
      <w:tr w:rsidR="0028633A" w:rsidRPr="00402720" w14:paraId="10A7E8E6" w14:textId="77777777" w:rsidTr="00CB38A2">
        <w:trPr>
          <w:trHeight w:val="20"/>
        </w:trPr>
        <w:tc>
          <w:tcPr>
            <w:tcW w:w="2971" w:type="dxa"/>
          </w:tcPr>
          <w:p w14:paraId="2703910D" w14:textId="77777777" w:rsidR="0028633A" w:rsidRPr="00402720" w:rsidRDefault="0028633A" w:rsidP="009E217E">
            <w:pPr>
              <w:spacing w:after="0" w:line="240" w:lineRule="auto"/>
              <w:rPr>
                <w:rFonts w:ascii="Times New Roman" w:hAnsi="Times New Roman" w:cs="Times New Roman"/>
                <w:lang w:val="de-DE"/>
              </w:rPr>
            </w:pPr>
            <w:r w:rsidRPr="00402720">
              <w:rPr>
                <w:rFonts w:ascii="Times New Roman" w:hAnsi="Times New Roman" w:cs="Times New Roman"/>
                <w:lang w:val="de-DE"/>
              </w:rPr>
              <w:t>Paclitaxel</w:t>
            </w:r>
          </w:p>
        </w:tc>
        <w:tc>
          <w:tcPr>
            <w:tcW w:w="6101" w:type="dxa"/>
            <w:gridSpan w:val="2"/>
          </w:tcPr>
          <w:p w14:paraId="4EE05EF6"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115</w:t>
            </w:r>
          </w:p>
        </w:tc>
      </w:tr>
      <w:tr w:rsidR="0028633A" w:rsidRPr="00402720" w14:paraId="06837789" w14:textId="77777777" w:rsidTr="00CB38A2">
        <w:trPr>
          <w:trHeight w:val="20"/>
        </w:trPr>
        <w:tc>
          <w:tcPr>
            <w:tcW w:w="2971" w:type="dxa"/>
          </w:tcPr>
          <w:p w14:paraId="149E77C1" w14:textId="77777777" w:rsidR="0028633A" w:rsidRPr="00402720" w:rsidRDefault="0028633A" w:rsidP="00CB38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PFS (Monate)</w:t>
            </w:r>
          </w:p>
        </w:tc>
        <w:tc>
          <w:tcPr>
            <w:tcW w:w="2983" w:type="dxa"/>
          </w:tcPr>
          <w:p w14:paraId="1E64E36F"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3,9</w:t>
            </w:r>
          </w:p>
        </w:tc>
        <w:tc>
          <w:tcPr>
            <w:tcW w:w="3118" w:type="dxa"/>
          </w:tcPr>
          <w:p w14:paraId="1F75D545"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9,2</w:t>
            </w:r>
          </w:p>
        </w:tc>
      </w:tr>
      <w:tr w:rsidR="0028633A" w:rsidRPr="00402720" w14:paraId="5A060DD5" w14:textId="77777777" w:rsidTr="00CB38A2">
        <w:trPr>
          <w:trHeight w:val="20"/>
        </w:trPr>
        <w:tc>
          <w:tcPr>
            <w:tcW w:w="2971" w:type="dxa"/>
          </w:tcPr>
          <w:p w14:paraId="7C8D7079" w14:textId="4432DB6D" w:rsidR="0028633A" w:rsidRPr="00402720" w:rsidRDefault="0028633A" w:rsidP="00CB38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D07211">
              <w:rPr>
                <w:rFonts w:ascii="Times New Roman" w:hAnsi="Times New Roman" w:cs="Times New Roman"/>
                <w:lang w:val="de-DE"/>
              </w:rPr>
              <w:t> </w:t>
            </w:r>
            <w:r w:rsidRPr="00402720">
              <w:rPr>
                <w:rFonts w:ascii="Times New Roman" w:hAnsi="Times New Roman" w:cs="Times New Roman"/>
                <w:lang w:val="de-DE"/>
              </w:rPr>
              <w:t>%</w:t>
            </w:r>
            <w:r w:rsidR="00D07211">
              <w:rPr>
                <w:rFonts w:ascii="Times New Roman" w:hAnsi="Times New Roman" w:cs="Times New Roman"/>
                <w:lang w:val="de-DE"/>
              </w:rPr>
              <w:t> </w:t>
            </w:r>
            <w:r w:rsidRPr="00402720">
              <w:rPr>
                <w:rFonts w:ascii="Times New Roman" w:hAnsi="Times New Roman" w:cs="Times New Roman"/>
                <w:lang w:val="de-DE"/>
              </w:rPr>
              <w:t>KI)</w:t>
            </w:r>
          </w:p>
        </w:tc>
        <w:tc>
          <w:tcPr>
            <w:tcW w:w="6101" w:type="dxa"/>
            <w:gridSpan w:val="2"/>
          </w:tcPr>
          <w:p w14:paraId="5920CA84"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0,47 [0,31; 0,72]</w:t>
            </w:r>
          </w:p>
        </w:tc>
      </w:tr>
      <w:tr w:rsidR="0028633A" w:rsidRPr="00402720" w14:paraId="69D4D005" w14:textId="77777777" w:rsidTr="00CB38A2">
        <w:trPr>
          <w:trHeight w:val="20"/>
        </w:trPr>
        <w:tc>
          <w:tcPr>
            <w:tcW w:w="2971" w:type="dxa"/>
          </w:tcPr>
          <w:p w14:paraId="354D8317" w14:textId="77777777" w:rsidR="0028633A" w:rsidRPr="00402720" w:rsidRDefault="0028633A" w:rsidP="00CB38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OS (Monate)</w:t>
            </w:r>
          </w:p>
        </w:tc>
        <w:tc>
          <w:tcPr>
            <w:tcW w:w="2983" w:type="dxa"/>
          </w:tcPr>
          <w:p w14:paraId="79AAD39B"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13,2</w:t>
            </w:r>
          </w:p>
        </w:tc>
        <w:tc>
          <w:tcPr>
            <w:tcW w:w="3118" w:type="dxa"/>
          </w:tcPr>
          <w:p w14:paraId="2984E1BD"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22,4</w:t>
            </w:r>
          </w:p>
        </w:tc>
      </w:tr>
      <w:tr w:rsidR="0028633A" w:rsidRPr="00402720" w14:paraId="50E74629" w14:textId="77777777" w:rsidTr="00CB38A2">
        <w:trPr>
          <w:trHeight w:val="20"/>
        </w:trPr>
        <w:tc>
          <w:tcPr>
            <w:tcW w:w="2971" w:type="dxa"/>
          </w:tcPr>
          <w:p w14:paraId="243D5125" w14:textId="48C703E8" w:rsidR="0028633A" w:rsidRPr="00402720" w:rsidRDefault="0028633A" w:rsidP="00CB38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D07211">
              <w:rPr>
                <w:rFonts w:ascii="Times New Roman" w:hAnsi="Times New Roman" w:cs="Times New Roman"/>
                <w:lang w:val="de-DE"/>
              </w:rPr>
              <w:t> </w:t>
            </w:r>
            <w:r w:rsidRPr="00402720">
              <w:rPr>
                <w:rFonts w:ascii="Times New Roman" w:hAnsi="Times New Roman" w:cs="Times New Roman"/>
                <w:lang w:val="de-DE"/>
              </w:rPr>
              <w:t>%</w:t>
            </w:r>
            <w:r w:rsidR="00D07211">
              <w:rPr>
                <w:rFonts w:ascii="Times New Roman" w:hAnsi="Times New Roman" w:cs="Times New Roman"/>
                <w:lang w:val="de-DE"/>
              </w:rPr>
              <w:t> </w:t>
            </w:r>
            <w:r w:rsidRPr="00402720">
              <w:rPr>
                <w:rFonts w:ascii="Times New Roman" w:hAnsi="Times New Roman" w:cs="Times New Roman"/>
                <w:lang w:val="de-DE"/>
              </w:rPr>
              <w:t>KI)</w:t>
            </w:r>
          </w:p>
        </w:tc>
        <w:tc>
          <w:tcPr>
            <w:tcW w:w="6101" w:type="dxa"/>
            <w:gridSpan w:val="2"/>
          </w:tcPr>
          <w:p w14:paraId="5F5EBF8C"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0,64 [0,41; 0,99]</w:t>
            </w:r>
          </w:p>
        </w:tc>
      </w:tr>
      <w:tr w:rsidR="0028633A" w:rsidRPr="00402720" w14:paraId="5746A13B" w14:textId="77777777" w:rsidTr="00CB38A2">
        <w:trPr>
          <w:trHeight w:val="20"/>
        </w:trPr>
        <w:tc>
          <w:tcPr>
            <w:tcW w:w="2971" w:type="dxa"/>
          </w:tcPr>
          <w:p w14:paraId="537B66BD" w14:textId="77777777" w:rsidR="0028633A" w:rsidRPr="00402720" w:rsidRDefault="0028633A" w:rsidP="008962D1">
            <w:pPr>
              <w:keepNext/>
              <w:spacing w:after="0" w:line="240" w:lineRule="auto"/>
              <w:rPr>
                <w:rFonts w:ascii="Times New Roman" w:hAnsi="Times New Roman" w:cs="Times New Roman"/>
                <w:lang w:val="de-DE"/>
              </w:rPr>
            </w:pPr>
            <w:r w:rsidRPr="00402720">
              <w:rPr>
                <w:rFonts w:ascii="Times New Roman" w:hAnsi="Times New Roman" w:cs="Times New Roman"/>
                <w:lang w:val="de-DE"/>
              </w:rPr>
              <w:t>Topotecan</w:t>
            </w:r>
          </w:p>
        </w:tc>
        <w:tc>
          <w:tcPr>
            <w:tcW w:w="6101" w:type="dxa"/>
            <w:gridSpan w:val="2"/>
          </w:tcPr>
          <w:p w14:paraId="40214451"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120</w:t>
            </w:r>
          </w:p>
        </w:tc>
      </w:tr>
      <w:tr w:rsidR="0028633A" w:rsidRPr="00402720" w14:paraId="72695A65" w14:textId="77777777" w:rsidTr="00CB38A2">
        <w:trPr>
          <w:trHeight w:val="20"/>
        </w:trPr>
        <w:tc>
          <w:tcPr>
            <w:tcW w:w="2971" w:type="dxa"/>
          </w:tcPr>
          <w:p w14:paraId="4BA42B0D" w14:textId="77777777" w:rsidR="0028633A" w:rsidRPr="00402720" w:rsidRDefault="0028633A" w:rsidP="00CB38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PFS (Monate)</w:t>
            </w:r>
          </w:p>
        </w:tc>
        <w:tc>
          <w:tcPr>
            <w:tcW w:w="2983" w:type="dxa"/>
          </w:tcPr>
          <w:p w14:paraId="74146AA9"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2,1</w:t>
            </w:r>
          </w:p>
        </w:tc>
        <w:tc>
          <w:tcPr>
            <w:tcW w:w="3118" w:type="dxa"/>
          </w:tcPr>
          <w:p w14:paraId="4E4CC689"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6,2</w:t>
            </w:r>
          </w:p>
        </w:tc>
      </w:tr>
      <w:tr w:rsidR="0028633A" w:rsidRPr="00402720" w14:paraId="20F48697" w14:textId="77777777" w:rsidTr="00CB38A2">
        <w:trPr>
          <w:trHeight w:val="20"/>
        </w:trPr>
        <w:tc>
          <w:tcPr>
            <w:tcW w:w="2971" w:type="dxa"/>
          </w:tcPr>
          <w:p w14:paraId="4EBDD2B8" w14:textId="5D5B2023" w:rsidR="0028633A" w:rsidRPr="00402720" w:rsidRDefault="0028633A" w:rsidP="00CB38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D07211">
              <w:rPr>
                <w:rFonts w:ascii="Times New Roman" w:hAnsi="Times New Roman" w:cs="Times New Roman"/>
                <w:lang w:val="de-DE"/>
              </w:rPr>
              <w:t> </w:t>
            </w:r>
            <w:r w:rsidRPr="00402720">
              <w:rPr>
                <w:rFonts w:ascii="Times New Roman" w:hAnsi="Times New Roman" w:cs="Times New Roman"/>
                <w:lang w:val="de-DE"/>
              </w:rPr>
              <w:t>%</w:t>
            </w:r>
            <w:r w:rsidR="00D07211">
              <w:rPr>
                <w:rFonts w:ascii="Times New Roman" w:hAnsi="Times New Roman" w:cs="Times New Roman"/>
                <w:lang w:val="de-DE"/>
              </w:rPr>
              <w:t> </w:t>
            </w:r>
            <w:r w:rsidRPr="00402720">
              <w:rPr>
                <w:rFonts w:ascii="Times New Roman" w:hAnsi="Times New Roman" w:cs="Times New Roman"/>
                <w:lang w:val="de-DE"/>
              </w:rPr>
              <w:t>KI)</w:t>
            </w:r>
          </w:p>
        </w:tc>
        <w:tc>
          <w:tcPr>
            <w:tcW w:w="6101" w:type="dxa"/>
            <w:gridSpan w:val="2"/>
          </w:tcPr>
          <w:p w14:paraId="6349CAC3"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0,28 [0,18; 0,44]</w:t>
            </w:r>
          </w:p>
        </w:tc>
      </w:tr>
      <w:tr w:rsidR="0028633A" w:rsidRPr="00402720" w14:paraId="4FC2A3F1" w14:textId="77777777" w:rsidTr="00CB38A2">
        <w:trPr>
          <w:trHeight w:val="20"/>
        </w:trPr>
        <w:tc>
          <w:tcPr>
            <w:tcW w:w="2971" w:type="dxa"/>
          </w:tcPr>
          <w:p w14:paraId="5FDC09F9" w14:textId="77777777" w:rsidR="0028633A" w:rsidRPr="00402720" w:rsidRDefault="0028633A" w:rsidP="00CB38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OS (Monate)</w:t>
            </w:r>
          </w:p>
        </w:tc>
        <w:tc>
          <w:tcPr>
            <w:tcW w:w="2983" w:type="dxa"/>
          </w:tcPr>
          <w:p w14:paraId="17777B5D"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13,3</w:t>
            </w:r>
          </w:p>
        </w:tc>
        <w:tc>
          <w:tcPr>
            <w:tcW w:w="3118" w:type="dxa"/>
          </w:tcPr>
          <w:p w14:paraId="5DC45375"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13,8</w:t>
            </w:r>
          </w:p>
        </w:tc>
      </w:tr>
      <w:tr w:rsidR="0028633A" w:rsidRPr="00402720" w14:paraId="46A1E24D" w14:textId="77777777" w:rsidTr="00CB38A2">
        <w:trPr>
          <w:trHeight w:val="20"/>
        </w:trPr>
        <w:tc>
          <w:tcPr>
            <w:tcW w:w="2971" w:type="dxa"/>
          </w:tcPr>
          <w:p w14:paraId="791838BA" w14:textId="14B8A285" w:rsidR="0028633A" w:rsidRPr="00402720" w:rsidRDefault="0028633A" w:rsidP="00CB38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D07211">
              <w:rPr>
                <w:rFonts w:ascii="Times New Roman" w:hAnsi="Times New Roman" w:cs="Times New Roman"/>
                <w:lang w:val="de-DE"/>
              </w:rPr>
              <w:t> </w:t>
            </w:r>
            <w:r w:rsidRPr="00402720">
              <w:rPr>
                <w:rFonts w:ascii="Times New Roman" w:hAnsi="Times New Roman" w:cs="Times New Roman"/>
                <w:lang w:val="de-DE"/>
              </w:rPr>
              <w:t>%</w:t>
            </w:r>
            <w:r w:rsidR="00D07211">
              <w:rPr>
                <w:rFonts w:ascii="Times New Roman" w:hAnsi="Times New Roman" w:cs="Times New Roman"/>
                <w:lang w:val="de-DE"/>
              </w:rPr>
              <w:t> </w:t>
            </w:r>
            <w:r w:rsidRPr="00402720">
              <w:rPr>
                <w:rFonts w:ascii="Times New Roman" w:hAnsi="Times New Roman" w:cs="Times New Roman"/>
                <w:lang w:val="de-DE"/>
              </w:rPr>
              <w:t>KI)</w:t>
            </w:r>
          </w:p>
        </w:tc>
        <w:tc>
          <w:tcPr>
            <w:tcW w:w="6101" w:type="dxa"/>
            <w:gridSpan w:val="2"/>
          </w:tcPr>
          <w:p w14:paraId="31453227"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1,07 [0,70; 1,63]</w:t>
            </w:r>
          </w:p>
        </w:tc>
      </w:tr>
      <w:tr w:rsidR="0028633A" w:rsidRPr="00402720" w14:paraId="2DE868AC" w14:textId="77777777" w:rsidTr="00CB38A2">
        <w:trPr>
          <w:trHeight w:val="20"/>
        </w:trPr>
        <w:tc>
          <w:tcPr>
            <w:tcW w:w="2971" w:type="dxa"/>
          </w:tcPr>
          <w:p w14:paraId="4B737F89" w14:textId="77777777" w:rsidR="0028633A" w:rsidRPr="00402720" w:rsidRDefault="0028633A" w:rsidP="009E217E">
            <w:pPr>
              <w:spacing w:after="0" w:line="240" w:lineRule="auto"/>
              <w:rPr>
                <w:rFonts w:ascii="Times New Roman" w:hAnsi="Times New Roman" w:cs="Times New Roman"/>
                <w:lang w:val="de-DE"/>
              </w:rPr>
            </w:pPr>
            <w:r w:rsidRPr="00402720">
              <w:rPr>
                <w:rFonts w:ascii="Times New Roman" w:hAnsi="Times New Roman" w:cs="Times New Roman"/>
                <w:lang w:val="de-DE"/>
              </w:rPr>
              <w:t>PLD</w:t>
            </w:r>
          </w:p>
        </w:tc>
        <w:tc>
          <w:tcPr>
            <w:tcW w:w="6101" w:type="dxa"/>
            <w:gridSpan w:val="2"/>
          </w:tcPr>
          <w:p w14:paraId="28F08343"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n = 126</w:t>
            </w:r>
          </w:p>
        </w:tc>
      </w:tr>
      <w:tr w:rsidR="0028633A" w:rsidRPr="00402720" w14:paraId="0C409530" w14:textId="77777777" w:rsidTr="00CB38A2">
        <w:trPr>
          <w:trHeight w:val="20"/>
        </w:trPr>
        <w:tc>
          <w:tcPr>
            <w:tcW w:w="2971" w:type="dxa"/>
          </w:tcPr>
          <w:p w14:paraId="48046553" w14:textId="77777777" w:rsidR="0028633A" w:rsidRPr="00402720" w:rsidRDefault="0028633A" w:rsidP="00CB38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PFS (Monate)</w:t>
            </w:r>
          </w:p>
        </w:tc>
        <w:tc>
          <w:tcPr>
            <w:tcW w:w="2983" w:type="dxa"/>
          </w:tcPr>
          <w:p w14:paraId="6BB00EFF"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3,5</w:t>
            </w:r>
          </w:p>
        </w:tc>
        <w:tc>
          <w:tcPr>
            <w:tcW w:w="3118" w:type="dxa"/>
          </w:tcPr>
          <w:p w14:paraId="5C3C316A"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5,1</w:t>
            </w:r>
          </w:p>
        </w:tc>
      </w:tr>
      <w:tr w:rsidR="0028633A" w:rsidRPr="00402720" w14:paraId="6831F260" w14:textId="77777777" w:rsidTr="00CB38A2">
        <w:trPr>
          <w:trHeight w:val="20"/>
        </w:trPr>
        <w:tc>
          <w:tcPr>
            <w:tcW w:w="2971" w:type="dxa"/>
          </w:tcPr>
          <w:p w14:paraId="24A81893" w14:textId="3F017D7D" w:rsidR="0028633A" w:rsidRPr="00402720" w:rsidRDefault="0028633A" w:rsidP="00CB38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D07211">
              <w:rPr>
                <w:rFonts w:ascii="Times New Roman" w:hAnsi="Times New Roman" w:cs="Times New Roman"/>
                <w:lang w:val="de-DE"/>
              </w:rPr>
              <w:t> </w:t>
            </w:r>
            <w:r w:rsidRPr="00402720">
              <w:rPr>
                <w:rFonts w:ascii="Times New Roman" w:hAnsi="Times New Roman" w:cs="Times New Roman"/>
                <w:lang w:val="de-DE"/>
              </w:rPr>
              <w:t>%</w:t>
            </w:r>
            <w:r w:rsidR="00D07211">
              <w:rPr>
                <w:rFonts w:ascii="Times New Roman" w:hAnsi="Times New Roman" w:cs="Times New Roman"/>
                <w:lang w:val="de-DE"/>
              </w:rPr>
              <w:t> </w:t>
            </w:r>
            <w:r w:rsidRPr="00402720">
              <w:rPr>
                <w:rFonts w:ascii="Times New Roman" w:hAnsi="Times New Roman" w:cs="Times New Roman"/>
                <w:lang w:val="de-DE"/>
              </w:rPr>
              <w:t>KI)</w:t>
            </w:r>
          </w:p>
        </w:tc>
        <w:tc>
          <w:tcPr>
            <w:tcW w:w="6101" w:type="dxa"/>
            <w:gridSpan w:val="2"/>
          </w:tcPr>
          <w:p w14:paraId="5FC3737A"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0,53 [0,36; 0,77]</w:t>
            </w:r>
          </w:p>
        </w:tc>
      </w:tr>
      <w:tr w:rsidR="0028633A" w:rsidRPr="00402720" w14:paraId="06CAA290" w14:textId="77777777" w:rsidTr="00CB38A2">
        <w:trPr>
          <w:trHeight w:val="20"/>
        </w:trPr>
        <w:tc>
          <w:tcPr>
            <w:tcW w:w="2971" w:type="dxa"/>
          </w:tcPr>
          <w:p w14:paraId="5F2C2BA8" w14:textId="77777777" w:rsidR="0028633A" w:rsidRPr="00402720" w:rsidRDefault="0028633A" w:rsidP="00CB38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OS (Monate)</w:t>
            </w:r>
          </w:p>
        </w:tc>
        <w:tc>
          <w:tcPr>
            <w:tcW w:w="2983" w:type="dxa"/>
          </w:tcPr>
          <w:p w14:paraId="3C93C39E"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14,1</w:t>
            </w:r>
          </w:p>
        </w:tc>
        <w:tc>
          <w:tcPr>
            <w:tcW w:w="3118" w:type="dxa"/>
          </w:tcPr>
          <w:p w14:paraId="0BC45A58"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13,7</w:t>
            </w:r>
          </w:p>
        </w:tc>
      </w:tr>
      <w:tr w:rsidR="0028633A" w:rsidRPr="00402720" w14:paraId="03040A51" w14:textId="77777777" w:rsidTr="00CB38A2">
        <w:trPr>
          <w:trHeight w:val="20"/>
        </w:trPr>
        <w:tc>
          <w:tcPr>
            <w:tcW w:w="2971" w:type="dxa"/>
          </w:tcPr>
          <w:p w14:paraId="26CB1175" w14:textId="7B18E3CC" w:rsidR="0028633A" w:rsidRPr="00402720" w:rsidRDefault="0028633A" w:rsidP="00CB38A2">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D07211">
              <w:rPr>
                <w:rFonts w:ascii="Times New Roman" w:hAnsi="Times New Roman" w:cs="Times New Roman"/>
                <w:lang w:val="de-DE"/>
              </w:rPr>
              <w:t xml:space="preserve"> </w:t>
            </w:r>
            <w:r w:rsidRPr="00402720">
              <w:rPr>
                <w:rFonts w:ascii="Times New Roman" w:hAnsi="Times New Roman" w:cs="Times New Roman"/>
                <w:lang w:val="de-DE"/>
              </w:rPr>
              <w:t>%</w:t>
            </w:r>
            <w:r w:rsidR="00D07211">
              <w:rPr>
                <w:rFonts w:ascii="Times New Roman" w:hAnsi="Times New Roman" w:cs="Times New Roman"/>
                <w:lang w:val="de-DE"/>
              </w:rPr>
              <w:t> </w:t>
            </w:r>
            <w:r w:rsidRPr="00402720">
              <w:rPr>
                <w:rFonts w:ascii="Times New Roman" w:hAnsi="Times New Roman" w:cs="Times New Roman"/>
                <w:lang w:val="de-DE"/>
              </w:rPr>
              <w:t>KI)</w:t>
            </w:r>
          </w:p>
        </w:tc>
        <w:tc>
          <w:tcPr>
            <w:tcW w:w="6101" w:type="dxa"/>
            <w:gridSpan w:val="2"/>
          </w:tcPr>
          <w:p w14:paraId="5769703F" w14:textId="77777777" w:rsidR="0028633A" w:rsidRPr="00402720" w:rsidRDefault="0028633A" w:rsidP="009E217E">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0,91 [0,61; 1,35]</w:t>
            </w:r>
          </w:p>
        </w:tc>
      </w:tr>
    </w:tbl>
    <w:p w14:paraId="4D0C6858" w14:textId="77777777" w:rsidR="00010E8C" w:rsidRPr="009737B5" w:rsidRDefault="00010E8C" w:rsidP="00575014">
      <w:pPr>
        <w:suppressAutoHyphens/>
        <w:spacing w:after="0" w:line="240" w:lineRule="auto"/>
        <w:rPr>
          <w:rFonts w:ascii="Times New Roman" w:hAnsi="Times New Roman" w:cs="Times New Roman"/>
          <w:lang w:val="de-DE"/>
        </w:rPr>
      </w:pPr>
    </w:p>
    <w:p w14:paraId="700BC42C" w14:textId="77777777" w:rsidR="00010E8C" w:rsidRPr="009737B5" w:rsidRDefault="00575014" w:rsidP="009E217E">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lastRenderedPageBreak/>
        <w:t>Zervixkarzinom</w:t>
      </w:r>
    </w:p>
    <w:p w14:paraId="0E71B26A" w14:textId="77777777" w:rsidR="00575014" w:rsidRPr="009737B5" w:rsidRDefault="00575014" w:rsidP="009E217E">
      <w:pPr>
        <w:keepNext/>
        <w:suppressAutoHyphens/>
        <w:spacing w:after="0" w:line="240" w:lineRule="auto"/>
        <w:rPr>
          <w:rFonts w:ascii="Times New Roman" w:hAnsi="Times New Roman" w:cs="Times New Roman"/>
          <w:lang w:val="de-DE"/>
        </w:rPr>
      </w:pPr>
    </w:p>
    <w:p w14:paraId="3AD64BAC" w14:textId="77777777" w:rsidR="00010E8C" w:rsidRPr="009737B5" w:rsidRDefault="00010E8C" w:rsidP="009E217E">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GOG-0240</w:t>
      </w:r>
    </w:p>
    <w:p w14:paraId="4A21E40B" w14:textId="534A245D"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Wirksamkeit und Sicherheit von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in Kombination mit Chemotherapie (Paclitaxel und Cisplatin oder Paclitaxel und Topotecan) bei der Behandlung von Patienten mit persistierendem, rezidivierendem oder metastasiertem Zervixkarzinom wurde aus der Studie</w:t>
      </w:r>
      <w:r w:rsidR="00D07211">
        <w:rPr>
          <w:rFonts w:ascii="Times New Roman" w:hAnsi="Times New Roman" w:cs="Times New Roman"/>
          <w:lang w:val="de-DE"/>
        </w:rPr>
        <w:t> </w:t>
      </w:r>
      <w:r w:rsidRPr="009737B5">
        <w:rPr>
          <w:rFonts w:ascii="Times New Roman" w:hAnsi="Times New Roman" w:cs="Times New Roman"/>
          <w:lang w:val="de-DE"/>
        </w:rPr>
        <w:t>GOG-0240, einer randomisierten, vierarmigen, offenen, multizentrischen Phase</w:t>
      </w:r>
      <w:r w:rsidR="00D07211">
        <w:rPr>
          <w:rFonts w:ascii="Times New Roman" w:hAnsi="Times New Roman" w:cs="Times New Roman"/>
          <w:lang w:val="de-DE"/>
        </w:rPr>
        <w:t> </w:t>
      </w:r>
      <w:r w:rsidRPr="009737B5">
        <w:rPr>
          <w:rFonts w:ascii="Times New Roman" w:hAnsi="Times New Roman" w:cs="Times New Roman"/>
          <w:lang w:val="de-DE"/>
        </w:rPr>
        <w:t>III-Studie, evaluiert.</w:t>
      </w:r>
    </w:p>
    <w:p w14:paraId="11365CAE" w14:textId="77777777" w:rsidR="00010E8C" w:rsidRPr="009737B5" w:rsidRDefault="00010E8C" w:rsidP="005F4D08">
      <w:pPr>
        <w:suppressAutoHyphens/>
        <w:spacing w:after="0" w:line="240" w:lineRule="auto"/>
        <w:rPr>
          <w:rFonts w:ascii="Times New Roman" w:hAnsi="Times New Roman" w:cs="Times New Roman"/>
          <w:lang w:val="de-DE"/>
        </w:rPr>
      </w:pPr>
    </w:p>
    <w:p w14:paraId="6D8E3B27" w14:textId="5E61DA8D" w:rsidR="00010E8C" w:rsidRPr="009737B5" w:rsidRDefault="00010E8C" w:rsidP="009E217E">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Insgesamt wurden 452</w:t>
      </w:r>
      <w:r w:rsidR="00D07211">
        <w:rPr>
          <w:rFonts w:ascii="Times New Roman" w:hAnsi="Times New Roman" w:cs="Times New Roman"/>
          <w:lang w:val="de-DE"/>
        </w:rPr>
        <w:t> </w:t>
      </w:r>
      <w:r w:rsidRPr="009737B5">
        <w:rPr>
          <w:rFonts w:ascii="Times New Roman" w:hAnsi="Times New Roman" w:cs="Times New Roman"/>
          <w:lang w:val="de-DE"/>
        </w:rPr>
        <w:t>Patienten randomisiert und erhielten entweder:</w:t>
      </w:r>
    </w:p>
    <w:p w14:paraId="04802D00" w14:textId="77777777" w:rsidR="00010E8C" w:rsidRPr="009737B5" w:rsidRDefault="00010E8C" w:rsidP="009E217E">
      <w:pPr>
        <w:keepNext/>
        <w:suppressAutoHyphens/>
        <w:spacing w:after="0" w:line="240" w:lineRule="auto"/>
        <w:rPr>
          <w:rFonts w:ascii="Times New Roman" w:hAnsi="Times New Roman" w:cs="Times New Roman"/>
          <w:lang w:val="de-DE"/>
        </w:rPr>
      </w:pPr>
    </w:p>
    <w:p w14:paraId="444B06C8" w14:textId="02A32033" w:rsidR="00010E8C" w:rsidRPr="009737B5" w:rsidRDefault="00010E8C" w:rsidP="00575014">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Paclitaxel 135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über 24</w:t>
      </w:r>
      <w:r w:rsidR="00D07211">
        <w:rPr>
          <w:rFonts w:ascii="Times New Roman" w:hAnsi="Times New Roman" w:cs="Times New Roman"/>
          <w:lang w:val="de-DE"/>
        </w:rPr>
        <w:t> </w:t>
      </w:r>
      <w:r w:rsidRPr="009737B5">
        <w:rPr>
          <w:rFonts w:ascii="Times New Roman" w:hAnsi="Times New Roman" w:cs="Times New Roman"/>
          <w:lang w:val="de-DE"/>
        </w:rPr>
        <w:t>Stunden an Tag</w:t>
      </w:r>
      <w:r w:rsidR="00D07211">
        <w:rPr>
          <w:rFonts w:ascii="Times New Roman" w:hAnsi="Times New Roman" w:cs="Times New Roman"/>
          <w:lang w:val="de-DE"/>
        </w:rPr>
        <w:t> </w:t>
      </w:r>
      <w:r w:rsidRPr="009737B5">
        <w:rPr>
          <w:rFonts w:ascii="Times New Roman" w:hAnsi="Times New Roman" w:cs="Times New Roman"/>
          <w:lang w:val="de-DE"/>
        </w:rPr>
        <w:t>1 und Cisplatin 50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an Tag</w:t>
      </w:r>
      <w:r w:rsidR="00D07211">
        <w:rPr>
          <w:rFonts w:ascii="Times New Roman" w:hAnsi="Times New Roman" w:cs="Times New Roman"/>
          <w:lang w:val="de-DE"/>
        </w:rPr>
        <w:t> </w:t>
      </w:r>
      <w:r w:rsidRPr="009737B5">
        <w:rPr>
          <w:rFonts w:ascii="Times New Roman" w:hAnsi="Times New Roman" w:cs="Times New Roman"/>
          <w:lang w:val="de-DE"/>
        </w:rPr>
        <w:t>2, alle</w:t>
      </w:r>
      <w:r w:rsidR="00575014" w:rsidRPr="009737B5">
        <w:rPr>
          <w:rFonts w:ascii="Times New Roman" w:hAnsi="Times New Roman" w:cs="Times New Roman"/>
          <w:lang w:val="de-DE"/>
        </w:rPr>
        <w:t xml:space="preserve"> </w:t>
      </w:r>
      <w:r w:rsidRPr="009737B5">
        <w:rPr>
          <w:rFonts w:ascii="Times New Roman" w:hAnsi="Times New Roman" w:cs="Times New Roman"/>
          <w:lang w:val="de-DE"/>
        </w:rPr>
        <w:t>3</w:t>
      </w:r>
      <w:r w:rsidR="00D07211">
        <w:rPr>
          <w:rFonts w:ascii="Times New Roman" w:hAnsi="Times New Roman" w:cs="Times New Roman"/>
          <w:lang w:val="de-DE"/>
        </w:rPr>
        <w:t> </w:t>
      </w:r>
      <w:r w:rsidRPr="009737B5">
        <w:rPr>
          <w:rFonts w:ascii="Times New Roman" w:hAnsi="Times New Roman" w:cs="Times New Roman"/>
          <w:lang w:val="de-DE"/>
        </w:rPr>
        <w:t>Wochen; oder</w:t>
      </w:r>
    </w:p>
    <w:p w14:paraId="0D4FFFD3" w14:textId="5A4BFEE2" w:rsidR="00010E8C" w:rsidRPr="009737B5" w:rsidRDefault="00010E8C" w:rsidP="00575014">
      <w:pPr>
        <w:suppressAutoHyphens/>
        <w:spacing w:after="0" w:line="240" w:lineRule="auto"/>
        <w:ind w:left="567"/>
        <w:rPr>
          <w:rFonts w:ascii="Times New Roman" w:hAnsi="Times New Roman" w:cs="Times New Roman"/>
          <w:lang w:val="de-DE"/>
        </w:rPr>
      </w:pPr>
      <w:r w:rsidRPr="009737B5">
        <w:rPr>
          <w:rFonts w:ascii="Times New Roman" w:hAnsi="Times New Roman" w:cs="Times New Roman"/>
          <w:lang w:val="de-DE"/>
        </w:rPr>
        <w:t>Paclitaxel 175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über 3</w:t>
      </w:r>
      <w:r w:rsidR="00D07211">
        <w:rPr>
          <w:rFonts w:ascii="Times New Roman" w:hAnsi="Times New Roman" w:cs="Times New Roman"/>
          <w:lang w:val="de-DE"/>
        </w:rPr>
        <w:t> </w:t>
      </w:r>
      <w:r w:rsidRPr="009737B5">
        <w:rPr>
          <w:rFonts w:ascii="Times New Roman" w:hAnsi="Times New Roman" w:cs="Times New Roman"/>
          <w:lang w:val="de-DE"/>
        </w:rPr>
        <w:t>Stunden an Tag</w:t>
      </w:r>
      <w:r w:rsidR="00D07211">
        <w:rPr>
          <w:rFonts w:ascii="Times New Roman" w:hAnsi="Times New Roman" w:cs="Times New Roman"/>
          <w:lang w:val="de-DE"/>
        </w:rPr>
        <w:t> </w:t>
      </w:r>
      <w:r w:rsidRPr="009737B5">
        <w:rPr>
          <w:rFonts w:ascii="Times New Roman" w:hAnsi="Times New Roman" w:cs="Times New Roman"/>
          <w:lang w:val="de-DE"/>
        </w:rPr>
        <w:t>1 und Cisplatin 50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an Tag</w:t>
      </w:r>
      <w:r w:rsidR="00D07211">
        <w:rPr>
          <w:rFonts w:ascii="Times New Roman" w:hAnsi="Times New Roman" w:cs="Times New Roman"/>
          <w:lang w:val="de-DE"/>
        </w:rPr>
        <w:t> </w:t>
      </w:r>
      <w:r w:rsidRPr="009737B5">
        <w:rPr>
          <w:rFonts w:ascii="Times New Roman" w:hAnsi="Times New Roman" w:cs="Times New Roman"/>
          <w:lang w:val="de-DE"/>
        </w:rPr>
        <w:t>2 alle</w:t>
      </w:r>
      <w:r w:rsidR="00575014" w:rsidRPr="009737B5">
        <w:rPr>
          <w:rFonts w:ascii="Times New Roman" w:hAnsi="Times New Roman" w:cs="Times New Roman"/>
          <w:lang w:val="de-DE"/>
        </w:rPr>
        <w:t xml:space="preserve"> </w:t>
      </w:r>
      <w:r w:rsidRPr="009737B5">
        <w:rPr>
          <w:rFonts w:ascii="Times New Roman" w:hAnsi="Times New Roman" w:cs="Times New Roman"/>
          <w:lang w:val="de-DE"/>
        </w:rPr>
        <w:t>3</w:t>
      </w:r>
      <w:r w:rsidR="00D07211">
        <w:rPr>
          <w:rFonts w:ascii="Times New Roman" w:hAnsi="Times New Roman" w:cs="Times New Roman"/>
          <w:lang w:val="de-DE"/>
        </w:rPr>
        <w:t> </w:t>
      </w:r>
      <w:r w:rsidRPr="009737B5">
        <w:rPr>
          <w:rFonts w:ascii="Times New Roman" w:hAnsi="Times New Roman" w:cs="Times New Roman"/>
          <w:lang w:val="de-DE"/>
        </w:rPr>
        <w:t>Wochen; oder</w:t>
      </w:r>
    </w:p>
    <w:p w14:paraId="5115FAF9" w14:textId="40A1E79D" w:rsidR="00010E8C" w:rsidRPr="009737B5" w:rsidRDefault="00010E8C" w:rsidP="00575014">
      <w:pPr>
        <w:suppressAutoHyphens/>
        <w:spacing w:after="0" w:line="240" w:lineRule="auto"/>
        <w:ind w:left="567"/>
        <w:rPr>
          <w:rFonts w:ascii="Times New Roman" w:hAnsi="Times New Roman" w:cs="Times New Roman"/>
          <w:lang w:val="de-DE"/>
        </w:rPr>
      </w:pPr>
      <w:r w:rsidRPr="009737B5">
        <w:rPr>
          <w:rFonts w:ascii="Times New Roman" w:hAnsi="Times New Roman" w:cs="Times New Roman"/>
          <w:lang w:val="de-DE"/>
        </w:rPr>
        <w:t>Paclitaxel 175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über 3</w:t>
      </w:r>
      <w:r w:rsidR="00D07211">
        <w:rPr>
          <w:rFonts w:ascii="Times New Roman" w:hAnsi="Times New Roman" w:cs="Times New Roman"/>
          <w:lang w:val="de-DE"/>
        </w:rPr>
        <w:t> </w:t>
      </w:r>
      <w:r w:rsidRPr="009737B5">
        <w:rPr>
          <w:rFonts w:ascii="Times New Roman" w:hAnsi="Times New Roman" w:cs="Times New Roman"/>
          <w:lang w:val="de-DE"/>
        </w:rPr>
        <w:t>Stunden an Tag</w:t>
      </w:r>
      <w:r w:rsidR="00D07211">
        <w:rPr>
          <w:rFonts w:ascii="Times New Roman" w:hAnsi="Times New Roman" w:cs="Times New Roman"/>
          <w:lang w:val="de-DE"/>
        </w:rPr>
        <w:t> </w:t>
      </w:r>
      <w:r w:rsidRPr="009737B5">
        <w:rPr>
          <w:rFonts w:ascii="Times New Roman" w:hAnsi="Times New Roman" w:cs="Times New Roman"/>
          <w:lang w:val="de-DE"/>
        </w:rPr>
        <w:t>1 und Cisplatin 50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an Tag</w:t>
      </w:r>
      <w:r w:rsidR="00D07211">
        <w:rPr>
          <w:rFonts w:ascii="Times New Roman" w:hAnsi="Times New Roman" w:cs="Times New Roman"/>
          <w:lang w:val="de-DE"/>
        </w:rPr>
        <w:t> </w:t>
      </w:r>
      <w:r w:rsidRPr="009737B5">
        <w:rPr>
          <w:rFonts w:ascii="Times New Roman" w:hAnsi="Times New Roman" w:cs="Times New Roman"/>
          <w:lang w:val="de-DE"/>
        </w:rPr>
        <w:t>1 alle 3</w:t>
      </w:r>
      <w:r w:rsidR="00D07211">
        <w:rPr>
          <w:rFonts w:ascii="Times New Roman" w:hAnsi="Times New Roman" w:cs="Times New Roman"/>
          <w:lang w:val="de-DE"/>
        </w:rPr>
        <w:t> </w:t>
      </w:r>
      <w:r w:rsidRPr="009737B5">
        <w:rPr>
          <w:rFonts w:ascii="Times New Roman" w:hAnsi="Times New Roman" w:cs="Times New Roman"/>
          <w:lang w:val="de-DE"/>
        </w:rPr>
        <w:t>Wochen</w:t>
      </w:r>
    </w:p>
    <w:p w14:paraId="5349FA92" w14:textId="77777777" w:rsidR="00010E8C" w:rsidRPr="009737B5" w:rsidRDefault="00010E8C" w:rsidP="005F4D08">
      <w:pPr>
        <w:suppressAutoHyphens/>
        <w:spacing w:after="0" w:line="240" w:lineRule="auto"/>
        <w:rPr>
          <w:rFonts w:ascii="Times New Roman" w:hAnsi="Times New Roman" w:cs="Times New Roman"/>
          <w:lang w:val="de-DE"/>
        </w:rPr>
      </w:pPr>
    </w:p>
    <w:p w14:paraId="2A903D10" w14:textId="78E91BAE" w:rsidR="00010E8C" w:rsidRPr="009737B5" w:rsidRDefault="00010E8C" w:rsidP="00D87918">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Paclitaxel 135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über 24</w:t>
      </w:r>
      <w:r w:rsidR="00D07211">
        <w:rPr>
          <w:rFonts w:ascii="Times New Roman" w:hAnsi="Times New Roman" w:cs="Times New Roman"/>
          <w:lang w:val="de-DE"/>
        </w:rPr>
        <w:t> </w:t>
      </w:r>
      <w:r w:rsidRPr="009737B5">
        <w:rPr>
          <w:rFonts w:ascii="Times New Roman" w:hAnsi="Times New Roman" w:cs="Times New Roman"/>
          <w:lang w:val="de-DE"/>
        </w:rPr>
        <w:t>Stunden an Tag</w:t>
      </w:r>
      <w:r w:rsidR="00D07211">
        <w:rPr>
          <w:rFonts w:ascii="Times New Roman" w:hAnsi="Times New Roman" w:cs="Times New Roman"/>
          <w:lang w:val="de-DE"/>
        </w:rPr>
        <w:t> </w:t>
      </w:r>
      <w:r w:rsidRPr="009737B5">
        <w:rPr>
          <w:rFonts w:ascii="Times New Roman" w:hAnsi="Times New Roman" w:cs="Times New Roman"/>
          <w:lang w:val="de-DE"/>
        </w:rPr>
        <w:t>1 und Cisplatin 50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an Tag</w:t>
      </w:r>
      <w:r w:rsidR="00D07211">
        <w:rPr>
          <w:rFonts w:ascii="Times New Roman" w:hAnsi="Times New Roman" w:cs="Times New Roman"/>
          <w:lang w:val="de-DE"/>
        </w:rPr>
        <w:t> </w:t>
      </w:r>
      <w:r w:rsidRPr="009737B5">
        <w:rPr>
          <w:rFonts w:ascii="Times New Roman" w:hAnsi="Times New Roman" w:cs="Times New Roman"/>
          <w:lang w:val="de-DE"/>
        </w:rPr>
        <w:t xml:space="preserve">2 </w:t>
      </w:r>
      <w:r w:rsidR="00777359" w:rsidRPr="009737B5">
        <w:rPr>
          <w:rFonts w:ascii="Times New Roman" w:hAnsi="Times New Roman" w:cs="Times New Roman"/>
          <w:lang w:val="de-DE"/>
        </w:rPr>
        <w:t>p</w:t>
      </w:r>
      <w:r w:rsidRPr="009737B5">
        <w:rPr>
          <w:rFonts w:ascii="Times New Roman" w:hAnsi="Times New Roman" w:cs="Times New Roman"/>
          <w:lang w:val="de-DE"/>
        </w:rPr>
        <w:t>lus</w:t>
      </w:r>
      <w:r w:rsidR="00256573">
        <w:rPr>
          <w:rFonts w:ascii="Times New Roman" w:hAnsi="Times New Roman" w:cs="Times New Roman"/>
          <w:lang w:val="de-DE"/>
        </w:rPr>
        <w:t xml:space="preserve"> </w:t>
      </w:r>
      <w:r w:rsidRPr="009737B5">
        <w:rPr>
          <w:rFonts w:ascii="Times New Roman" w:hAnsi="Times New Roman" w:cs="Times New Roman"/>
          <w:lang w:val="de-DE"/>
        </w:rPr>
        <w:t>Bevacizumab 15</w:t>
      </w:r>
      <w:r w:rsidR="00AB26B9" w:rsidRPr="009737B5">
        <w:rPr>
          <w:rFonts w:ascii="Times New Roman" w:hAnsi="Times New Roman" w:cs="Times New Roman"/>
          <w:lang w:val="de-DE"/>
        </w:rPr>
        <w:t> mg</w:t>
      </w:r>
      <w:r w:rsidRPr="009737B5">
        <w:rPr>
          <w:rFonts w:ascii="Times New Roman" w:hAnsi="Times New Roman" w:cs="Times New Roman"/>
          <w:lang w:val="de-DE"/>
        </w:rPr>
        <w:t>/kg i.v. an Tag</w:t>
      </w:r>
      <w:r w:rsidR="00D07211">
        <w:rPr>
          <w:rFonts w:ascii="Times New Roman" w:hAnsi="Times New Roman" w:cs="Times New Roman"/>
          <w:lang w:val="de-DE"/>
        </w:rPr>
        <w:t> </w:t>
      </w:r>
      <w:r w:rsidRPr="009737B5">
        <w:rPr>
          <w:rFonts w:ascii="Times New Roman" w:hAnsi="Times New Roman" w:cs="Times New Roman"/>
          <w:lang w:val="de-DE"/>
        </w:rPr>
        <w:t>2 alle 3</w:t>
      </w:r>
      <w:r w:rsidR="00D07211">
        <w:rPr>
          <w:rFonts w:ascii="Times New Roman" w:hAnsi="Times New Roman" w:cs="Times New Roman"/>
          <w:lang w:val="de-DE"/>
        </w:rPr>
        <w:t> </w:t>
      </w:r>
      <w:r w:rsidRPr="009737B5">
        <w:rPr>
          <w:rFonts w:ascii="Times New Roman" w:hAnsi="Times New Roman" w:cs="Times New Roman"/>
          <w:lang w:val="de-DE"/>
        </w:rPr>
        <w:t>Wochen; oder</w:t>
      </w:r>
    </w:p>
    <w:p w14:paraId="1B4A8343" w14:textId="447A8C62" w:rsidR="00010E8C" w:rsidRPr="009737B5" w:rsidRDefault="00010E8C" w:rsidP="00D87918">
      <w:pPr>
        <w:suppressAutoHyphens/>
        <w:spacing w:after="0" w:line="240" w:lineRule="auto"/>
        <w:ind w:left="567"/>
        <w:rPr>
          <w:rFonts w:ascii="Times New Roman" w:hAnsi="Times New Roman" w:cs="Times New Roman"/>
          <w:lang w:val="de-DE"/>
        </w:rPr>
      </w:pPr>
      <w:r w:rsidRPr="009737B5">
        <w:rPr>
          <w:rFonts w:ascii="Times New Roman" w:hAnsi="Times New Roman" w:cs="Times New Roman"/>
          <w:lang w:val="de-DE"/>
        </w:rPr>
        <w:t>Paclitaxel 175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über 3</w:t>
      </w:r>
      <w:r w:rsidR="00D07211">
        <w:rPr>
          <w:rFonts w:ascii="Times New Roman" w:hAnsi="Times New Roman" w:cs="Times New Roman"/>
          <w:lang w:val="de-DE"/>
        </w:rPr>
        <w:t> </w:t>
      </w:r>
      <w:r w:rsidRPr="009737B5">
        <w:rPr>
          <w:rFonts w:ascii="Times New Roman" w:hAnsi="Times New Roman" w:cs="Times New Roman"/>
          <w:lang w:val="de-DE"/>
        </w:rPr>
        <w:t>Stunden an Tag</w:t>
      </w:r>
      <w:r w:rsidR="00D07211">
        <w:rPr>
          <w:rFonts w:ascii="Times New Roman" w:hAnsi="Times New Roman" w:cs="Times New Roman"/>
          <w:lang w:val="de-DE"/>
        </w:rPr>
        <w:t> </w:t>
      </w:r>
      <w:r w:rsidRPr="009737B5">
        <w:rPr>
          <w:rFonts w:ascii="Times New Roman" w:hAnsi="Times New Roman" w:cs="Times New Roman"/>
          <w:lang w:val="de-DE"/>
        </w:rPr>
        <w:t>1 und Cisplatin 50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an Tag</w:t>
      </w:r>
      <w:r w:rsidR="00D07211">
        <w:rPr>
          <w:rFonts w:ascii="Times New Roman" w:hAnsi="Times New Roman" w:cs="Times New Roman"/>
          <w:lang w:val="de-DE"/>
        </w:rPr>
        <w:t> </w:t>
      </w:r>
      <w:r w:rsidRPr="009737B5">
        <w:rPr>
          <w:rFonts w:ascii="Times New Roman" w:hAnsi="Times New Roman" w:cs="Times New Roman"/>
          <w:lang w:val="de-DE"/>
        </w:rPr>
        <w:t>2 plus</w:t>
      </w:r>
      <w:r w:rsidR="00256573">
        <w:rPr>
          <w:rFonts w:ascii="Times New Roman" w:hAnsi="Times New Roman" w:cs="Times New Roman"/>
          <w:lang w:val="de-DE"/>
        </w:rPr>
        <w:t xml:space="preserve"> </w:t>
      </w:r>
      <w:r w:rsidRPr="009737B5">
        <w:rPr>
          <w:rFonts w:ascii="Times New Roman" w:hAnsi="Times New Roman" w:cs="Times New Roman"/>
          <w:lang w:val="de-DE"/>
        </w:rPr>
        <w:t>Bevacizumab 15</w:t>
      </w:r>
      <w:r w:rsidR="00AB26B9" w:rsidRPr="009737B5">
        <w:rPr>
          <w:rFonts w:ascii="Times New Roman" w:hAnsi="Times New Roman" w:cs="Times New Roman"/>
          <w:lang w:val="de-DE"/>
        </w:rPr>
        <w:t> mg</w:t>
      </w:r>
      <w:r w:rsidRPr="009737B5">
        <w:rPr>
          <w:rFonts w:ascii="Times New Roman" w:hAnsi="Times New Roman" w:cs="Times New Roman"/>
          <w:lang w:val="de-DE"/>
        </w:rPr>
        <w:t>/kg i.v. an Tag</w:t>
      </w:r>
      <w:r w:rsidR="00D07211">
        <w:rPr>
          <w:rFonts w:ascii="Times New Roman" w:hAnsi="Times New Roman" w:cs="Times New Roman"/>
          <w:lang w:val="de-DE"/>
        </w:rPr>
        <w:t> </w:t>
      </w:r>
      <w:r w:rsidRPr="009737B5">
        <w:rPr>
          <w:rFonts w:ascii="Times New Roman" w:hAnsi="Times New Roman" w:cs="Times New Roman"/>
          <w:lang w:val="de-DE"/>
        </w:rPr>
        <w:t>2 alle 3</w:t>
      </w:r>
      <w:r w:rsidR="00D07211">
        <w:rPr>
          <w:rFonts w:ascii="Times New Roman" w:hAnsi="Times New Roman" w:cs="Times New Roman"/>
          <w:lang w:val="de-DE"/>
        </w:rPr>
        <w:t> </w:t>
      </w:r>
      <w:r w:rsidRPr="009737B5">
        <w:rPr>
          <w:rFonts w:ascii="Times New Roman" w:hAnsi="Times New Roman" w:cs="Times New Roman"/>
          <w:lang w:val="de-DE"/>
        </w:rPr>
        <w:t>Wochen; oder</w:t>
      </w:r>
    </w:p>
    <w:p w14:paraId="7FA9281D" w14:textId="65727D0B" w:rsidR="00010E8C" w:rsidRPr="009737B5" w:rsidRDefault="00010E8C" w:rsidP="00D87918">
      <w:pPr>
        <w:suppressAutoHyphens/>
        <w:spacing w:after="0" w:line="240" w:lineRule="auto"/>
        <w:ind w:left="567"/>
        <w:rPr>
          <w:rFonts w:ascii="Times New Roman" w:hAnsi="Times New Roman" w:cs="Times New Roman"/>
          <w:lang w:val="de-DE"/>
        </w:rPr>
      </w:pPr>
      <w:r w:rsidRPr="009737B5">
        <w:rPr>
          <w:rFonts w:ascii="Times New Roman" w:hAnsi="Times New Roman" w:cs="Times New Roman"/>
          <w:lang w:val="de-DE"/>
        </w:rPr>
        <w:t>Paclitaxel 175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über 3</w:t>
      </w:r>
      <w:r w:rsidR="00D07211">
        <w:rPr>
          <w:rFonts w:ascii="Times New Roman" w:hAnsi="Times New Roman" w:cs="Times New Roman"/>
          <w:lang w:val="de-DE"/>
        </w:rPr>
        <w:t> </w:t>
      </w:r>
      <w:r w:rsidRPr="009737B5">
        <w:rPr>
          <w:rFonts w:ascii="Times New Roman" w:hAnsi="Times New Roman" w:cs="Times New Roman"/>
          <w:lang w:val="de-DE"/>
        </w:rPr>
        <w:t>Stunden an Tag</w:t>
      </w:r>
      <w:r w:rsidR="00D07211">
        <w:rPr>
          <w:rFonts w:ascii="Times New Roman" w:hAnsi="Times New Roman" w:cs="Times New Roman"/>
          <w:lang w:val="de-DE"/>
        </w:rPr>
        <w:t> </w:t>
      </w:r>
      <w:r w:rsidRPr="009737B5">
        <w:rPr>
          <w:rFonts w:ascii="Times New Roman" w:hAnsi="Times New Roman" w:cs="Times New Roman"/>
          <w:lang w:val="de-DE"/>
        </w:rPr>
        <w:t>1 und Cisplatin 50</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an Tag</w:t>
      </w:r>
      <w:r w:rsidR="00D07211">
        <w:rPr>
          <w:rFonts w:ascii="Times New Roman" w:hAnsi="Times New Roman" w:cs="Times New Roman"/>
          <w:lang w:val="de-DE"/>
        </w:rPr>
        <w:t> </w:t>
      </w:r>
      <w:r w:rsidRPr="009737B5">
        <w:rPr>
          <w:rFonts w:ascii="Times New Roman" w:hAnsi="Times New Roman" w:cs="Times New Roman"/>
          <w:lang w:val="de-DE"/>
        </w:rPr>
        <w:t>1 plus</w:t>
      </w:r>
      <w:r w:rsidR="00256573">
        <w:rPr>
          <w:rFonts w:ascii="Times New Roman" w:hAnsi="Times New Roman" w:cs="Times New Roman"/>
          <w:lang w:val="de-DE"/>
        </w:rPr>
        <w:t xml:space="preserve"> </w:t>
      </w:r>
      <w:r w:rsidRPr="009737B5">
        <w:rPr>
          <w:rFonts w:ascii="Times New Roman" w:hAnsi="Times New Roman" w:cs="Times New Roman"/>
          <w:lang w:val="de-DE"/>
        </w:rPr>
        <w:t>Bevacizumab 15</w:t>
      </w:r>
      <w:r w:rsidR="00AB26B9" w:rsidRPr="009737B5">
        <w:rPr>
          <w:rFonts w:ascii="Times New Roman" w:hAnsi="Times New Roman" w:cs="Times New Roman"/>
          <w:lang w:val="de-DE"/>
        </w:rPr>
        <w:t> mg</w:t>
      </w:r>
      <w:r w:rsidRPr="009737B5">
        <w:rPr>
          <w:rFonts w:ascii="Times New Roman" w:hAnsi="Times New Roman" w:cs="Times New Roman"/>
          <w:lang w:val="de-DE"/>
        </w:rPr>
        <w:t>/kg i.v. an Tag</w:t>
      </w:r>
      <w:r w:rsidR="00D07211">
        <w:rPr>
          <w:rFonts w:ascii="Times New Roman" w:hAnsi="Times New Roman" w:cs="Times New Roman"/>
          <w:lang w:val="de-DE"/>
        </w:rPr>
        <w:t> </w:t>
      </w:r>
      <w:r w:rsidRPr="009737B5">
        <w:rPr>
          <w:rFonts w:ascii="Times New Roman" w:hAnsi="Times New Roman" w:cs="Times New Roman"/>
          <w:lang w:val="de-DE"/>
        </w:rPr>
        <w:t>1 alle 3</w:t>
      </w:r>
      <w:r w:rsidR="00D07211">
        <w:rPr>
          <w:rFonts w:ascii="Times New Roman" w:hAnsi="Times New Roman" w:cs="Times New Roman"/>
          <w:lang w:val="de-DE"/>
        </w:rPr>
        <w:t> </w:t>
      </w:r>
      <w:r w:rsidRPr="009737B5">
        <w:rPr>
          <w:rFonts w:ascii="Times New Roman" w:hAnsi="Times New Roman" w:cs="Times New Roman"/>
          <w:lang w:val="de-DE"/>
        </w:rPr>
        <w:t>Wochen</w:t>
      </w:r>
    </w:p>
    <w:p w14:paraId="1774CA69" w14:textId="77777777" w:rsidR="00010E8C" w:rsidRPr="009737B5" w:rsidRDefault="00010E8C" w:rsidP="005F4D08">
      <w:pPr>
        <w:suppressAutoHyphens/>
        <w:spacing w:after="0" w:line="240" w:lineRule="auto"/>
        <w:rPr>
          <w:rFonts w:ascii="Times New Roman" w:hAnsi="Times New Roman" w:cs="Times New Roman"/>
          <w:lang w:val="de-DE"/>
        </w:rPr>
      </w:pPr>
    </w:p>
    <w:p w14:paraId="7685EAF1" w14:textId="222D80FC" w:rsidR="00010E8C" w:rsidRPr="009737B5" w:rsidRDefault="00010E8C" w:rsidP="00777359">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Paclitaxel 175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über 3</w:t>
      </w:r>
      <w:r w:rsidR="00D07211">
        <w:rPr>
          <w:rFonts w:ascii="Times New Roman" w:hAnsi="Times New Roman" w:cs="Times New Roman"/>
          <w:lang w:val="de-DE"/>
        </w:rPr>
        <w:t> </w:t>
      </w:r>
      <w:r w:rsidRPr="009737B5">
        <w:rPr>
          <w:rFonts w:ascii="Times New Roman" w:hAnsi="Times New Roman" w:cs="Times New Roman"/>
          <w:lang w:val="de-DE"/>
        </w:rPr>
        <w:t>Stunden an Tag</w:t>
      </w:r>
      <w:r w:rsidR="00D07211">
        <w:rPr>
          <w:rFonts w:ascii="Times New Roman" w:hAnsi="Times New Roman" w:cs="Times New Roman"/>
          <w:lang w:val="de-DE"/>
        </w:rPr>
        <w:t> </w:t>
      </w:r>
      <w:r w:rsidRPr="009737B5">
        <w:rPr>
          <w:rFonts w:ascii="Times New Roman" w:hAnsi="Times New Roman" w:cs="Times New Roman"/>
          <w:lang w:val="de-DE"/>
        </w:rPr>
        <w:t>1 und Topotecan 0,75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über 30</w:t>
      </w:r>
      <w:r w:rsidR="00D07211">
        <w:rPr>
          <w:rFonts w:ascii="Times New Roman" w:hAnsi="Times New Roman" w:cs="Times New Roman"/>
          <w:lang w:val="de-DE"/>
        </w:rPr>
        <w:t> </w:t>
      </w:r>
      <w:r w:rsidRPr="009737B5">
        <w:rPr>
          <w:rFonts w:ascii="Times New Roman" w:hAnsi="Times New Roman" w:cs="Times New Roman"/>
          <w:lang w:val="de-DE"/>
        </w:rPr>
        <w:t>Minuten an den Tagen</w:t>
      </w:r>
      <w:r w:rsidR="00D07211">
        <w:rPr>
          <w:rFonts w:ascii="Times New Roman" w:hAnsi="Times New Roman" w:cs="Times New Roman"/>
          <w:lang w:val="de-DE"/>
        </w:rPr>
        <w:t> </w:t>
      </w:r>
      <w:r w:rsidRPr="009737B5">
        <w:rPr>
          <w:rFonts w:ascii="Times New Roman" w:hAnsi="Times New Roman" w:cs="Times New Roman"/>
          <w:lang w:val="de-DE"/>
        </w:rPr>
        <w:t>1</w:t>
      </w:r>
      <w:r w:rsidR="00D07211">
        <w:rPr>
          <w:rFonts w:ascii="Times New Roman" w:hAnsi="Times New Roman" w:cs="Times New Roman"/>
          <w:lang w:val="de-DE"/>
        </w:rPr>
        <w:t> </w:t>
      </w:r>
      <w:r w:rsidRPr="009737B5">
        <w:rPr>
          <w:rFonts w:ascii="Times New Roman" w:hAnsi="Times New Roman" w:cs="Times New Roman"/>
          <w:lang w:val="de-DE"/>
        </w:rPr>
        <w:t>-</w:t>
      </w:r>
      <w:r w:rsidR="00D07211">
        <w:rPr>
          <w:rFonts w:ascii="Times New Roman" w:hAnsi="Times New Roman" w:cs="Times New Roman"/>
          <w:lang w:val="de-DE"/>
        </w:rPr>
        <w:t> </w:t>
      </w:r>
      <w:r w:rsidRPr="009737B5">
        <w:rPr>
          <w:rFonts w:ascii="Times New Roman" w:hAnsi="Times New Roman" w:cs="Times New Roman"/>
          <w:lang w:val="de-DE"/>
        </w:rPr>
        <w:t>3 alle 3</w:t>
      </w:r>
      <w:r w:rsidR="00D07211">
        <w:rPr>
          <w:rFonts w:ascii="Times New Roman" w:hAnsi="Times New Roman" w:cs="Times New Roman"/>
          <w:lang w:val="de-DE"/>
        </w:rPr>
        <w:t> </w:t>
      </w:r>
      <w:r w:rsidRPr="009737B5">
        <w:rPr>
          <w:rFonts w:ascii="Times New Roman" w:hAnsi="Times New Roman" w:cs="Times New Roman"/>
          <w:lang w:val="de-DE"/>
        </w:rPr>
        <w:t>Wochen</w:t>
      </w:r>
    </w:p>
    <w:p w14:paraId="0A9326BA" w14:textId="77777777" w:rsidR="00010E8C" w:rsidRPr="009737B5" w:rsidRDefault="00010E8C" w:rsidP="005F4D08">
      <w:pPr>
        <w:suppressAutoHyphens/>
        <w:spacing w:after="0" w:line="240" w:lineRule="auto"/>
        <w:rPr>
          <w:rFonts w:ascii="Times New Roman" w:hAnsi="Times New Roman" w:cs="Times New Roman"/>
          <w:lang w:val="de-DE"/>
        </w:rPr>
      </w:pPr>
    </w:p>
    <w:p w14:paraId="4A4154C2" w14:textId="5514CE28" w:rsidR="00010E8C" w:rsidRPr="009737B5" w:rsidRDefault="00010E8C" w:rsidP="00777359">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t>
      </w:r>
      <w:r w:rsidRPr="009737B5">
        <w:rPr>
          <w:rFonts w:ascii="Times New Roman" w:hAnsi="Times New Roman" w:cs="Times New Roman"/>
          <w:lang w:val="de-DE"/>
        </w:rPr>
        <w:tab/>
        <w:t>Paclitaxel 175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über 3</w:t>
      </w:r>
      <w:r w:rsidR="00D07211">
        <w:rPr>
          <w:rFonts w:ascii="Times New Roman" w:hAnsi="Times New Roman" w:cs="Times New Roman"/>
          <w:lang w:val="de-DE"/>
        </w:rPr>
        <w:t> </w:t>
      </w:r>
      <w:r w:rsidRPr="009737B5">
        <w:rPr>
          <w:rFonts w:ascii="Times New Roman" w:hAnsi="Times New Roman" w:cs="Times New Roman"/>
          <w:lang w:val="de-DE"/>
        </w:rPr>
        <w:t>Stunden an Tag</w:t>
      </w:r>
      <w:r w:rsidR="00D07211">
        <w:rPr>
          <w:rFonts w:ascii="Times New Roman" w:hAnsi="Times New Roman" w:cs="Times New Roman"/>
          <w:lang w:val="de-DE"/>
        </w:rPr>
        <w:t> </w:t>
      </w:r>
      <w:r w:rsidRPr="009737B5">
        <w:rPr>
          <w:rFonts w:ascii="Times New Roman" w:hAnsi="Times New Roman" w:cs="Times New Roman"/>
          <w:lang w:val="de-DE"/>
        </w:rPr>
        <w:t>1 und Topotecan 0,75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i.v. über</w:t>
      </w:r>
      <w:r w:rsidR="00777359" w:rsidRPr="009737B5">
        <w:rPr>
          <w:rFonts w:ascii="Times New Roman" w:hAnsi="Times New Roman" w:cs="Times New Roman"/>
          <w:lang w:val="de-DE"/>
        </w:rPr>
        <w:t xml:space="preserve"> </w:t>
      </w:r>
      <w:r w:rsidRPr="009737B5">
        <w:rPr>
          <w:rFonts w:ascii="Times New Roman" w:hAnsi="Times New Roman" w:cs="Times New Roman"/>
          <w:lang w:val="de-DE"/>
        </w:rPr>
        <w:t>30</w:t>
      </w:r>
      <w:r w:rsidR="00D07211">
        <w:rPr>
          <w:rFonts w:ascii="Times New Roman" w:hAnsi="Times New Roman" w:cs="Times New Roman"/>
          <w:lang w:val="de-DE"/>
        </w:rPr>
        <w:t> </w:t>
      </w:r>
      <w:r w:rsidRPr="009737B5">
        <w:rPr>
          <w:rFonts w:ascii="Times New Roman" w:hAnsi="Times New Roman" w:cs="Times New Roman"/>
          <w:lang w:val="de-DE"/>
        </w:rPr>
        <w:t>Minuten an den Tagen</w:t>
      </w:r>
      <w:r w:rsidR="00D07211">
        <w:rPr>
          <w:rFonts w:ascii="Times New Roman" w:hAnsi="Times New Roman" w:cs="Times New Roman"/>
          <w:lang w:val="de-DE"/>
        </w:rPr>
        <w:t> </w:t>
      </w:r>
      <w:r w:rsidRPr="009737B5">
        <w:rPr>
          <w:rFonts w:ascii="Times New Roman" w:hAnsi="Times New Roman" w:cs="Times New Roman"/>
          <w:lang w:val="de-DE"/>
        </w:rPr>
        <w:t>1</w:t>
      </w:r>
      <w:r w:rsidR="00D07211">
        <w:rPr>
          <w:rFonts w:ascii="Times New Roman" w:hAnsi="Times New Roman" w:cs="Times New Roman"/>
          <w:lang w:val="de-DE"/>
        </w:rPr>
        <w:t> </w:t>
      </w:r>
      <w:r w:rsidRPr="009737B5">
        <w:rPr>
          <w:rFonts w:ascii="Times New Roman" w:hAnsi="Times New Roman" w:cs="Times New Roman"/>
          <w:lang w:val="de-DE"/>
        </w:rPr>
        <w:t>-</w:t>
      </w:r>
      <w:r w:rsidR="00D07211">
        <w:rPr>
          <w:rFonts w:ascii="Times New Roman" w:hAnsi="Times New Roman" w:cs="Times New Roman"/>
          <w:lang w:val="de-DE"/>
        </w:rPr>
        <w:t> </w:t>
      </w:r>
      <w:r w:rsidRPr="009737B5">
        <w:rPr>
          <w:rFonts w:ascii="Times New Roman" w:hAnsi="Times New Roman" w:cs="Times New Roman"/>
          <w:lang w:val="de-DE"/>
        </w:rPr>
        <w:t>3 plus Bevacizumab 15</w:t>
      </w:r>
      <w:r w:rsidR="00AB26B9" w:rsidRPr="009737B5">
        <w:rPr>
          <w:rFonts w:ascii="Times New Roman" w:hAnsi="Times New Roman" w:cs="Times New Roman"/>
          <w:lang w:val="de-DE"/>
        </w:rPr>
        <w:t> mg</w:t>
      </w:r>
      <w:r w:rsidRPr="009737B5">
        <w:rPr>
          <w:rFonts w:ascii="Times New Roman" w:hAnsi="Times New Roman" w:cs="Times New Roman"/>
          <w:lang w:val="de-DE"/>
        </w:rPr>
        <w:t>/kg i.v. an Tag</w:t>
      </w:r>
      <w:r w:rsidR="00A23012">
        <w:rPr>
          <w:rFonts w:ascii="Times New Roman" w:hAnsi="Times New Roman" w:cs="Times New Roman"/>
          <w:lang w:val="de-DE"/>
        </w:rPr>
        <w:t> </w:t>
      </w:r>
      <w:r w:rsidRPr="009737B5">
        <w:rPr>
          <w:rFonts w:ascii="Times New Roman" w:hAnsi="Times New Roman" w:cs="Times New Roman"/>
          <w:lang w:val="de-DE"/>
        </w:rPr>
        <w:t>1 alle 3</w:t>
      </w:r>
      <w:r w:rsidR="00A23012">
        <w:rPr>
          <w:rFonts w:ascii="Times New Roman" w:hAnsi="Times New Roman" w:cs="Times New Roman"/>
          <w:lang w:val="de-DE"/>
        </w:rPr>
        <w:t> </w:t>
      </w:r>
      <w:r w:rsidRPr="009737B5">
        <w:rPr>
          <w:rFonts w:ascii="Times New Roman" w:hAnsi="Times New Roman" w:cs="Times New Roman"/>
          <w:lang w:val="de-DE"/>
        </w:rPr>
        <w:t>Wochen</w:t>
      </w:r>
    </w:p>
    <w:p w14:paraId="475D703E" w14:textId="77777777" w:rsidR="00010E8C" w:rsidRPr="009737B5" w:rsidRDefault="00010E8C" w:rsidP="005F4D08">
      <w:pPr>
        <w:suppressAutoHyphens/>
        <w:spacing w:after="0" w:line="240" w:lineRule="auto"/>
        <w:rPr>
          <w:rFonts w:ascii="Times New Roman" w:hAnsi="Times New Roman" w:cs="Times New Roman"/>
          <w:lang w:val="de-DE"/>
        </w:rPr>
      </w:pPr>
    </w:p>
    <w:p w14:paraId="66A7C53A" w14:textId="77777777" w:rsidR="00033DA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Geeignete Patienten hatten ein persistierendes, rezidivierendes oder metastasiertes</w:t>
      </w:r>
      <w:r w:rsidR="00777359" w:rsidRPr="009737B5">
        <w:rPr>
          <w:rFonts w:ascii="Times New Roman" w:hAnsi="Times New Roman" w:cs="Times New Roman"/>
          <w:lang w:val="de-DE"/>
        </w:rPr>
        <w:t xml:space="preserve"> </w:t>
      </w:r>
      <w:r w:rsidRPr="009737B5">
        <w:rPr>
          <w:rFonts w:ascii="Times New Roman" w:hAnsi="Times New Roman" w:cs="Times New Roman"/>
          <w:lang w:val="de-DE"/>
        </w:rPr>
        <w:t>Plattenepithelkarzinom, ein adenosquamöses Karzinom oder ein Adenokarzinom des</w:t>
      </w:r>
      <w:r w:rsidR="00777359" w:rsidRPr="009737B5">
        <w:rPr>
          <w:rFonts w:ascii="Times New Roman" w:hAnsi="Times New Roman" w:cs="Times New Roman"/>
          <w:lang w:val="de-DE"/>
        </w:rPr>
        <w:t xml:space="preserve"> </w:t>
      </w:r>
      <w:r w:rsidRPr="009737B5">
        <w:rPr>
          <w:rFonts w:ascii="Times New Roman" w:hAnsi="Times New Roman" w:cs="Times New Roman"/>
          <w:lang w:val="de-DE"/>
        </w:rPr>
        <w:t>Gebärmutterhalses, das nicht durch eine kurative Operation und/oder Strahlentherapie behandelbar war. Die Patienten hatten zuvor noch keine Behandlung mit Bevacizumab oder mit anderen VEGF</w:t>
      </w:r>
      <w:r w:rsidR="00D87A14" w:rsidRPr="009737B5">
        <w:rPr>
          <w:rFonts w:ascii="Times New Roman" w:hAnsi="Times New Roman" w:cs="Times New Roman"/>
          <w:lang w:val="de-DE"/>
        </w:rPr>
        <w:t>-</w:t>
      </w:r>
      <w:r w:rsidRPr="009737B5">
        <w:rPr>
          <w:rFonts w:ascii="Times New Roman" w:hAnsi="Times New Roman" w:cs="Times New Roman"/>
          <w:lang w:val="de-DE"/>
        </w:rPr>
        <w:t>Inhibitoren bzw. auf den VEGF-Rezeptor zielenden Substanzen erhalten.</w:t>
      </w:r>
      <w:r w:rsidR="00777359" w:rsidRPr="009737B5">
        <w:rPr>
          <w:rFonts w:ascii="Times New Roman" w:hAnsi="Times New Roman" w:cs="Times New Roman"/>
          <w:lang w:val="de-DE"/>
        </w:rPr>
        <w:t xml:space="preserve"> </w:t>
      </w:r>
    </w:p>
    <w:p w14:paraId="4D461F95" w14:textId="77777777" w:rsidR="00033DAC" w:rsidRPr="009737B5" w:rsidRDefault="00033DAC" w:rsidP="005F4D08">
      <w:pPr>
        <w:suppressAutoHyphens/>
        <w:spacing w:after="0" w:line="240" w:lineRule="auto"/>
        <w:rPr>
          <w:rFonts w:ascii="Times New Roman" w:hAnsi="Times New Roman" w:cs="Times New Roman"/>
          <w:lang w:val="de-DE"/>
        </w:rPr>
      </w:pPr>
    </w:p>
    <w:p w14:paraId="163664FB"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Das Durchschnittsalter betrug 46,0</w:t>
      </w:r>
      <w:r w:rsidR="0091668D" w:rsidRPr="009737B5">
        <w:rPr>
          <w:rFonts w:ascii="Times New Roman" w:eastAsia="Microsoft Yi Baiti" w:hAnsi="Times New Roman" w:cs="Times New Roman"/>
          <w:lang w:val="de-DE"/>
        </w:rPr>
        <w:t> </w:t>
      </w:r>
      <w:r w:rsidRPr="009737B5">
        <w:rPr>
          <w:rFonts w:ascii="Times New Roman" w:hAnsi="Times New Roman" w:cs="Times New Roman"/>
          <w:lang w:val="de-DE"/>
        </w:rPr>
        <w:t>Jahre (zwischen 20 und 83</w:t>
      </w:r>
      <w:r w:rsidR="0091668D" w:rsidRPr="009737B5">
        <w:rPr>
          <w:rFonts w:ascii="Times New Roman" w:hAnsi="Times New Roman" w:cs="Times New Roman"/>
          <w:lang w:val="de-DE"/>
        </w:rPr>
        <w:t> </w:t>
      </w:r>
      <w:r w:rsidRPr="009737B5">
        <w:rPr>
          <w:rFonts w:ascii="Times New Roman" w:hAnsi="Times New Roman" w:cs="Times New Roman"/>
          <w:lang w:val="de-DE"/>
        </w:rPr>
        <w:t>Jahren) in der mit Chemotherapie allein behandelten Gruppe und 48,0</w:t>
      </w:r>
      <w:r w:rsidR="0091668D" w:rsidRPr="009737B5">
        <w:rPr>
          <w:rFonts w:ascii="Times New Roman" w:eastAsia="Microsoft Yi Baiti" w:hAnsi="Times New Roman" w:cs="Times New Roman"/>
          <w:lang w:val="de-DE"/>
        </w:rPr>
        <w:t> </w:t>
      </w:r>
      <w:r w:rsidRPr="009737B5">
        <w:rPr>
          <w:rFonts w:ascii="Times New Roman" w:hAnsi="Times New Roman" w:cs="Times New Roman"/>
          <w:lang w:val="de-DE"/>
        </w:rPr>
        <w:t>Jahre (zwischen 22 und 85</w:t>
      </w:r>
      <w:r w:rsidR="0091668D" w:rsidRPr="009737B5">
        <w:rPr>
          <w:rFonts w:ascii="Times New Roman" w:hAnsi="Times New Roman" w:cs="Times New Roman"/>
          <w:lang w:val="de-DE"/>
        </w:rPr>
        <w:t> </w:t>
      </w:r>
      <w:r w:rsidRPr="009737B5">
        <w:rPr>
          <w:rFonts w:ascii="Times New Roman" w:hAnsi="Times New Roman" w:cs="Times New Roman"/>
          <w:lang w:val="de-DE"/>
        </w:rPr>
        <w:t xml:space="preserve">Jahren) in der mit Chemotherapie plus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Gruppe; dabei waren 9,3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in der mit Chemotherapie allein behandelten Gruppe und 7,5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der Patienten in der mit Chemotherapie plus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Gruppe älter als 65</w:t>
      </w:r>
      <w:r w:rsidR="0091668D" w:rsidRPr="009737B5">
        <w:rPr>
          <w:rFonts w:ascii="Times New Roman" w:eastAsia="Microsoft Yi Baiti" w:hAnsi="Times New Roman" w:cs="Times New Roman"/>
          <w:lang w:val="de-DE"/>
        </w:rPr>
        <w:t> </w:t>
      </w:r>
      <w:r w:rsidRPr="009737B5">
        <w:rPr>
          <w:rFonts w:ascii="Times New Roman" w:hAnsi="Times New Roman" w:cs="Times New Roman"/>
          <w:lang w:val="de-DE"/>
        </w:rPr>
        <w:t>Jahre.</w:t>
      </w:r>
    </w:p>
    <w:p w14:paraId="3FCCC075" w14:textId="77777777" w:rsidR="00777359" w:rsidRPr="009737B5" w:rsidRDefault="00777359" w:rsidP="005F4D08">
      <w:pPr>
        <w:suppressAutoHyphens/>
        <w:spacing w:after="0" w:line="240" w:lineRule="auto"/>
        <w:rPr>
          <w:rFonts w:ascii="Times New Roman" w:hAnsi="Times New Roman" w:cs="Times New Roman"/>
          <w:lang w:val="de-DE"/>
        </w:rPr>
      </w:pPr>
    </w:p>
    <w:p w14:paraId="2D002917" w14:textId="044F1BD9"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Von den zu Studienbeginn randomisierten 452</w:t>
      </w:r>
      <w:r w:rsidR="00A23012">
        <w:rPr>
          <w:rFonts w:ascii="Times New Roman" w:hAnsi="Times New Roman" w:cs="Times New Roman"/>
          <w:lang w:val="de-DE"/>
        </w:rPr>
        <w:t> </w:t>
      </w:r>
      <w:r w:rsidRPr="009737B5">
        <w:rPr>
          <w:rFonts w:ascii="Times New Roman" w:hAnsi="Times New Roman" w:cs="Times New Roman"/>
          <w:lang w:val="de-DE"/>
        </w:rPr>
        <w:t>Patienten war die Mehrzahl weiß (80,0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der mit Chemotherapie allein behandelten Gruppe und 75,3</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der mit Chemotherapie plus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Gruppe), hatte ein Plattenepithelkarzinom (67,1</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der mit Chemotherapie allein behandelten Gruppe und 69,6</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der mit Chemotherapie plus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Gruppe), eine persistierende/rezidivierende Erkrankung (83,6</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der mit Chemotherapie allein behandelten Gruppe und 82,8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der mit Chemotherapie plus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Gruppe), an 1</w:t>
      </w:r>
      <w:r w:rsidR="00A23012">
        <w:rPr>
          <w:rFonts w:ascii="Times New Roman" w:hAnsi="Times New Roman" w:cs="Times New Roman"/>
          <w:lang w:val="de-DE"/>
        </w:rPr>
        <w:t> </w:t>
      </w:r>
      <w:r w:rsidRPr="009737B5">
        <w:rPr>
          <w:rFonts w:ascii="Times New Roman" w:hAnsi="Times New Roman" w:cs="Times New Roman"/>
          <w:lang w:val="de-DE"/>
        </w:rPr>
        <w:t>- 2</w:t>
      </w:r>
      <w:r w:rsidR="00A23012">
        <w:rPr>
          <w:rFonts w:ascii="Times New Roman" w:hAnsi="Times New Roman" w:cs="Times New Roman"/>
          <w:lang w:val="de-DE"/>
        </w:rPr>
        <w:t> </w:t>
      </w:r>
      <w:r w:rsidRPr="009737B5">
        <w:rPr>
          <w:rFonts w:ascii="Times New Roman" w:hAnsi="Times New Roman" w:cs="Times New Roman"/>
          <w:lang w:val="de-DE"/>
        </w:rPr>
        <w:t>Stellen</w:t>
      </w:r>
      <w:r w:rsidR="00777359" w:rsidRPr="009737B5">
        <w:rPr>
          <w:rFonts w:ascii="Times New Roman" w:hAnsi="Times New Roman" w:cs="Times New Roman"/>
          <w:lang w:val="de-DE"/>
        </w:rPr>
        <w:t xml:space="preserve"> </w:t>
      </w:r>
      <w:r w:rsidRPr="009737B5">
        <w:rPr>
          <w:rFonts w:ascii="Times New Roman" w:hAnsi="Times New Roman" w:cs="Times New Roman"/>
          <w:lang w:val="de-DE"/>
        </w:rPr>
        <w:t>Metastasen (72,0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der mit Chemotherapie allein behandelten Gruppe und 76,2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der mit</w:t>
      </w:r>
      <w:r w:rsidR="00777359" w:rsidRPr="009737B5">
        <w:rPr>
          <w:rFonts w:ascii="Times New Roman" w:hAnsi="Times New Roman" w:cs="Times New Roman"/>
          <w:lang w:val="de-DE"/>
        </w:rPr>
        <w:t xml:space="preserve"> </w:t>
      </w:r>
      <w:r w:rsidRPr="009737B5">
        <w:rPr>
          <w:rFonts w:ascii="Times New Roman" w:hAnsi="Times New Roman" w:cs="Times New Roman"/>
          <w:lang w:val="de-DE"/>
        </w:rPr>
        <w:t xml:space="preserve">Chemotherapie plus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Gruppe), eine Lymphknotenbeteiligung (50,2</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der mit Chemotherapie allein behandelten Gruppe und 56,4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der mit Chemotherapie plus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Gruppe) und ein platinfreies Intervall </w:t>
      </w:r>
      <w:r w:rsidR="00E32D5C" w:rsidRPr="009737B5">
        <w:rPr>
          <w:rFonts w:ascii="Times New Roman" w:hAnsi="Times New Roman" w:cs="Times New Roman"/>
          <w:lang w:val="de-DE"/>
        </w:rPr>
        <w:t>≥ </w:t>
      </w:r>
      <w:r w:rsidRPr="009737B5">
        <w:rPr>
          <w:rFonts w:ascii="Times New Roman" w:hAnsi="Times New Roman" w:cs="Times New Roman"/>
          <w:lang w:val="de-DE"/>
        </w:rPr>
        <w:t>6</w:t>
      </w:r>
      <w:r w:rsidR="00D5199D">
        <w:rPr>
          <w:rFonts w:ascii="Times New Roman" w:hAnsi="Times New Roman" w:cs="Times New Roman"/>
          <w:lang w:val="de-DE"/>
        </w:rPr>
        <w:t> </w:t>
      </w:r>
      <w:r w:rsidRPr="009737B5">
        <w:rPr>
          <w:rFonts w:ascii="Times New Roman" w:hAnsi="Times New Roman" w:cs="Times New Roman"/>
          <w:lang w:val="de-DE"/>
        </w:rPr>
        <w:t>Monate (72,5</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der mit Chemotherapie allein behandelten Gruppe und 64,4</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in der mit Chemotherapie plus </w:t>
      </w:r>
      <w:r w:rsidR="00863E83" w:rsidRPr="009737B5">
        <w:rPr>
          <w:rFonts w:ascii="Times New Roman" w:hAnsi="Times New Roman" w:cs="Times New Roman"/>
          <w:lang w:val="de-DE"/>
        </w:rPr>
        <w:t>Bevacizumab</w:t>
      </w:r>
      <w:r w:rsidRPr="009737B5">
        <w:rPr>
          <w:rFonts w:ascii="Times New Roman" w:hAnsi="Times New Roman" w:cs="Times New Roman"/>
          <w:lang w:val="de-DE"/>
        </w:rPr>
        <w:t xml:space="preserve"> behandelten Gruppe).</w:t>
      </w:r>
    </w:p>
    <w:p w14:paraId="7A350FFF" w14:textId="77777777" w:rsidR="00010E8C" w:rsidRPr="009737B5" w:rsidRDefault="00010E8C" w:rsidP="005F4D08">
      <w:pPr>
        <w:suppressAutoHyphens/>
        <w:spacing w:after="0" w:line="240" w:lineRule="auto"/>
        <w:rPr>
          <w:rFonts w:ascii="Times New Roman" w:hAnsi="Times New Roman" w:cs="Times New Roman"/>
          <w:lang w:val="de-DE"/>
        </w:rPr>
      </w:pPr>
    </w:p>
    <w:p w14:paraId="60B3B620" w14:textId="0A983063"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Der primäre Wirksamkeitsendpunkt war das Gesamtüberleben. Sekundäre Wirksamkeitsendpunkte umfassten progressionsfreies Überleben und die objektive Ansprechrate. Die Ergebnisse der </w:t>
      </w:r>
      <w:r w:rsidRPr="009737B5">
        <w:rPr>
          <w:rFonts w:ascii="Times New Roman" w:hAnsi="Times New Roman" w:cs="Times New Roman"/>
          <w:lang w:val="de-DE"/>
        </w:rPr>
        <w:lastRenderedPageBreak/>
        <w:t xml:space="preserve">Primäranalyse und der Nachfolgeanalyse sind aufgeteilt nach </w:t>
      </w:r>
      <w:r w:rsidR="00863E83" w:rsidRPr="009737B5">
        <w:rPr>
          <w:rFonts w:ascii="Times New Roman" w:hAnsi="Times New Roman" w:cs="Times New Roman"/>
          <w:lang w:val="de-DE"/>
        </w:rPr>
        <w:t>Bevacizumab-</w:t>
      </w:r>
      <w:r w:rsidRPr="009737B5">
        <w:rPr>
          <w:rFonts w:ascii="Times New Roman" w:hAnsi="Times New Roman" w:cs="Times New Roman"/>
          <w:lang w:val="de-DE"/>
        </w:rPr>
        <w:t>Behandlung und Studienbehandlung in Tabelle</w:t>
      </w:r>
      <w:r w:rsidR="00E02652">
        <w:rPr>
          <w:rFonts w:ascii="Times New Roman" w:hAnsi="Times New Roman" w:cs="Times New Roman"/>
          <w:lang w:val="de-DE"/>
        </w:rPr>
        <w:t> </w:t>
      </w:r>
      <w:r w:rsidR="003653AE">
        <w:rPr>
          <w:rFonts w:ascii="Times New Roman" w:hAnsi="Times New Roman" w:cs="Times New Roman"/>
          <w:lang w:val="de-DE"/>
        </w:rPr>
        <w:t>25</w:t>
      </w:r>
      <w:r w:rsidR="003653AE" w:rsidRPr="009737B5">
        <w:rPr>
          <w:rFonts w:ascii="Times New Roman" w:hAnsi="Times New Roman" w:cs="Times New Roman"/>
          <w:lang w:val="de-DE"/>
        </w:rPr>
        <w:t xml:space="preserve"> </w:t>
      </w:r>
      <w:r w:rsidRPr="009737B5">
        <w:rPr>
          <w:rFonts w:ascii="Times New Roman" w:hAnsi="Times New Roman" w:cs="Times New Roman"/>
          <w:lang w:val="de-DE"/>
        </w:rPr>
        <w:t>bzw. Tabelle</w:t>
      </w:r>
      <w:r w:rsidR="00E02652">
        <w:rPr>
          <w:rFonts w:ascii="Times New Roman" w:hAnsi="Times New Roman" w:cs="Times New Roman"/>
          <w:lang w:val="de-DE"/>
        </w:rPr>
        <w:t> </w:t>
      </w:r>
      <w:r w:rsidR="003653AE">
        <w:rPr>
          <w:rFonts w:ascii="Times New Roman" w:hAnsi="Times New Roman" w:cs="Times New Roman"/>
          <w:lang w:val="de-DE"/>
        </w:rPr>
        <w:t>26</w:t>
      </w:r>
      <w:r w:rsidR="003653AE" w:rsidRPr="009737B5">
        <w:rPr>
          <w:rFonts w:ascii="Times New Roman" w:hAnsi="Times New Roman" w:cs="Times New Roman"/>
          <w:lang w:val="de-DE"/>
        </w:rPr>
        <w:t xml:space="preserve"> </w:t>
      </w:r>
      <w:r w:rsidRPr="009737B5">
        <w:rPr>
          <w:rFonts w:ascii="Times New Roman" w:hAnsi="Times New Roman" w:cs="Times New Roman"/>
          <w:lang w:val="de-DE"/>
        </w:rPr>
        <w:t>dargestellt.</w:t>
      </w:r>
    </w:p>
    <w:p w14:paraId="695ED9A4" w14:textId="77777777" w:rsidR="00010E8C" w:rsidRPr="009737B5" w:rsidRDefault="00010E8C" w:rsidP="005F4D08">
      <w:pPr>
        <w:suppressAutoHyphens/>
        <w:spacing w:after="0" w:line="240" w:lineRule="auto"/>
        <w:rPr>
          <w:rFonts w:ascii="Times New Roman" w:hAnsi="Times New Roman" w:cs="Times New Roman"/>
          <w:lang w:val="de-DE"/>
        </w:rPr>
      </w:pPr>
    </w:p>
    <w:p w14:paraId="76D0579E" w14:textId="06C6FCB6" w:rsidR="00010E8C" w:rsidRPr="009737B5" w:rsidRDefault="00010E8C" w:rsidP="000C22BA">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Tabelle</w:t>
      </w:r>
      <w:r w:rsidR="00E02652">
        <w:rPr>
          <w:rFonts w:ascii="Times New Roman" w:hAnsi="Times New Roman" w:cs="Times New Roman"/>
          <w:b/>
          <w:lang w:val="de-DE"/>
        </w:rPr>
        <w:t> </w:t>
      </w:r>
      <w:r w:rsidR="003653AE">
        <w:rPr>
          <w:rFonts w:ascii="Times New Roman" w:hAnsi="Times New Roman" w:cs="Times New Roman"/>
          <w:b/>
          <w:lang w:val="de-DE"/>
        </w:rPr>
        <w:t>25</w:t>
      </w:r>
      <w:r w:rsidR="00C55531" w:rsidRPr="009737B5">
        <w:rPr>
          <w:rFonts w:ascii="Times New Roman" w:hAnsi="Times New Roman" w:cs="Times New Roman"/>
          <w:b/>
          <w:lang w:val="de-DE"/>
        </w:rPr>
        <w:t>.</w:t>
      </w:r>
      <w:r w:rsidRPr="009737B5">
        <w:rPr>
          <w:rFonts w:ascii="Times New Roman" w:hAnsi="Times New Roman" w:cs="Times New Roman"/>
          <w:b/>
          <w:lang w:val="de-DE"/>
        </w:rPr>
        <w:t xml:space="preserve"> Wirksamkeitsergebnisse der Studie GOG-0240 nach </w:t>
      </w:r>
      <w:r w:rsidR="00863E83" w:rsidRPr="009737B5">
        <w:rPr>
          <w:rFonts w:ascii="Times New Roman" w:hAnsi="Times New Roman" w:cs="Times New Roman"/>
          <w:b/>
          <w:lang w:val="de-DE"/>
        </w:rPr>
        <w:t>Bevacizumab-</w:t>
      </w:r>
      <w:r w:rsidRPr="009737B5">
        <w:rPr>
          <w:rFonts w:ascii="Times New Roman" w:hAnsi="Times New Roman" w:cs="Times New Roman"/>
          <w:b/>
          <w:lang w:val="de-DE"/>
        </w:rPr>
        <w:t>Behandlung</w:t>
      </w:r>
    </w:p>
    <w:p w14:paraId="31BE4FF2" w14:textId="77777777" w:rsidR="009E217E" w:rsidRPr="009737B5" w:rsidRDefault="009E217E" w:rsidP="000C22BA">
      <w:pPr>
        <w:keepNext/>
        <w:suppressAutoHyphens/>
        <w:spacing w:after="0" w:line="240" w:lineRule="auto"/>
        <w:rPr>
          <w:rFonts w:ascii="Times New Roman" w:hAnsi="Times New Roman" w:cs="Times New Roman"/>
          <w:b/>
          <w:lang w:val="de-DE"/>
        </w:rPr>
      </w:pPr>
    </w:p>
    <w:tbl>
      <w:tblPr>
        <w:tblW w:w="9072" w:type="dxa"/>
        <w:tblInd w:w="-5" w:type="dxa"/>
        <w:tblCellMar>
          <w:top w:w="45" w:type="dxa"/>
          <w:left w:w="0" w:type="dxa"/>
          <w:right w:w="5" w:type="dxa"/>
        </w:tblCellMar>
        <w:tblLook w:val="04A0" w:firstRow="1" w:lastRow="0" w:firstColumn="1" w:lastColumn="0" w:noHBand="0" w:noVBand="1"/>
      </w:tblPr>
      <w:tblGrid>
        <w:gridCol w:w="4114"/>
        <w:gridCol w:w="2265"/>
        <w:gridCol w:w="2693"/>
      </w:tblGrid>
      <w:tr w:rsidR="00777359" w:rsidRPr="00402720" w14:paraId="78BF1153" w14:textId="77777777" w:rsidTr="00FF5623">
        <w:trPr>
          <w:trHeight w:val="20"/>
          <w:tblHeader/>
        </w:trPr>
        <w:tc>
          <w:tcPr>
            <w:tcW w:w="4114" w:type="dxa"/>
            <w:tcBorders>
              <w:top w:val="single" w:sz="4" w:space="0" w:color="000000"/>
              <w:left w:val="single" w:sz="4" w:space="0" w:color="000000"/>
              <w:bottom w:val="single" w:sz="4" w:space="0" w:color="000000"/>
              <w:right w:val="single" w:sz="4" w:space="0" w:color="000000"/>
            </w:tcBorders>
          </w:tcPr>
          <w:p w14:paraId="6D0DC104" w14:textId="77777777" w:rsidR="00777359" w:rsidRPr="00402720" w:rsidRDefault="00777359" w:rsidP="0038749C">
            <w:pPr>
              <w:keepNext/>
              <w:spacing w:after="0" w:line="240" w:lineRule="auto"/>
              <w:rPr>
                <w:rFonts w:ascii="Times New Roman" w:hAnsi="Times New Roman" w:cs="Times New Roman"/>
                <w:b/>
                <w:lang w:val="de-DE"/>
              </w:rPr>
            </w:pPr>
          </w:p>
        </w:tc>
        <w:tc>
          <w:tcPr>
            <w:tcW w:w="2265" w:type="dxa"/>
            <w:tcBorders>
              <w:top w:val="single" w:sz="4" w:space="0" w:color="000000"/>
              <w:left w:val="single" w:sz="4" w:space="0" w:color="000000"/>
              <w:bottom w:val="single" w:sz="4" w:space="0" w:color="000000"/>
              <w:right w:val="single" w:sz="4" w:space="0" w:color="000000"/>
            </w:tcBorders>
          </w:tcPr>
          <w:p w14:paraId="43B2A8F2" w14:textId="77777777" w:rsidR="00777359" w:rsidRPr="00402720" w:rsidRDefault="00777359" w:rsidP="0038749C">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Chemotherapie</w:t>
            </w:r>
          </w:p>
          <w:p w14:paraId="3808145F" w14:textId="77777777" w:rsidR="00777359" w:rsidRPr="00402720" w:rsidRDefault="00777359" w:rsidP="0038749C">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(n = 225)</w:t>
            </w:r>
          </w:p>
        </w:tc>
        <w:tc>
          <w:tcPr>
            <w:tcW w:w="2693" w:type="dxa"/>
            <w:tcBorders>
              <w:top w:val="single" w:sz="4" w:space="0" w:color="000000"/>
              <w:left w:val="single" w:sz="4" w:space="0" w:color="000000"/>
              <w:bottom w:val="single" w:sz="4" w:space="0" w:color="000000"/>
              <w:right w:val="single" w:sz="4" w:space="0" w:color="000000"/>
            </w:tcBorders>
          </w:tcPr>
          <w:p w14:paraId="29024CCA" w14:textId="77777777" w:rsidR="00777359" w:rsidRPr="00402720" w:rsidRDefault="00777359" w:rsidP="0038749C">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 xml:space="preserve">Chemotherapie + </w:t>
            </w:r>
            <w:r w:rsidR="00863E83" w:rsidRPr="00402720">
              <w:rPr>
                <w:rFonts w:ascii="Times New Roman" w:hAnsi="Times New Roman" w:cs="Times New Roman"/>
                <w:b/>
                <w:lang w:val="de-DE"/>
              </w:rPr>
              <w:t>Bevacizumab</w:t>
            </w:r>
          </w:p>
          <w:p w14:paraId="5848B7C6" w14:textId="77777777" w:rsidR="00777359" w:rsidRPr="00402720" w:rsidRDefault="00777359" w:rsidP="0038749C">
            <w:pPr>
              <w:keepNext/>
              <w:spacing w:after="0" w:line="240" w:lineRule="auto"/>
              <w:jc w:val="center"/>
              <w:rPr>
                <w:rFonts w:ascii="Times New Roman" w:hAnsi="Times New Roman" w:cs="Times New Roman"/>
                <w:b/>
                <w:lang w:val="de-DE"/>
              </w:rPr>
            </w:pPr>
            <w:r w:rsidRPr="00402720">
              <w:rPr>
                <w:rFonts w:ascii="Times New Roman" w:hAnsi="Times New Roman" w:cs="Times New Roman"/>
                <w:b/>
                <w:lang w:val="de-DE"/>
              </w:rPr>
              <w:t>(n = 227)</w:t>
            </w:r>
          </w:p>
        </w:tc>
      </w:tr>
      <w:tr w:rsidR="00777359" w:rsidRPr="00402720" w14:paraId="46220276" w14:textId="77777777" w:rsidTr="00DB4AB2">
        <w:trPr>
          <w:trHeight w:val="20"/>
        </w:trPr>
        <w:tc>
          <w:tcPr>
            <w:tcW w:w="9072" w:type="dxa"/>
            <w:gridSpan w:val="3"/>
            <w:tcBorders>
              <w:top w:val="single" w:sz="4" w:space="0" w:color="000000"/>
              <w:left w:val="single" w:sz="4" w:space="0" w:color="000000"/>
              <w:bottom w:val="single" w:sz="4" w:space="0" w:color="000000"/>
              <w:right w:val="single" w:sz="4" w:space="0" w:color="000000"/>
            </w:tcBorders>
          </w:tcPr>
          <w:p w14:paraId="55089AA8" w14:textId="77777777" w:rsidR="00777359" w:rsidRPr="00402720" w:rsidRDefault="00F46F02"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Primärer Endpunkt</w:t>
            </w:r>
          </w:p>
        </w:tc>
      </w:tr>
      <w:tr w:rsidR="00777359" w:rsidRPr="00402720" w14:paraId="27D388F8" w14:textId="77777777" w:rsidTr="00DB4AB2">
        <w:trPr>
          <w:trHeight w:val="20"/>
        </w:trPr>
        <w:tc>
          <w:tcPr>
            <w:tcW w:w="9072" w:type="dxa"/>
            <w:gridSpan w:val="3"/>
            <w:tcBorders>
              <w:top w:val="single" w:sz="4" w:space="0" w:color="000000"/>
              <w:left w:val="single" w:sz="4" w:space="0" w:color="000000"/>
              <w:bottom w:val="single" w:sz="4" w:space="0" w:color="000000"/>
              <w:right w:val="single" w:sz="4" w:space="0" w:color="000000"/>
            </w:tcBorders>
          </w:tcPr>
          <w:p w14:paraId="21C54422" w14:textId="77777777" w:rsidR="00777359" w:rsidRPr="00402720" w:rsidRDefault="00777359" w:rsidP="00C55531">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Gesamtüberleben </w:t>
            </w:r>
            <w:r w:rsidR="00D7227D" w:rsidRPr="00402720">
              <w:rPr>
                <w:rFonts w:ascii="Times New Roman" w:hAnsi="Times New Roman" w:cs="Times New Roman"/>
                <w:lang w:val="de-DE"/>
              </w:rPr>
              <w:t>-</w:t>
            </w:r>
            <w:r w:rsidRPr="00402720">
              <w:rPr>
                <w:rFonts w:ascii="Times New Roman" w:hAnsi="Times New Roman" w:cs="Times New Roman"/>
                <w:lang w:val="de-DE"/>
              </w:rPr>
              <w:t xml:space="preserve"> Primäranalyse</w:t>
            </w:r>
            <w:r w:rsidRPr="00402720">
              <w:rPr>
                <w:rFonts w:ascii="Times New Roman" w:hAnsi="Times New Roman" w:cs="Times New Roman"/>
                <w:vertAlign w:val="superscript"/>
                <w:lang w:val="de-DE"/>
              </w:rPr>
              <w:t>6</w:t>
            </w:r>
          </w:p>
        </w:tc>
      </w:tr>
      <w:tr w:rsidR="00777359" w:rsidRPr="00402720" w14:paraId="299779AA" w14:textId="77777777" w:rsidTr="00FF5623">
        <w:trPr>
          <w:trHeight w:val="20"/>
        </w:trPr>
        <w:tc>
          <w:tcPr>
            <w:tcW w:w="4114" w:type="dxa"/>
            <w:tcBorders>
              <w:top w:val="single" w:sz="4" w:space="0" w:color="000000"/>
              <w:left w:val="single" w:sz="4" w:space="0" w:color="000000"/>
              <w:bottom w:val="single" w:sz="4" w:space="0" w:color="000000"/>
              <w:right w:val="single" w:sz="4" w:space="0" w:color="000000"/>
            </w:tcBorders>
          </w:tcPr>
          <w:p w14:paraId="793A69E8" w14:textId="77777777" w:rsidR="00777359" w:rsidRPr="00402720" w:rsidRDefault="00777359" w:rsidP="00C55531">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 (Monate)</w:t>
            </w:r>
            <w:r w:rsidRPr="00402720">
              <w:rPr>
                <w:rFonts w:ascii="Times New Roman" w:hAnsi="Times New Roman" w:cs="Times New Roman"/>
                <w:vertAlign w:val="superscript"/>
                <w:lang w:val="de-DE"/>
              </w:rPr>
              <w:t>1</w:t>
            </w:r>
          </w:p>
        </w:tc>
        <w:tc>
          <w:tcPr>
            <w:tcW w:w="2265" w:type="dxa"/>
            <w:tcBorders>
              <w:top w:val="single" w:sz="4" w:space="0" w:color="000000"/>
              <w:left w:val="single" w:sz="4" w:space="0" w:color="000000"/>
              <w:bottom w:val="single" w:sz="4" w:space="0" w:color="000000"/>
              <w:right w:val="single" w:sz="4" w:space="0" w:color="000000"/>
            </w:tcBorders>
          </w:tcPr>
          <w:p w14:paraId="50FDE4FD"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12,9</w:t>
            </w:r>
          </w:p>
        </w:tc>
        <w:tc>
          <w:tcPr>
            <w:tcW w:w="2693" w:type="dxa"/>
            <w:tcBorders>
              <w:top w:val="single" w:sz="4" w:space="0" w:color="000000"/>
              <w:left w:val="single" w:sz="4" w:space="0" w:color="000000"/>
              <w:bottom w:val="single" w:sz="4" w:space="0" w:color="000000"/>
              <w:right w:val="single" w:sz="4" w:space="0" w:color="000000"/>
            </w:tcBorders>
          </w:tcPr>
          <w:p w14:paraId="3746938E" w14:textId="77777777" w:rsidR="00777359" w:rsidRPr="00402720" w:rsidRDefault="00777359" w:rsidP="00C55531">
            <w:pPr>
              <w:tabs>
                <w:tab w:val="center" w:pos="1261"/>
              </w:tabs>
              <w:spacing w:after="0" w:line="240" w:lineRule="auto"/>
              <w:jc w:val="center"/>
              <w:rPr>
                <w:rFonts w:ascii="Times New Roman" w:hAnsi="Times New Roman" w:cs="Times New Roman"/>
                <w:lang w:val="de-DE"/>
              </w:rPr>
            </w:pPr>
            <w:r w:rsidRPr="00402720">
              <w:rPr>
                <w:rFonts w:ascii="Times New Roman" w:hAnsi="Times New Roman" w:cs="Times New Roman"/>
                <w:lang w:val="de-DE"/>
              </w:rPr>
              <w:t>16,8</w:t>
            </w:r>
          </w:p>
        </w:tc>
      </w:tr>
      <w:tr w:rsidR="00777359" w:rsidRPr="00402720" w14:paraId="6F48CF11" w14:textId="77777777" w:rsidTr="00DB4AB2">
        <w:trPr>
          <w:trHeight w:val="20"/>
        </w:trPr>
        <w:tc>
          <w:tcPr>
            <w:tcW w:w="4114" w:type="dxa"/>
            <w:tcBorders>
              <w:top w:val="single" w:sz="4" w:space="0" w:color="000000"/>
              <w:left w:val="single" w:sz="4" w:space="0" w:color="000000"/>
              <w:bottom w:val="single" w:sz="4" w:space="0" w:color="000000"/>
              <w:right w:val="single" w:sz="4" w:space="0" w:color="000000"/>
            </w:tcBorders>
          </w:tcPr>
          <w:p w14:paraId="332348BF" w14:textId="1EE13360" w:rsidR="00777359" w:rsidRPr="00402720" w:rsidRDefault="00F46F02" w:rsidP="00C55531">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1718EB">
              <w:rPr>
                <w:rFonts w:ascii="Times New Roman" w:hAnsi="Times New Roman" w:cs="Times New Roman"/>
                <w:lang w:val="de-DE"/>
              </w:rPr>
              <w:t> </w:t>
            </w:r>
            <w:r w:rsidR="00322E40" w:rsidRPr="00402720">
              <w:rPr>
                <w:rFonts w:ascii="Times New Roman" w:hAnsi="Times New Roman" w:cs="Times New Roman"/>
                <w:lang w:val="de-DE"/>
              </w:rPr>
              <w:t>%</w:t>
            </w:r>
            <w:r w:rsidR="001718EB">
              <w:rPr>
                <w:rFonts w:ascii="Times New Roman" w:hAnsi="Times New Roman" w:cs="Times New Roman"/>
                <w:lang w:val="de-DE"/>
              </w:rPr>
              <w:t> </w:t>
            </w:r>
            <w:r w:rsidRPr="00402720">
              <w:rPr>
                <w:rFonts w:ascii="Times New Roman" w:hAnsi="Times New Roman" w:cs="Times New Roman"/>
                <w:lang w:val="de-DE"/>
              </w:rPr>
              <w:t>KI]</w:t>
            </w:r>
          </w:p>
        </w:tc>
        <w:tc>
          <w:tcPr>
            <w:tcW w:w="4958" w:type="dxa"/>
            <w:gridSpan w:val="2"/>
            <w:tcBorders>
              <w:top w:val="single" w:sz="4" w:space="0" w:color="000000"/>
              <w:left w:val="single" w:sz="4" w:space="0" w:color="000000"/>
              <w:bottom w:val="single" w:sz="4" w:space="0" w:color="000000"/>
              <w:right w:val="single" w:sz="4" w:space="0" w:color="000000"/>
            </w:tcBorders>
          </w:tcPr>
          <w:p w14:paraId="6BAAA6FE"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0,74 [0,58; 0,94]</w:t>
            </w:r>
          </w:p>
          <w:p w14:paraId="0CD555CA"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(p-Wert</w:t>
            </w:r>
            <w:r w:rsidRPr="00402720">
              <w:rPr>
                <w:rFonts w:ascii="Times New Roman" w:hAnsi="Times New Roman" w:cs="Times New Roman"/>
                <w:vertAlign w:val="superscript"/>
                <w:lang w:val="de-DE"/>
              </w:rPr>
              <w:t>5</w:t>
            </w:r>
            <w:r w:rsidRPr="00402720">
              <w:rPr>
                <w:rFonts w:ascii="Times New Roman" w:hAnsi="Times New Roman" w:cs="Times New Roman"/>
                <w:lang w:val="de-DE"/>
              </w:rPr>
              <w:t xml:space="preserve"> = 0,0132)</w:t>
            </w:r>
          </w:p>
        </w:tc>
      </w:tr>
      <w:tr w:rsidR="00777359" w:rsidRPr="00402720" w14:paraId="4E677681" w14:textId="77777777" w:rsidTr="00DB4AB2">
        <w:trPr>
          <w:trHeight w:val="20"/>
        </w:trPr>
        <w:tc>
          <w:tcPr>
            <w:tcW w:w="9072" w:type="dxa"/>
            <w:gridSpan w:val="3"/>
            <w:tcBorders>
              <w:top w:val="single" w:sz="4" w:space="0" w:color="000000"/>
              <w:left w:val="single" w:sz="4" w:space="0" w:color="000000"/>
              <w:bottom w:val="single" w:sz="4" w:space="0" w:color="000000"/>
              <w:right w:val="single" w:sz="4" w:space="0" w:color="000000"/>
            </w:tcBorders>
          </w:tcPr>
          <w:p w14:paraId="573CB137" w14:textId="77777777" w:rsidR="00777359" w:rsidRPr="00402720" w:rsidRDefault="00777359" w:rsidP="00DF58ED">
            <w:pPr>
              <w:keepNext/>
              <w:keepLines/>
              <w:spacing w:after="0" w:line="240" w:lineRule="auto"/>
              <w:rPr>
                <w:rFonts w:ascii="Times New Roman" w:hAnsi="Times New Roman" w:cs="Times New Roman"/>
                <w:lang w:val="de-DE"/>
              </w:rPr>
            </w:pPr>
            <w:r w:rsidRPr="00402720">
              <w:rPr>
                <w:rFonts w:ascii="Times New Roman" w:hAnsi="Times New Roman" w:cs="Times New Roman"/>
                <w:lang w:val="de-DE"/>
              </w:rPr>
              <w:t xml:space="preserve">Gesamtüberleben </w:t>
            </w:r>
            <w:r w:rsidR="00D7227D" w:rsidRPr="00402720">
              <w:rPr>
                <w:rFonts w:ascii="Times New Roman" w:hAnsi="Times New Roman" w:cs="Times New Roman"/>
                <w:lang w:val="de-DE"/>
              </w:rPr>
              <w:t>-</w:t>
            </w:r>
            <w:r w:rsidRPr="00402720">
              <w:rPr>
                <w:rFonts w:ascii="Times New Roman" w:hAnsi="Times New Roman" w:cs="Times New Roman"/>
                <w:lang w:val="de-DE"/>
              </w:rPr>
              <w:t xml:space="preserve"> Nachfolgeanalyse</w:t>
            </w:r>
            <w:r w:rsidRPr="00402720">
              <w:rPr>
                <w:rFonts w:ascii="Times New Roman" w:hAnsi="Times New Roman" w:cs="Times New Roman"/>
                <w:vertAlign w:val="superscript"/>
                <w:lang w:val="de-DE"/>
              </w:rPr>
              <w:t>7</w:t>
            </w:r>
          </w:p>
        </w:tc>
      </w:tr>
      <w:tr w:rsidR="00777359" w:rsidRPr="00402720" w14:paraId="0BD7871A" w14:textId="77777777" w:rsidTr="00FF5623">
        <w:trPr>
          <w:trHeight w:val="20"/>
        </w:trPr>
        <w:tc>
          <w:tcPr>
            <w:tcW w:w="4114" w:type="dxa"/>
            <w:tcBorders>
              <w:top w:val="single" w:sz="4" w:space="0" w:color="000000"/>
              <w:left w:val="single" w:sz="4" w:space="0" w:color="000000"/>
              <w:bottom w:val="single" w:sz="4" w:space="0" w:color="000000"/>
              <w:right w:val="single" w:sz="4" w:space="0" w:color="000000"/>
            </w:tcBorders>
          </w:tcPr>
          <w:p w14:paraId="7239FF70" w14:textId="77777777" w:rsidR="00777359" w:rsidRPr="00402720" w:rsidRDefault="00777359" w:rsidP="00C55531">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 (Monate)</w:t>
            </w:r>
            <w:r w:rsidRPr="00402720">
              <w:rPr>
                <w:rFonts w:ascii="Times New Roman" w:hAnsi="Times New Roman" w:cs="Times New Roman"/>
                <w:vertAlign w:val="superscript"/>
                <w:lang w:val="de-DE"/>
              </w:rPr>
              <w:t>1</w:t>
            </w:r>
          </w:p>
        </w:tc>
        <w:tc>
          <w:tcPr>
            <w:tcW w:w="2265" w:type="dxa"/>
            <w:tcBorders>
              <w:top w:val="single" w:sz="4" w:space="0" w:color="000000"/>
              <w:left w:val="single" w:sz="4" w:space="0" w:color="000000"/>
              <w:bottom w:val="single" w:sz="4" w:space="0" w:color="000000"/>
              <w:right w:val="single" w:sz="4" w:space="0" w:color="000000"/>
            </w:tcBorders>
          </w:tcPr>
          <w:p w14:paraId="36095DF4"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13,3</w:t>
            </w:r>
          </w:p>
        </w:tc>
        <w:tc>
          <w:tcPr>
            <w:tcW w:w="2693" w:type="dxa"/>
            <w:tcBorders>
              <w:top w:val="single" w:sz="4" w:space="0" w:color="000000"/>
              <w:left w:val="single" w:sz="4" w:space="0" w:color="000000"/>
              <w:bottom w:val="single" w:sz="4" w:space="0" w:color="000000"/>
              <w:right w:val="single" w:sz="4" w:space="0" w:color="000000"/>
            </w:tcBorders>
          </w:tcPr>
          <w:p w14:paraId="206633A2" w14:textId="77777777" w:rsidR="00777359" w:rsidRPr="00402720" w:rsidRDefault="00777359" w:rsidP="00C55531">
            <w:pPr>
              <w:tabs>
                <w:tab w:val="center" w:pos="1261"/>
              </w:tabs>
              <w:spacing w:after="0" w:line="240" w:lineRule="auto"/>
              <w:jc w:val="center"/>
              <w:rPr>
                <w:rFonts w:ascii="Times New Roman" w:hAnsi="Times New Roman" w:cs="Times New Roman"/>
                <w:lang w:val="de-DE"/>
              </w:rPr>
            </w:pPr>
            <w:r w:rsidRPr="00402720">
              <w:rPr>
                <w:rFonts w:ascii="Times New Roman" w:hAnsi="Times New Roman" w:cs="Times New Roman"/>
                <w:lang w:val="de-DE"/>
              </w:rPr>
              <w:t>16,8</w:t>
            </w:r>
          </w:p>
        </w:tc>
      </w:tr>
      <w:tr w:rsidR="00777359" w:rsidRPr="00402720" w14:paraId="332E77B1" w14:textId="77777777" w:rsidTr="00DB4AB2">
        <w:trPr>
          <w:trHeight w:val="20"/>
        </w:trPr>
        <w:tc>
          <w:tcPr>
            <w:tcW w:w="4114" w:type="dxa"/>
            <w:tcBorders>
              <w:top w:val="single" w:sz="4" w:space="0" w:color="000000"/>
              <w:left w:val="single" w:sz="4" w:space="0" w:color="000000"/>
              <w:bottom w:val="single" w:sz="4" w:space="0" w:color="000000"/>
              <w:right w:val="single" w:sz="4" w:space="0" w:color="000000"/>
            </w:tcBorders>
          </w:tcPr>
          <w:p w14:paraId="66669B3A" w14:textId="079C1826" w:rsidR="00777359" w:rsidRPr="00402720" w:rsidRDefault="00C55531" w:rsidP="00C55531">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1718EB">
              <w:rPr>
                <w:rFonts w:ascii="Times New Roman" w:hAnsi="Times New Roman" w:cs="Times New Roman"/>
                <w:lang w:val="de-DE"/>
              </w:rPr>
              <w:t> </w:t>
            </w:r>
            <w:r w:rsidR="00322E40" w:rsidRPr="00402720">
              <w:rPr>
                <w:rFonts w:ascii="Times New Roman" w:hAnsi="Times New Roman" w:cs="Times New Roman"/>
                <w:lang w:val="de-DE"/>
              </w:rPr>
              <w:t>%</w:t>
            </w:r>
            <w:r w:rsidR="001718EB">
              <w:rPr>
                <w:rFonts w:ascii="Times New Roman" w:hAnsi="Times New Roman" w:cs="Times New Roman"/>
                <w:lang w:val="de-DE"/>
              </w:rPr>
              <w:t> </w:t>
            </w:r>
            <w:r w:rsidRPr="00402720">
              <w:rPr>
                <w:rFonts w:ascii="Times New Roman" w:hAnsi="Times New Roman" w:cs="Times New Roman"/>
                <w:lang w:val="de-DE"/>
              </w:rPr>
              <w:t>KI]</w:t>
            </w:r>
          </w:p>
        </w:tc>
        <w:tc>
          <w:tcPr>
            <w:tcW w:w="4958" w:type="dxa"/>
            <w:gridSpan w:val="2"/>
            <w:tcBorders>
              <w:top w:val="single" w:sz="4" w:space="0" w:color="000000"/>
              <w:left w:val="single" w:sz="4" w:space="0" w:color="000000"/>
              <w:bottom w:val="single" w:sz="4" w:space="0" w:color="000000"/>
              <w:right w:val="single" w:sz="4" w:space="0" w:color="000000"/>
            </w:tcBorders>
          </w:tcPr>
          <w:p w14:paraId="095DF569"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0,76 [0,62; 0,94]</w:t>
            </w:r>
          </w:p>
          <w:p w14:paraId="749C81DA"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(p-Wert</w:t>
            </w:r>
            <w:r w:rsidRPr="00402720">
              <w:rPr>
                <w:rFonts w:ascii="Times New Roman" w:hAnsi="Times New Roman" w:cs="Times New Roman"/>
                <w:vertAlign w:val="superscript"/>
                <w:lang w:val="de-DE"/>
              </w:rPr>
              <w:t>5,</w:t>
            </w:r>
            <w:r w:rsidR="00492B21" w:rsidRPr="00402720">
              <w:rPr>
                <w:rFonts w:ascii="Times New Roman" w:hAnsi="Times New Roman" w:cs="Times New Roman"/>
                <w:vertAlign w:val="superscript"/>
                <w:lang w:val="de-DE"/>
              </w:rPr>
              <w:t xml:space="preserve"> </w:t>
            </w:r>
            <w:r w:rsidRPr="00402720">
              <w:rPr>
                <w:rFonts w:ascii="Times New Roman" w:hAnsi="Times New Roman" w:cs="Times New Roman"/>
                <w:vertAlign w:val="superscript"/>
                <w:lang w:val="de-DE"/>
              </w:rPr>
              <w:t>8</w:t>
            </w:r>
            <w:r w:rsidRPr="00402720">
              <w:rPr>
                <w:rFonts w:ascii="Times New Roman" w:hAnsi="Times New Roman" w:cs="Times New Roman"/>
                <w:lang w:val="de-DE"/>
              </w:rPr>
              <w:t xml:space="preserve"> = 0,0126)</w:t>
            </w:r>
          </w:p>
        </w:tc>
      </w:tr>
      <w:tr w:rsidR="00777359" w:rsidRPr="00402720" w14:paraId="12D4B558" w14:textId="77777777" w:rsidTr="00DB4AB2">
        <w:trPr>
          <w:trHeight w:val="20"/>
        </w:trPr>
        <w:tc>
          <w:tcPr>
            <w:tcW w:w="9072" w:type="dxa"/>
            <w:gridSpan w:val="3"/>
            <w:tcBorders>
              <w:top w:val="single" w:sz="4" w:space="0" w:color="000000"/>
              <w:left w:val="single" w:sz="4" w:space="0" w:color="000000"/>
              <w:bottom w:val="single" w:sz="4" w:space="0" w:color="000000"/>
              <w:right w:val="single" w:sz="4" w:space="0" w:color="000000"/>
            </w:tcBorders>
          </w:tcPr>
          <w:p w14:paraId="18B27F92"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Sekundäre Endpunkte</w:t>
            </w:r>
          </w:p>
        </w:tc>
      </w:tr>
      <w:tr w:rsidR="00777359" w:rsidRPr="00402720" w14:paraId="2BD718B0" w14:textId="77777777" w:rsidTr="00DB4AB2">
        <w:trPr>
          <w:trHeight w:val="20"/>
        </w:trPr>
        <w:tc>
          <w:tcPr>
            <w:tcW w:w="9072" w:type="dxa"/>
            <w:gridSpan w:val="3"/>
            <w:tcBorders>
              <w:top w:val="single" w:sz="4" w:space="0" w:color="000000"/>
              <w:left w:val="single" w:sz="4" w:space="0" w:color="000000"/>
              <w:bottom w:val="single" w:sz="4" w:space="0" w:color="000000"/>
              <w:right w:val="single" w:sz="4" w:space="0" w:color="000000"/>
            </w:tcBorders>
          </w:tcPr>
          <w:p w14:paraId="053DB861" w14:textId="77777777" w:rsidR="00777359" w:rsidRPr="00402720" w:rsidRDefault="00777359" w:rsidP="00C55531">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Progressionsfreies Überleben </w:t>
            </w:r>
            <w:r w:rsidR="00D7227D" w:rsidRPr="00402720">
              <w:rPr>
                <w:rFonts w:ascii="Times New Roman" w:hAnsi="Times New Roman" w:cs="Times New Roman"/>
                <w:lang w:val="de-DE"/>
              </w:rPr>
              <w:t>-</w:t>
            </w:r>
            <w:r w:rsidRPr="00402720">
              <w:rPr>
                <w:rFonts w:ascii="Times New Roman" w:hAnsi="Times New Roman" w:cs="Times New Roman"/>
                <w:lang w:val="de-DE"/>
              </w:rPr>
              <w:t xml:space="preserve"> Primäranalyse</w:t>
            </w:r>
            <w:r w:rsidRPr="00402720">
              <w:rPr>
                <w:rFonts w:ascii="Times New Roman" w:hAnsi="Times New Roman" w:cs="Times New Roman"/>
                <w:vertAlign w:val="superscript"/>
                <w:lang w:val="de-DE"/>
              </w:rPr>
              <w:t>6</w:t>
            </w:r>
          </w:p>
        </w:tc>
      </w:tr>
      <w:tr w:rsidR="00777359" w:rsidRPr="00402720" w14:paraId="6DF42F65" w14:textId="77777777" w:rsidTr="00FF5623">
        <w:trPr>
          <w:trHeight w:val="20"/>
        </w:trPr>
        <w:tc>
          <w:tcPr>
            <w:tcW w:w="4114" w:type="dxa"/>
            <w:tcBorders>
              <w:top w:val="single" w:sz="4" w:space="0" w:color="000000"/>
              <w:left w:val="single" w:sz="4" w:space="0" w:color="000000"/>
              <w:bottom w:val="single" w:sz="4" w:space="0" w:color="000000"/>
              <w:right w:val="single" w:sz="4" w:space="0" w:color="000000"/>
            </w:tcBorders>
          </w:tcPr>
          <w:p w14:paraId="75DADB4C" w14:textId="77777777" w:rsidR="00777359" w:rsidRPr="00402720" w:rsidRDefault="00777359" w:rsidP="00C55531">
            <w:pPr>
              <w:spacing w:after="0" w:line="240" w:lineRule="auto"/>
              <w:ind w:left="567"/>
              <w:rPr>
                <w:rFonts w:ascii="Times New Roman" w:hAnsi="Times New Roman" w:cs="Times New Roman"/>
                <w:lang w:val="de-DE"/>
              </w:rPr>
            </w:pPr>
            <w:r w:rsidRPr="00402720">
              <w:rPr>
                <w:rFonts w:ascii="Times New Roman" w:hAnsi="Times New Roman" w:cs="Times New Roman"/>
                <w:lang w:val="de-DE"/>
              </w:rPr>
              <w:t>Medianes PFS (Monate)</w:t>
            </w:r>
            <w:r w:rsidRPr="00402720">
              <w:rPr>
                <w:rFonts w:ascii="Times New Roman" w:hAnsi="Times New Roman" w:cs="Times New Roman"/>
                <w:vertAlign w:val="superscript"/>
                <w:lang w:val="de-DE"/>
              </w:rPr>
              <w:t>1</w:t>
            </w:r>
          </w:p>
        </w:tc>
        <w:tc>
          <w:tcPr>
            <w:tcW w:w="2265" w:type="dxa"/>
            <w:tcBorders>
              <w:top w:val="single" w:sz="4" w:space="0" w:color="000000"/>
              <w:left w:val="single" w:sz="4" w:space="0" w:color="000000"/>
              <w:bottom w:val="single" w:sz="4" w:space="0" w:color="000000"/>
              <w:right w:val="single" w:sz="4" w:space="0" w:color="000000"/>
            </w:tcBorders>
          </w:tcPr>
          <w:p w14:paraId="681BD7C3"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6,0</w:t>
            </w:r>
          </w:p>
        </w:tc>
        <w:tc>
          <w:tcPr>
            <w:tcW w:w="2693" w:type="dxa"/>
            <w:tcBorders>
              <w:top w:val="single" w:sz="4" w:space="0" w:color="000000"/>
              <w:left w:val="single" w:sz="4" w:space="0" w:color="000000"/>
              <w:bottom w:val="single" w:sz="4" w:space="0" w:color="000000"/>
              <w:right w:val="single" w:sz="4" w:space="0" w:color="000000"/>
            </w:tcBorders>
          </w:tcPr>
          <w:p w14:paraId="0F313613"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8,3</w:t>
            </w:r>
          </w:p>
        </w:tc>
      </w:tr>
      <w:tr w:rsidR="00777359" w:rsidRPr="00402720" w14:paraId="60B6B680" w14:textId="77777777" w:rsidTr="00DB4AB2">
        <w:trPr>
          <w:trHeight w:val="20"/>
        </w:trPr>
        <w:tc>
          <w:tcPr>
            <w:tcW w:w="4114" w:type="dxa"/>
            <w:tcBorders>
              <w:top w:val="single" w:sz="4" w:space="0" w:color="000000"/>
              <w:left w:val="single" w:sz="4" w:space="0" w:color="000000"/>
              <w:bottom w:val="single" w:sz="4" w:space="0" w:color="000000"/>
              <w:right w:val="single" w:sz="4" w:space="0" w:color="000000"/>
            </w:tcBorders>
          </w:tcPr>
          <w:p w14:paraId="4BCB343F" w14:textId="48EEBD24" w:rsidR="00777359" w:rsidRPr="00402720" w:rsidRDefault="00C55531" w:rsidP="00C55531">
            <w:pPr>
              <w:spacing w:after="0" w:line="240" w:lineRule="auto"/>
              <w:ind w:left="567"/>
              <w:rPr>
                <w:rFonts w:ascii="Times New Roman" w:hAnsi="Times New Roman" w:cs="Times New Roman"/>
                <w:lang w:val="de-DE"/>
              </w:rPr>
            </w:pPr>
            <w:r w:rsidRPr="00402720">
              <w:rPr>
                <w:rFonts w:ascii="Times New Roman" w:hAnsi="Times New Roman" w:cs="Times New Roman"/>
                <w:lang w:val="de-DE"/>
              </w:rPr>
              <w:t>Hazard Ratio [95</w:t>
            </w:r>
            <w:r w:rsidR="001718EB">
              <w:rPr>
                <w:rFonts w:ascii="Times New Roman" w:hAnsi="Times New Roman" w:cs="Times New Roman"/>
                <w:lang w:val="de-DE"/>
              </w:rPr>
              <w:t> </w:t>
            </w:r>
            <w:r w:rsidR="00322E40" w:rsidRPr="00402720">
              <w:rPr>
                <w:rFonts w:ascii="Times New Roman" w:hAnsi="Times New Roman" w:cs="Times New Roman"/>
                <w:lang w:val="de-DE"/>
              </w:rPr>
              <w:t>%</w:t>
            </w:r>
            <w:r w:rsidR="001718EB">
              <w:rPr>
                <w:rFonts w:ascii="Times New Roman" w:hAnsi="Times New Roman" w:cs="Times New Roman"/>
                <w:lang w:val="de-DE"/>
              </w:rPr>
              <w:t> </w:t>
            </w:r>
            <w:r w:rsidRPr="00402720">
              <w:rPr>
                <w:rFonts w:ascii="Times New Roman" w:hAnsi="Times New Roman" w:cs="Times New Roman"/>
                <w:lang w:val="de-DE"/>
              </w:rPr>
              <w:t>KI]</w:t>
            </w:r>
          </w:p>
        </w:tc>
        <w:tc>
          <w:tcPr>
            <w:tcW w:w="4958" w:type="dxa"/>
            <w:gridSpan w:val="2"/>
            <w:tcBorders>
              <w:top w:val="single" w:sz="4" w:space="0" w:color="000000"/>
              <w:left w:val="single" w:sz="4" w:space="0" w:color="000000"/>
              <w:bottom w:val="single" w:sz="4" w:space="0" w:color="000000"/>
              <w:right w:val="single" w:sz="4" w:space="0" w:color="000000"/>
            </w:tcBorders>
          </w:tcPr>
          <w:p w14:paraId="4DA026C8"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0,66 [0,54; 0,81]</w:t>
            </w:r>
          </w:p>
          <w:p w14:paraId="13FCB4F4"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(p-Wert</w:t>
            </w:r>
            <w:r w:rsidR="00C55531" w:rsidRPr="00402720">
              <w:rPr>
                <w:rFonts w:ascii="Times New Roman" w:hAnsi="Times New Roman" w:cs="Times New Roman"/>
                <w:vertAlign w:val="superscript"/>
                <w:lang w:val="de-DE"/>
              </w:rPr>
              <w:t>5</w:t>
            </w:r>
            <w:r w:rsidR="00C55531" w:rsidRPr="00402720">
              <w:rPr>
                <w:rFonts w:ascii="Times New Roman" w:hAnsi="Times New Roman" w:cs="Times New Roman"/>
                <w:lang w:val="de-DE"/>
              </w:rPr>
              <w:t xml:space="preserve"> </w:t>
            </w:r>
            <w:r w:rsidR="00E32D5C" w:rsidRPr="00402720">
              <w:rPr>
                <w:rFonts w:ascii="Times New Roman" w:hAnsi="Times New Roman" w:cs="Times New Roman"/>
                <w:lang w:val="de-DE"/>
              </w:rPr>
              <w:t>&lt;</w:t>
            </w:r>
            <w:r w:rsidR="00486888" w:rsidRPr="00402720">
              <w:rPr>
                <w:rFonts w:ascii="Times New Roman" w:hAnsi="Times New Roman" w:cs="Times New Roman"/>
                <w:lang w:val="de-DE"/>
              </w:rPr>
              <w:t xml:space="preserve"> </w:t>
            </w:r>
            <w:r w:rsidRPr="00402720">
              <w:rPr>
                <w:rFonts w:ascii="Times New Roman" w:hAnsi="Times New Roman" w:cs="Times New Roman"/>
                <w:lang w:val="de-DE"/>
              </w:rPr>
              <w:t>0,0001)</w:t>
            </w:r>
          </w:p>
        </w:tc>
      </w:tr>
      <w:tr w:rsidR="00777359" w:rsidRPr="00402720" w14:paraId="588E1D6F" w14:textId="77777777" w:rsidTr="00DB4AB2">
        <w:trPr>
          <w:trHeight w:val="20"/>
        </w:trPr>
        <w:tc>
          <w:tcPr>
            <w:tcW w:w="9072" w:type="dxa"/>
            <w:gridSpan w:val="3"/>
            <w:tcBorders>
              <w:top w:val="single" w:sz="4" w:space="0" w:color="000000"/>
              <w:left w:val="single" w:sz="4" w:space="0" w:color="000000"/>
              <w:bottom w:val="single" w:sz="4" w:space="0" w:color="000000"/>
              <w:right w:val="single" w:sz="4" w:space="0" w:color="000000"/>
            </w:tcBorders>
          </w:tcPr>
          <w:p w14:paraId="5C843FBD" w14:textId="77777777" w:rsidR="00777359" w:rsidRPr="00402720" w:rsidRDefault="00777359" w:rsidP="00C55531">
            <w:pPr>
              <w:spacing w:after="0" w:line="240" w:lineRule="auto"/>
              <w:rPr>
                <w:rFonts w:ascii="Times New Roman" w:hAnsi="Times New Roman" w:cs="Times New Roman"/>
                <w:lang w:val="de-DE"/>
              </w:rPr>
            </w:pPr>
            <w:r w:rsidRPr="00402720">
              <w:rPr>
                <w:rFonts w:ascii="Times New Roman" w:hAnsi="Times New Roman" w:cs="Times New Roman"/>
                <w:lang w:val="de-DE"/>
              </w:rPr>
              <w:t xml:space="preserve">Bestes Gesamtansprechen </w:t>
            </w:r>
            <w:r w:rsidR="00D7227D" w:rsidRPr="00402720">
              <w:rPr>
                <w:rFonts w:ascii="Times New Roman" w:hAnsi="Times New Roman" w:cs="Times New Roman"/>
                <w:lang w:val="de-DE"/>
              </w:rPr>
              <w:t>-</w:t>
            </w:r>
            <w:r w:rsidRPr="00402720">
              <w:rPr>
                <w:rFonts w:ascii="Times New Roman" w:hAnsi="Times New Roman" w:cs="Times New Roman"/>
                <w:lang w:val="de-DE"/>
              </w:rPr>
              <w:t xml:space="preserve"> Primäranalyse</w:t>
            </w:r>
            <w:r w:rsidRPr="00402720">
              <w:rPr>
                <w:rFonts w:ascii="Times New Roman" w:hAnsi="Times New Roman" w:cs="Times New Roman"/>
                <w:vertAlign w:val="superscript"/>
                <w:lang w:val="de-DE"/>
              </w:rPr>
              <w:t>6</w:t>
            </w:r>
          </w:p>
        </w:tc>
      </w:tr>
      <w:tr w:rsidR="00777359" w:rsidRPr="00402720" w14:paraId="1567F0FC" w14:textId="77777777" w:rsidTr="00FF5623">
        <w:trPr>
          <w:trHeight w:val="20"/>
        </w:trPr>
        <w:tc>
          <w:tcPr>
            <w:tcW w:w="4114" w:type="dxa"/>
            <w:tcBorders>
              <w:top w:val="single" w:sz="4" w:space="0" w:color="000000"/>
              <w:left w:val="single" w:sz="4" w:space="0" w:color="000000"/>
              <w:bottom w:val="single" w:sz="4" w:space="0" w:color="000000"/>
              <w:right w:val="single" w:sz="4" w:space="0" w:color="000000"/>
            </w:tcBorders>
          </w:tcPr>
          <w:p w14:paraId="5F0C1B1E" w14:textId="77777777" w:rsidR="00777359" w:rsidRPr="00402720" w:rsidRDefault="00777359" w:rsidP="00C55531">
            <w:pPr>
              <w:spacing w:after="0" w:line="240" w:lineRule="auto"/>
              <w:ind w:left="567"/>
              <w:rPr>
                <w:rFonts w:ascii="Times New Roman" w:hAnsi="Times New Roman" w:cs="Times New Roman"/>
                <w:lang w:val="de-DE"/>
              </w:rPr>
            </w:pPr>
            <w:r w:rsidRPr="00402720">
              <w:rPr>
                <w:rFonts w:ascii="Times New Roman" w:hAnsi="Times New Roman" w:cs="Times New Roman"/>
                <w:lang w:val="de-DE"/>
              </w:rPr>
              <w:t>Responder (Ansprechrate</w:t>
            </w:r>
            <w:r w:rsidRPr="00402720">
              <w:rPr>
                <w:rFonts w:ascii="Times New Roman" w:hAnsi="Times New Roman" w:cs="Times New Roman"/>
                <w:vertAlign w:val="superscript"/>
                <w:lang w:val="de-DE"/>
              </w:rPr>
              <w:t>2</w:t>
            </w:r>
            <w:r w:rsidR="00C55531" w:rsidRPr="00402720">
              <w:rPr>
                <w:rFonts w:ascii="Times New Roman" w:hAnsi="Times New Roman" w:cs="Times New Roman"/>
                <w:lang w:val="de-DE"/>
              </w:rPr>
              <w:t>)</w:t>
            </w:r>
          </w:p>
        </w:tc>
        <w:tc>
          <w:tcPr>
            <w:tcW w:w="2265" w:type="dxa"/>
            <w:tcBorders>
              <w:top w:val="single" w:sz="4" w:space="0" w:color="000000"/>
              <w:left w:val="single" w:sz="4" w:space="0" w:color="000000"/>
              <w:bottom w:val="single" w:sz="4" w:space="0" w:color="000000"/>
              <w:right w:val="single" w:sz="4" w:space="0" w:color="000000"/>
            </w:tcBorders>
          </w:tcPr>
          <w:p w14:paraId="6E792809"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76 (33,8</w:t>
            </w:r>
            <w:r w:rsidR="00790378"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r w:rsidRPr="00402720">
              <w:rPr>
                <w:rFonts w:ascii="Times New Roman" w:hAnsi="Times New Roman" w:cs="Times New Roman"/>
                <w:lang w:val="de-DE"/>
              </w:rPr>
              <w:t>)</w:t>
            </w:r>
          </w:p>
        </w:tc>
        <w:tc>
          <w:tcPr>
            <w:tcW w:w="2693" w:type="dxa"/>
            <w:tcBorders>
              <w:top w:val="single" w:sz="4" w:space="0" w:color="000000"/>
              <w:left w:val="single" w:sz="4" w:space="0" w:color="000000"/>
              <w:bottom w:val="single" w:sz="4" w:space="0" w:color="000000"/>
              <w:right w:val="single" w:sz="4" w:space="0" w:color="000000"/>
            </w:tcBorders>
          </w:tcPr>
          <w:p w14:paraId="3901CED1" w14:textId="77777777" w:rsidR="00777359" w:rsidRPr="00402720" w:rsidRDefault="00777359" w:rsidP="00C55531">
            <w:pPr>
              <w:tabs>
                <w:tab w:val="center" w:pos="1262"/>
              </w:tabs>
              <w:spacing w:after="0" w:line="240" w:lineRule="auto"/>
              <w:jc w:val="center"/>
              <w:rPr>
                <w:rFonts w:ascii="Times New Roman" w:hAnsi="Times New Roman" w:cs="Times New Roman"/>
                <w:lang w:val="de-DE"/>
              </w:rPr>
            </w:pPr>
            <w:r w:rsidRPr="00402720">
              <w:rPr>
                <w:rFonts w:ascii="Times New Roman" w:hAnsi="Times New Roman" w:cs="Times New Roman"/>
                <w:lang w:val="de-DE"/>
              </w:rPr>
              <w:t>103 (45,4</w:t>
            </w:r>
            <w:r w:rsidR="00790378"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r w:rsidRPr="00402720">
              <w:rPr>
                <w:rFonts w:ascii="Times New Roman" w:hAnsi="Times New Roman" w:cs="Times New Roman"/>
                <w:lang w:val="de-DE"/>
              </w:rPr>
              <w:t>)</w:t>
            </w:r>
          </w:p>
        </w:tc>
      </w:tr>
      <w:tr w:rsidR="00777359" w:rsidRPr="00402720" w14:paraId="20B72910" w14:textId="77777777" w:rsidTr="00FF5623">
        <w:trPr>
          <w:trHeight w:val="20"/>
        </w:trPr>
        <w:tc>
          <w:tcPr>
            <w:tcW w:w="4114" w:type="dxa"/>
            <w:tcBorders>
              <w:top w:val="single" w:sz="4" w:space="0" w:color="000000"/>
              <w:left w:val="single" w:sz="4" w:space="0" w:color="000000"/>
              <w:bottom w:val="single" w:sz="4" w:space="0" w:color="000000"/>
              <w:right w:val="single" w:sz="4" w:space="0" w:color="000000"/>
            </w:tcBorders>
          </w:tcPr>
          <w:p w14:paraId="4F94AAD8" w14:textId="2F0E27E3" w:rsidR="00777359" w:rsidRPr="00402720" w:rsidRDefault="00777359" w:rsidP="00C55531">
            <w:pPr>
              <w:spacing w:after="0" w:line="240" w:lineRule="auto"/>
              <w:ind w:left="567"/>
              <w:rPr>
                <w:rFonts w:ascii="Times New Roman" w:hAnsi="Times New Roman" w:cs="Times New Roman"/>
                <w:lang w:val="de-DE"/>
              </w:rPr>
            </w:pPr>
            <w:r w:rsidRPr="00402720">
              <w:rPr>
                <w:rFonts w:ascii="Times New Roman" w:hAnsi="Times New Roman" w:cs="Times New Roman"/>
                <w:lang w:val="de-DE"/>
              </w:rPr>
              <w:t>95</w:t>
            </w:r>
            <w:r w:rsidR="001718EB">
              <w:rPr>
                <w:rFonts w:ascii="Times New Roman" w:hAnsi="Times New Roman" w:cs="Times New Roman"/>
                <w:lang w:val="de-DE"/>
              </w:rPr>
              <w:t> </w:t>
            </w:r>
            <w:r w:rsidR="00322E40" w:rsidRPr="00402720">
              <w:rPr>
                <w:rFonts w:ascii="Times New Roman" w:hAnsi="Times New Roman" w:cs="Times New Roman"/>
                <w:lang w:val="de-DE"/>
              </w:rPr>
              <w:t>%</w:t>
            </w:r>
            <w:r w:rsidR="001718EB">
              <w:rPr>
                <w:rFonts w:ascii="Times New Roman" w:hAnsi="Times New Roman" w:cs="Times New Roman"/>
                <w:lang w:val="de-DE"/>
              </w:rPr>
              <w:t> </w:t>
            </w:r>
            <w:r w:rsidRPr="00402720">
              <w:rPr>
                <w:rFonts w:ascii="Times New Roman" w:hAnsi="Times New Roman" w:cs="Times New Roman"/>
                <w:lang w:val="de-DE"/>
              </w:rPr>
              <w:t>KI für Ansprechraten</w:t>
            </w:r>
            <w:r w:rsidRPr="00402720">
              <w:rPr>
                <w:rFonts w:ascii="Times New Roman" w:hAnsi="Times New Roman" w:cs="Times New Roman"/>
                <w:vertAlign w:val="superscript"/>
                <w:lang w:val="de-DE"/>
              </w:rPr>
              <w:t>3</w:t>
            </w:r>
          </w:p>
        </w:tc>
        <w:tc>
          <w:tcPr>
            <w:tcW w:w="2265" w:type="dxa"/>
            <w:tcBorders>
              <w:top w:val="single" w:sz="4" w:space="0" w:color="000000"/>
              <w:left w:val="single" w:sz="4" w:space="0" w:color="000000"/>
              <w:bottom w:val="single" w:sz="4" w:space="0" w:color="000000"/>
              <w:right w:val="single" w:sz="4" w:space="0" w:color="000000"/>
            </w:tcBorders>
          </w:tcPr>
          <w:p w14:paraId="156AFC42"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[27,6</w:t>
            </w:r>
            <w:r w:rsidR="00486888"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r w:rsidRPr="00402720">
              <w:rPr>
                <w:rFonts w:ascii="Times New Roman" w:hAnsi="Times New Roman" w:cs="Times New Roman"/>
                <w:lang w:val="de-DE"/>
              </w:rPr>
              <w:t>; 40,4</w:t>
            </w:r>
            <w:r w:rsidR="00322E40" w:rsidRPr="00402720">
              <w:rPr>
                <w:rFonts w:ascii="Times New Roman" w:hAnsi="Times New Roman" w:cs="Times New Roman"/>
                <w:lang w:val="de-DE"/>
              </w:rPr>
              <w:t> %</w:t>
            </w:r>
            <w:r w:rsidRPr="00402720">
              <w:rPr>
                <w:rFonts w:ascii="Times New Roman" w:hAnsi="Times New Roman" w:cs="Times New Roman"/>
                <w:lang w:val="de-DE"/>
              </w:rPr>
              <w:t>]</w:t>
            </w:r>
          </w:p>
        </w:tc>
        <w:tc>
          <w:tcPr>
            <w:tcW w:w="2693" w:type="dxa"/>
            <w:tcBorders>
              <w:top w:val="single" w:sz="4" w:space="0" w:color="000000"/>
              <w:left w:val="single" w:sz="4" w:space="0" w:color="000000"/>
              <w:bottom w:val="single" w:sz="4" w:space="0" w:color="000000"/>
              <w:right w:val="single" w:sz="4" w:space="0" w:color="000000"/>
            </w:tcBorders>
          </w:tcPr>
          <w:p w14:paraId="445C3702" w14:textId="77777777" w:rsidR="00777359" w:rsidRPr="00402720" w:rsidRDefault="00777359" w:rsidP="00C55531">
            <w:pPr>
              <w:tabs>
                <w:tab w:val="center" w:pos="1261"/>
              </w:tabs>
              <w:spacing w:after="0" w:line="240" w:lineRule="auto"/>
              <w:jc w:val="center"/>
              <w:rPr>
                <w:rFonts w:ascii="Times New Roman" w:hAnsi="Times New Roman" w:cs="Times New Roman"/>
                <w:lang w:val="de-DE"/>
              </w:rPr>
            </w:pPr>
            <w:r w:rsidRPr="00402720">
              <w:rPr>
                <w:rFonts w:ascii="Times New Roman" w:hAnsi="Times New Roman" w:cs="Times New Roman"/>
                <w:lang w:val="de-DE"/>
              </w:rPr>
              <w:t>[38,8</w:t>
            </w:r>
            <w:r w:rsidR="00790378"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r w:rsidRPr="00402720">
              <w:rPr>
                <w:rFonts w:ascii="Times New Roman" w:hAnsi="Times New Roman" w:cs="Times New Roman"/>
                <w:lang w:val="de-DE"/>
              </w:rPr>
              <w:t>; 52,1</w:t>
            </w:r>
            <w:r w:rsidR="00790378"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r w:rsidRPr="00402720">
              <w:rPr>
                <w:rFonts w:ascii="Times New Roman" w:hAnsi="Times New Roman" w:cs="Times New Roman"/>
                <w:lang w:val="de-DE"/>
              </w:rPr>
              <w:t>]</w:t>
            </w:r>
          </w:p>
        </w:tc>
      </w:tr>
      <w:tr w:rsidR="00777359" w:rsidRPr="00402720" w14:paraId="4C4C7FB5" w14:textId="77777777" w:rsidTr="00DB4AB2">
        <w:trPr>
          <w:trHeight w:val="20"/>
        </w:trPr>
        <w:tc>
          <w:tcPr>
            <w:tcW w:w="4114" w:type="dxa"/>
            <w:tcBorders>
              <w:top w:val="single" w:sz="4" w:space="0" w:color="000000"/>
              <w:left w:val="single" w:sz="4" w:space="0" w:color="000000"/>
              <w:bottom w:val="single" w:sz="4" w:space="0" w:color="000000"/>
              <w:right w:val="single" w:sz="4" w:space="0" w:color="000000"/>
            </w:tcBorders>
          </w:tcPr>
          <w:p w14:paraId="2DAEFC6B" w14:textId="77777777" w:rsidR="00777359" w:rsidRPr="00402720" w:rsidRDefault="00777359" w:rsidP="00C55531">
            <w:pPr>
              <w:spacing w:after="0" w:line="240" w:lineRule="auto"/>
              <w:ind w:left="567"/>
              <w:rPr>
                <w:rFonts w:ascii="Times New Roman" w:hAnsi="Times New Roman" w:cs="Times New Roman"/>
                <w:lang w:val="de-DE"/>
              </w:rPr>
            </w:pPr>
            <w:r w:rsidRPr="00402720">
              <w:rPr>
                <w:rFonts w:ascii="Times New Roman" w:hAnsi="Times New Roman" w:cs="Times New Roman"/>
                <w:lang w:val="de-DE"/>
              </w:rPr>
              <w:t>Unterschied in Ansprechraten</w:t>
            </w:r>
          </w:p>
        </w:tc>
        <w:tc>
          <w:tcPr>
            <w:tcW w:w="4958" w:type="dxa"/>
            <w:gridSpan w:val="2"/>
            <w:tcBorders>
              <w:top w:val="single" w:sz="4" w:space="0" w:color="000000"/>
              <w:left w:val="single" w:sz="4" w:space="0" w:color="000000"/>
              <w:bottom w:val="single" w:sz="4" w:space="0" w:color="000000"/>
              <w:right w:val="single" w:sz="4" w:space="0" w:color="000000"/>
            </w:tcBorders>
          </w:tcPr>
          <w:p w14:paraId="2D1651CA" w14:textId="77777777" w:rsidR="00777359" w:rsidRPr="00402720" w:rsidRDefault="00777359" w:rsidP="00C55531">
            <w:pPr>
              <w:tabs>
                <w:tab w:val="center" w:pos="2400"/>
              </w:tabs>
              <w:spacing w:after="0" w:line="240" w:lineRule="auto"/>
              <w:jc w:val="center"/>
              <w:rPr>
                <w:rFonts w:ascii="Times New Roman" w:hAnsi="Times New Roman" w:cs="Times New Roman"/>
                <w:lang w:val="de-DE"/>
              </w:rPr>
            </w:pPr>
            <w:r w:rsidRPr="00402720">
              <w:rPr>
                <w:rFonts w:ascii="Times New Roman" w:hAnsi="Times New Roman" w:cs="Times New Roman"/>
                <w:lang w:val="de-DE"/>
              </w:rPr>
              <w:t>11,60</w:t>
            </w:r>
            <w:r w:rsidR="00790378"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p>
        </w:tc>
      </w:tr>
      <w:tr w:rsidR="00777359" w:rsidRPr="00402720" w14:paraId="396B2EDA" w14:textId="77777777" w:rsidTr="00DB4AB2">
        <w:trPr>
          <w:trHeight w:val="20"/>
        </w:trPr>
        <w:tc>
          <w:tcPr>
            <w:tcW w:w="4114" w:type="dxa"/>
            <w:tcBorders>
              <w:top w:val="single" w:sz="4" w:space="0" w:color="000000"/>
              <w:left w:val="single" w:sz="4" w:space="0" w:color="000000"/>
              <w:bottom w:val="single" w:sz="4" w:space="0" w:color="000000"/>
              <w:right w:val="single" w:sz="4" w:space="0" w:color="000000"/>
            </w:tcBorders>
          </w:tcPr>
          <w:p w14:paraId="2DCC2DFA" w14:textId="6D59CE3F" w:rsidR="00777359" w:rsidRPr="00402720" w:rsidRDefault="00777359" w:rsidP="00C55531">
            <w:pPr>
              <w:spacing w:after="0" w:line="240" w:lineRule="auto"/>
              <w:ind w:left="567"/>
              <w:rPr>
                <w:rFonts w:ascii="Times New Roman" w:hAnsi="Times New Roman" w:cs="Times New Roman"/>
                <w:lang w:val="de-DE"/>
              </w:rPr>
            </w:pPr>
            <w:r w:rsidRPr="00402720">
              <w:rPr>
                <w:rFonts w:ascii="Times New Roman" w:hAnsi="Times New Roman" w:cs="Times New Roman"/>
                <w:lang w:val="de-DE"/>
              </w:rPr>
              <w:t>95</w:t>
            </w:r>
            <w:r w:rsidR="001718EB">
              <w:rPr>
                <w:rFonts w:ascii="Times New Roman" w:hAnsi="Times New Roman" w:cs="Times New Roman"/>
                <w:lang w:val="de-DE"/>
              </w:rPr>
              <w:t> </w:t>
            </w:r>
            <w:r w:rsidR="00322E40" w:rsidRPr="00402720">
              <w:rPr>
                <w:rFonts w:ascii="Times New Roman" w:hAnsi="Times New Roman" w:cs="Times New Roman"/>
                <w:lang w:val="de-DE"/>
              </w:rPr>
              <w:t>%</w:t>
            </w:r>
            <w:r w:rsidR="001718EB">
              <w:rPr>
                <w:rFonts w:ascii="Times New Roman" w:hAnsi="Times New Roman" w:cs="Times New Roman"/>
                <w:lang w:val="de-DE"/>
              </w:rPr>
              <w:t> </w:t>
            </w:r>
            <w:r w:rsidRPr="00402720">
              <w:rPr>
                <w:rFonts w:ascii="Times New Roman" w:hAnsi="Times New Roman" w:cs="Times New Roman"/>
                <w:lang w:val="de-DE"/>
              </w:rPr>
              <w:t>KI für Unterschied in Ansprechraten</w:t>
            </w:r>
            <w:r w:rsidRPr="00402720">
              <w:rPr>
                <w:rFonts w:ascii="Times New Roman" w:hAnsi="Times New Roman" w:cs="Times New Roman"/>
                <w:vertAlign w:val="superscript"/>
                <w:lang w:val="de-DE"/>
              </w:rPr>
              <w:t>4</w:t>
            </w:r>
          </w:p>
        </w:tc>
        <w:tc>
          <w:tcPr>
            <w:tcW w:w="4958" w:type="dxa"/>
            <w:gridSpan w:val="2"/>
            <w:tcBorders>
              <w:top w:val="single" w:sz="4" w:space="0" w:color="000000"/>
              <w:left w:val="single" w:sz="4" w:space="0" w:color="000000"/>
              <w:bottom w:val="single" w:sz="4" w:space="0" w:color="000000"/>
              <w:right w:val="single" w:sz="4" w:space="0" w:color="000000"/>
            </w:tcBorders>
          </w:tcPr>
          <w:p w14:paraId="0D0CA6E4"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[2,4</w:t>
            </w:r>
            <w:r w:rsidR="00486888"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r w:rsidRPr="00402720">
              <w:rPr>
                <w:rFonts w:ascii="Times New Roman" w:hAnsi="Times New Roman" w:cs="Times New Roman"/>
                <w:lang w:val="de-DE"/>
              </w:rPr>
              <w:t>; 20,8</w:t>
            </w:r>
            <w:r w:rsidR="00790378" w:rsidRPr="00402720">
              <w:rPr>
                <w:rFonts w:ascii="Times New Roman" w:hAnsi="Times New Roman" w:cs="Times New Roman"/>
                <w:lang w:val="de-DE"/>
              </w:rPr>
              <w:t xml:space="preserve"> </w:t>
            </w:r>
            <w:r w:rsidR="00322E40" w:rsidRPr="00402720">
              <w:rPr>
                <w:rFonts w:ascii="Times New Roman" w:hAnsi="Times New Roman" w:cs="Times New Roman"/>
                <w:lang w:val="de-DE"/>
              </w:rPr>
              <w:t>%</w:t>
            </w:r>
            <w:r w:rsidRPr="00402720">
              <w:rPr>
                <w:rFonts w:ascii="Times New Roman" w:hAnsi="Times New Roman" w:cs="Times New Roman"/>
                <w:lang w:val="de-DE"/>
              </w:rPr>
              <w:t>]</w:t>
            </w:r>
          </w:p>
        </w:tc>
      </w:tr>
      <w:tr w:rsidR="00777359" w:rsidRPr="00402720" w14:paraId="4C4EB004" w14:textId="77777777" w:rsidTr="00DB4AB2">
        <w:trPr>
          <w:trHeight w:val="20"/>
        </w:trPr>
        <w:tc>
          <w:tcPr>
            <w:tcW w:w="4114" w:type="dxa"/>
            <w:tcBorders>
              <w:top w:val="single" w:sz="4" w:space="0" w:color="000000"/>
              <w:left w:val="single" w:sz="4" w:space="0" w:color="000000"/>
              <w:bottom w:val="single" w:sz="4" w:space="0" w:color="000000"/>
              <w:right w:val="single" w:sz="4" w:space="0" w:color="000000"/>
            </w:tcBorders>
          </w:tcPr>
          <w:p w14:paraId="5FF1399C" w14:textId="77777777" w:rsidR="00777359" w:rsidRPr="00402720" w:rsidRDefault="00C55531" w:rsidP="00C55531">
            <w:pPr>
              <w:spacing w:after="0" w:line="240" w:lineRule="auto"/>
              <w:ind w:left="567"/>
              <w:rPr>
                <w:rFonts w:ascii="Times New Roman" w:hAnsi="Times New Roman" w:cs="Times New Roman"/>
                <w:lang w:val="de-DE"/>
              </w:rPr>
            </w:pPr>
            <w:r w:rsidRPr="00402720">
              <w:rPr>
                <w:rFonts w:ascii="Times New Roman" w:hAnsi="Times New Roman" w:cs="Times New Roman"/>
                <w:lang w:val="de-DE"/>
              </w:rPr>
              <w:t>p-Wert (Chi-Quadrat-Test)</w:t>
            </w:r>
          </w:p>
        </w:tc>
        <w:tc>
          <w:tcPr>
            <w:tcW w:w="4958" w:type="dxa"/>
            <w:gridSpan w:val="2"/>
            <w:tcBorders>
              <w:top w:val="single" w:sz="4" w:space="0" w:color="000000"/>
              <w:left w:val="single" w:sz="4" w:space="0" w:color="000000"/>
              <w:bottom w:val="single" w:sz="4" w:space="0" w:color="000000"/>
              <w:right w:val="single" w:sz="4" w:space="0" w:color="000000"/>
            </w:tcBorders>
          </w:tcPr>
          <w:p w14:paraId="443BFC66" w14:textId="77777777" w:rsidR="00777359" w:rsidRPr="00402720" w:rsidRDefault="00777359" w:rsidP="00C55531">
            <w:pPr>
              <w:spacing w:after="0" w:line="240" w:lineRule="auto"/>
              <w:jc w:val="center"/>
              <w:rPr>
                <w:rFonts w:ascii="Times New Roman" w:hAnsi="Times New Roman" w:cs="Times New Roman"/>
                <w:lang w:val="de-DE"/>
              </w:rPr>
            </w:pPr>
            <w:r w:rsidRPr="00402720">
              <w:rPr>
                <w:rFonts w:ascii="Times New Roman" w:hAnsi="Times New Roman" w:cs="Times New Roman"/>
                <w:lang w:val="de-DE"/>
              </w:rPr>
              <w:t>0,0117</w:t>
            </w:r>
          </w:p>
        </w:tc>
      </w:tr>
    </w:tbl>
    <w:p w14:paraId="01C376ED" w14:textId="77777777" w:rsidR="00010E8C" w:rsidRPr="009737B5" w:rsidRDefault="00010E8C" w:rsidP="003631CA">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1</w:t>
      </w:r>
      <w:r w:rsidRPr="009737B5">
        <w:rPr>
          <w:rFonts w:ascii="Times New Roman" w:hAnsi="Times New Roman" w:cs="Times New Roman"/>
          <w:sz w:val="20"/>
          <w:szCs w:val="20"/>
          <w:lang w:val="de-DE"/>
        </w:rPr>
        <w:tab/>
        <w:t>Kaplan-Meier-Schätzungen</w:t>
      </w:r>
      <w:r w:rsidR="003631CA" w:rsidRPr="009737B5">
        <w:rPr>
          <w:rFonts w:ascii="Times New Roman" w:hAnsi="Times New Roman" w:cs="Times New Roman"/>
          <w:sz w:val="20"/>
          <w:szCs w:val="20"/>
          <w:lang w:val="de-DE"/>
        </w:rPr>
        <w:t>.</w:t>
      </w:r>
    </w:p>
    <w:p w14:paraId="42B62409" w14:textId="77777777" w:rsidR="00010E8C" w:rsidRPr="009737B5" w:rsidRDefault="00010E8C" w:rsidP="003631CA">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2</w:t>
      </w:r>
      <w:r w:rsidRPr="009737B5">
        <w:rPr>
          <w:rFonts w:ascii="Times New Roman" w:hAnsi="Times New Roman" w:cs="Times New Roman"/>
          <w:sz w:val="20"/>
          <w:szCs w:val="20"/>
          <w:lang w:val="de-DE"/>
        </w:rPr>
        <w:tab/>
        <w:t>Patienten und Prozentsatz von Patienten mit bestem Gesamtansprechen auf der Basis eines bestätigten CR oder PR; Prozentsatz berechnet auf Patienten mit messbarer Erkrankung bei Behandlungsbeginn.</w:t>
      </w:r>
    </w:p>
    <w:p w14:paraId="6091411D" w14:textId="294A473E" w:rsidR="00010E8C" w:rsidRPr="009737B5" w:rsidRDefault="00010E8C" w:rsidP="003631CA">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3</w:t>
      </w:r>
      <w:r w:rsidRPr="009737B5">
        <w:rPr>
          <w:rFonts w:ascii="Times New Roman" w:hAnsi="Times New Roman" w:cs="Times New Roman"/>
          <w:sz w:val="20"/>
          <w:szCs w:val="20"/>
          <w:lang w:val="de-DE"/>
        </w:rPr>
        <w:tab/>
        <w:t>95</w:t>
      </w:r>
      <w:r w:rsidR="00322E40" w:rsidRPr="009737B5">
        <w:rPr>
          <w:rFonts w:ascii="Times New Roman" w:hAnsi="Times New Roman" w:cs="Times New Roman"/>
          <w:sz w:val="20"/>
          <w:szCs w:val="20"/>
          <w:lang w:val="de-DE"/>
        </w:rPr>
        <w:t> %</w:t>
      </w:r>
      <w:r w:rsidR="001718EB">
        <w:rPr>
          <w:rFonts w:ascii="Times New Roman" w:hAnsi="Times New Roman" w:cs="Times New Roman"/>
          <w:sz w:val="20"/>
          <w:szCs w:val="20"/>
          <w:lang w:val="de-DE"/>
        </w:rPr>
        <w:t> </w:t>
      </w:r>
      <w:r w:rsidRPr="009737B5">
        <w:rPr>
          <w:rFonts w:ascii="Times New Roman" w:hAnsi="Times New Roman" w:cs="Times New Roman"/>
          <w:sz w:val="20"/>
          <w:szCs w:val="20"/>
          <w:lang w:val="de-DE"/>
        </w:rPr>
        <w:t>KI für eine Einstichproben-Binominalvariable unter Anwendung der Pearson-Clopper-Methode</w:t>
      </w:r>
      <w:r w:rsidR="003631CA" w:rsidRPr="009737B5">
        <w:rPr>
          <w:rFonts w:ascii="Times New Roman" w:hAnsi="Times New Roman" w:cs="Times New Roman"/>
          <w:sz w:val="20"/>
          <w:szCs w:val="20"/>
          <w:lang w:val="de-DE"/>
        </w:rPr>
        <w:t>.</w:t>
      </w:r>
    </w:p>
    <w:p w14:paraId="3F7BF031" w14:textId="219BCED9" w:rsidR="00010E8C" w:rsidRPr="009737B5" w:rsidRDefault="00010E8C" w:rsidP="003631CA">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4</w:t>
      </w:r>
      <w:r w:rsidRPr="009737B5">
        <w:rPr>
          <w:rFonts w:ascii="Times New Roman" w:hAnsi="Times New Roman" w:cs="Times New Roman"/>
          <w:sz w:val="20"/>
          <w:szCs w:val="20"/>
          <w:lang w:val="de-DE"/>
        </w:rPr>
        <w:tab/>
        <w:t>Approximatives 95</w:t>
      </w:r>
      <w:r w:rsidR="00322E40" w:rsidRPr="009737B5">
        <w:rPr>
          <w:rFonts w:ascii="Times New Roman" w:hAnsi="Times New Roman" w:cs="Times New Roman"/>
          <w:sz w:val="20"/>
          <w:szCs w:val="20"/>
          <w:lang w:val="de-DE"/>
        </w:rPr>
        <w:t> %</w:t>
      </w:r>
      <w:r w:rsidR="001718EB">
        <w:rPr>
          <w:rFonts w:ascii="Times New Roman" w:hAnsi="Times New Roman" w:cs="Times New Roman"/>
          <w:sz w:val="20"/>
          <w:szCs w:val="20"/>
          <w:lang w:val="de-DE"/>
        </w:rPr>
        <w:t> </w:t>
      </w:r>
      <w:r w:rsidRPr="009737B5">
        <w:rPr>
          <w:rFonts w:ascii="Times New Roman" w:hAnsi="Times New Roman" w:cs="Times New Roman"/>
          <w:sz w:val="20"/>
          <w:szCs w:val="20"/>
          <w:lang w:val="de-DE"/>
        </w:rPr>
        <w:t>KI für Differenz zweier Ansprechraten unter Anwendung der Hauck-Anderson-Methode</w:t>
      </w:r>
      <w:r w:rsidR="003631CA" w:rsidRPr="009737B5">
        <w:rPr>
          <w:rFonts w:ascii="Times New Roman" w:hAnsi="Times New Roman" w:cs="Times New Roman"/>
          <w:sz w:val="20"/>
          <w:szCs w:val="20"/>
          <w:lang w:val="de-DE"/>
        </w:rPr>
        <w:t>.</w:t>
      </w:r>
    </w:p>
    <w:p w14:paraId="10BA6EE8" w14:textId="77777777" w:rsidR="003631CA" w:rsidRPr="009737B5" w:rsidRDefault="00010E8C" w:rsidP="003631CA">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5</w:t>
      </w:r>
      <w:r w:rsidR="003631CA" w:rsidRPr="009737B5">
        <w:rPr>
          <w:rFonts w:ascii="Times New Roman" w:hAnsi="Times New Roman" w:cs="Times New Roman"/>
          <w:sz w:val="20"/>
          <w:szCs w:val="20"/>
          <w:lang w:val="de-DE"/>
        </w:rPr>
        <w:tab/>
        <w:t>Log-Rank-Test (stratifiziert).</w:t>
      </w:r>
    </w:p>
    <w:p w14:paraId="5B3D6B5C" w14:textId="715B0C95" w:rsidR="00010E8C" w:rsidRPr="009737B5" w:rsidRDefault="00010E8C" w:rsidP="003631CA">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6</w:t>
      </w:r>
      <w:r w:rsidR="003631CA" w:rsidRPr="009737B5">
        <w:rPr>
          <w:rFonts w:ascii="Times New Roman" w:hAnsi="Times New Roman" w:cs="Times New Roman"/>
          <w:sz w:val="20"/>
          <w:szCs w:val="20"/>
          <w:lang w:val="de-DE"/>
        </w:rPr>
        <w:tab/>
      </w:r>
      <w:r w:rsidRPr="009737B5">
        <w:rPr>
          <w:rFonts w:ascii="Times New Roman" w:hAnsi="Times New Roman" w:cs="Times New Roman"/>
          <w:sz w:val="20"/>
          <w:szCs w:val="20"/>
          <w:lang w:val="de-DE"/>
        </w:rPr>
        <w:t>Die Primäranalyse wurde mit Stichtag 12.</w:t>
      </w:r>
      <w:r w:rsidR="00A23012">
        <w:rPr>
          <w:rFonts w:ascii="Times New Roman" w:hAnsi="Times New Roman" w:cs="Times New Roman"/>
          <w:sz w:val="20"/>
          <w:szCs w:val="20"/>
          <w:lang w:val="de-DE"/>
        </w:rPr>
        <w:t> </w:t>
      </w:r>
      <w:r w:rsidRPr="009737B5">
        <w:rPr>
          <w:rFonts w:ascii="Times New Roman" w:hAnsi="Times New Roman" w:cs="Times New Roman"/>
          <w:sz w:val="20"/>
          <w:szCs w:val="20"/>
          <w:lang w:val="de-DE"/>
        </w:rPr>
        <w:t>Dezember 2012 durchgeführt und wird als finale Analyse betrachtet.</w:t>
      </w:r>
    </w:p>
    <w:p w14:paraId="5E4C8149" w14:textId="4CFEA158" w:rsidR="00010E8C" w:rsidRPr="009737B5" w:rsidRDefault="00010E8C" w:rsidP="003631CA">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7</w:t>
      </w:r>
      <w:r w:rsidRPr="009737B5">
        <w:rPr>
          <w:rFonts w:ascii="Times New Roman" w:hAnsi="Times New Roman" w:cs="Times New Roman"/>
          <w:sz w:val="20"/>
          <w:szCs w:val="20"/>
          <w:lang w:val="de-DE"/>
        </w:rPr>
        <w:tab/>
        <w:t>Die Nachfolgeanalyse wurde mit Stichtag 7.</w:t>
      </w:r>
      <w:r w:rsidR="00A23012">
        <w:rPr>
          <w:rFonts w:ascii="Times New Roman" w:hAnsi="Times New Roman" w:cs="Times New Roman"/>
          <w:sz w:val="20"/>
          <w:szCs w:val="20"/>
          <w:lang w:val="de-DE"/>
        </w:rPr>
        <w:t> </w:t>
      </w:r>
      <w:r w:rsidRPr="009737B5">
        <w:rPr>
          <w:rFonts w:ascii="Times New Roman" w:hAnsi="Times New Roman" w:cs="Times New Roman"/>
          <w:sz w:val="20"/>
          <w:szCs w:val="20"/>
          <w:lang w:val="de-DE"/>
        </w:rPr>
        <w:t>März 2014 durchgeführt.</w:t>
      </w:r>
    </w:p>
    <w:p w14:paraId="3808B7B2" w14:textId="77777777" w:rsidR="00010E8C" w:rsidRPr="009737B5" w:rsidRDefault="00010E8C" w:rsidP="003631CA">
      <w:pPr>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8</w:t>
      </w:r>
      <w:r w:rsidRPr="009737B5">
        <w:rPr>
          <w:rFonts w:ascii="Times New Roman" w:hAnsi="Times New Roman" w:cs="Times New Roman"/>
          <w:sz w:val="20"/>
          <w:szCs w:val="20"/>
          <w:lang w:val="de-DE"/>
        </w:rPr>
        <w:tab/>
        <w:t>Die p-Werte sind nur zu erläuternden Zwecken ausgewiesen.</w:t>
      </w:r>
    </w:p>
    <w:p w14:paraId="417BE9E7" w14:textId="77777777" w:rsidR="00010E8C" w:rsidRPr="009737B5" w:rsidRDefault="00010E8C" w:rsidP="005F4D08">
      <w:pPr>
        <w:suppressAutoHyphens/>
        <w:spacing w:after="0" w:line="240" w:lineRule="auto"/>
        <w:rPr>
          <w:rFonts w:ascii="Times New Roman" w:hAnsi="Times New Roman" w:cs="Times New Roman"/>
          <w:lang w:val="de-DE"/>
        </w:rPr>
      </w:pPr>
    </w:p>
    <w:p w14:paraId="49C90C46" w14:textId="5F80987D" w:rsidR="00010E8C" w:rsidRPr="009737B5" w:rsidRDefault="00010E8C" w:rsidP="00BD272D">
      <w:pPr>
        <w:keepNext/>
        <w:keepLines/>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lastRenderedPageBreak/>
        <w:t>Tabelle</w:t>
      </w:r>
      <w:r w:rsidR="00015396">
        <w:rPr>
          <w:rFonts w:ascii="Times New Roman" w:hAnsi="Times New Roman" w:cs="Times New Roman"/>
          <w:b/>
          <w:lang w:val="de-DE"/>
        </w:rPr>
        <w:t> </w:t>
      </w:r>
      <w:r w:rsidR="003653AE">
        <w:rPr>
          <w:rFonts w:ascii="Times New Roman" w:hAnsi="Times New Roman" w:cs="Times New Roman"/>
          <w:b/>
          <w:lang w:val="de-DE"/>
        </w:rPr>
        <w:t>26</w:t>
      </w:r>
      <w:r w:rsidR="008574AB" w:rsidRPr="009737B5">
        <w:rPr>
          <w:rFonts w:ascii="Times New Roman" w:hAnsi="Times New Roman" w:cs="Times New Roman"/>
          <w:b/>
          <w:lang w:val="de-DE"/>
        </w:rPr>
        <w:t>.</w:t>
      </w:r>
      <w:r w:rsidRPr="009737B5">
        <w:rPr>
          <w:rFonts w:ascii="Times New Roman" w:hAnsi="Times New Roman" w:cs="Times New Roman"/>
          <w:b/>
          <w:lang w:val="de-DE"/>
        </w:rPr>
        <w:t xml:space="preserve"> Ergebnisse zum Gesamtüberleben aus der Studie</w:t>
      </w:r>
      <w:r w:rsidR="00A23012">
        <w:rPr>
          <w:rFonts w:ascii="Times New Roman" w:hAnsi="Times New Roman" w:cs="Times New Roman"/>
          <w:b/>
          <w:lang w:val="de-DE"/>
        </w:rPr>
        <w:t> </w:t>
      </w:r>
      <w:r w:rsidRPr="009737B5">
        <w:rPr>
          <w:rFonts w:ascii="Times New Roman" w:hAnsi="Times New Roman" w:cs="Times New Roman"/>
          <w:b/>
          <w:lang w:val="de-DE"/>
        </w:rPr>
        <w:t>GOG-0240 nach Studienbehandlung</w:t>
      </w:r>
    </w:p>
    <w:p w14:paraId="40E8AC9A" w14:textId="77777777" w:rsidR="00010E8C" w:rsidRPr="009737B5" w:rsidRDefault="00010E8C" w:rsidP="00BD272D">
      <w:pPr>
        <w:keepNext/>
        <w:keepLines/>
        <w:suppressAutoHyphens/>
        <w:spacing w:after="0" w:line="240" w:lineRule="auto"/>
        <w:rPr>
          <w:rFonts w:ascii="Times New Roman" w:hAnsi="Times New Roman" w:cs="Times New Roman"/>
          <w:lang w:val="de-D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0" w:type="dxa"/>
          <w:bottom w:w="55" w:type="dxa"/>
          <w:right w:w="10" w:type="dxa"/>
        </w:tblCellMar>
        <w:tblLook w:val="04A0" w:firstRow="1" w:lastRow="0" w:firstColumn="1" w:lastColumn="0" w:noHBand="0" w:noVBand="1"/>
      </w:tblPr>
      <w:tblGrid>
        <w:gridCol w:w="1949"/>
        <w:gridCol w:w="1949"/>
        <w:gridCol w:w="2649"/>
        <w:gridCol w:w="2667"/>
      </w:tblGrid>
      <w:tr w:rsidR="003631CA" w:rsidRPr="00AA0497" w14:paraId="1368EEC9" w14:textId="77777777" w:rsidTr="00492B21">
        <w:trPr>
          <w:trHeight w:val="20"/>
          <w:tblHeader/>
        </w:trPr>
        <w:tc>
          <w:tcPr>
            <w:tcW w:w="1949" w:type="dxa"/>
          </w:tcPr>
          <w:p w14:paraId="39325B40" w14:textId="77777777" w:rsidR="003631CA" w:rsidRPr="00402720" w:rsidRDefault="003631CA" w:rsidP="00BD272D">
            <w:pPr>
              <w:keepNext/>
              <w:keepLines/>
              <w:spacing w:after="0" w:line="240" w:lineRule="auto"/>
              <w:ind w:left="57"/>
              <w:rPr>
                <w:rFonts w:ascii="Times New Roman" w:hAnsi="Times New Roman" w:cs="Times New Roman"/>
                <w:b/>
                <w:szCs w:val="20"/>
                <w:lang w:val="de-DE"/>
              </w:rPr>
            </w:pPr>
            <w:r w:rsidRPr="00402720">
              <w:rPr>
                <w:rFonts w:ascii="Times New Roman" w:hAnsi="Times New Roman" w:cs="Times New Roman"/>
                <w:b/>
                <w:szCs w:val="20"/>
                <w:lang w:val="de-DE"/>
              </w:rPr>
              <w:t>Behandlungs</w:t>
            </w:r>
            <w:r w:rsidR="008B5693" w:rsidRPr="00402720">
              <w:rPr>
                <w:rFonts w:ascii="Times New Roman" w:hAnsi="Times New Roman" w:cs="Times New Roman"/>
                <w:b/>
                <w:szCs w:val="20"/>
                <w:lang w:val="de-DE"/>
              </w:rPr>
              <w:t>-</w:t>
            </w:r>
            <w:r w:rsidR="003D4E87" w:rsidRPr="00402720">
              <w:rPr>
                <w:rFonts w:ascii="Times New Roman" w:hAnsi="Times New Roman" w:cs="Times New Roman"/>
                <w:b/>
                <w:szCs w:val="20"/>
                <w:lang w:val="de-DE"/>
              </w:rPr>
              <w:t xml:space="preserve"> </w:t>
            </w:r>
            <w:r w:rsidRPr="00402720">
              <w:rPr>
                <w:rFonts w:ascii="Times New Roman" w:hAnsi="Times New Roman" w:cs="Times New Roman"/>
                <w:b/>
                <w:szCs w:val="20"/>
                <w:lang w:val="de-DE"/>
              </w:rPr>
              <w:t>vergleich</w:t>
            </w:r>
          </w:p>
        </w:tc>
        <w:tc>
          <w:tcPr>
            <w:tcW w:w="1949" w:type="dxa"/>
          </w:tcPr>
          <w:p w14:paraId="5BE36EC7" w14:textId="77777777" w:rsidR="003631CA" w:rsidRPr="00402720" w:rsidRDefault="003631CA" w:rsidP="00BD272D">
            <w:pPr>
              <w:keepNext/>
              <w:keepLines/>
              <w:spacing w:after="0" w:line="240" w:lineRule="auto"/>
              <w:ind w:left="57"/>
              <w:jc w:val="center"/>
              <w:rPr>
                <w:rFonts w:ascii="Times New Roman" w:hAnsi="Times New Roman" w:cs="Times New Roman"/>
                <w:b/>
                <w:szCs w:val="20"/>
                <w:lang w:val="de-DE"/>
              </w:rPr>
            </w:pPr>
            <w:r w:rsidRPr="00402720">
              <w:rPr>
                <w:rFonts w:ascii="Times New Roman" w:hAnsi="Times New Roman" w:cs="Times New Roman"/>
                <w:b/>
                <w:szCs w:val="20"/>
                <w:lang w:val="de-DE"/>
              </w:rPr>
              <w:t>Andere Faktoren</w:t>
            </w:r>
          </w:p>
        </w:tc>
        <w:tc>
          <w:tcPr>
            <w:tcW w:w="2649" w:type="dxa"/>
          </w:tcPr>
          <w:p w14:paraId="3F1DC1E7" w14:textId="77777777" w:rsidR="003D4E87" w:rsidRPr="00402720" w:rsidRDefault="003D4E87" w:rsidP="00BD272D">
            <w:pPr>
              <w:keepNext/>
              <w:keepLines/>
              <w:spacing w:after="0" w:line="240" w:lineRule="auto"/>
              <w:jc w:val="center"/>
              <w:rPr>
                <w:rFonts w:ascii="Times New Roman" w:hAnsi="Times New Roman" w:cs="Times New Roman"/>
                <w:b/>
                <w:szCs w:val="20"/>
                <w:lang w:val="de-DE"/>
              </w:rPr>
            </w:pPr>
            <w:r w:rsidRPr="00402720">
              <w:rPr>
                <w:rFonts w:ascii="Times New Roman" w:hAnsi="Times New Roman" w:cs="Times New Roman"/>
                <w:b/>
                <w:szCs w:val="20"/>
                <w:lang w:val="de-DE"/>
              </w:rPr>
              <w:t>Gesamtüberleben -</w:t>
            </w:r>
            <w:r w:rsidR="003631CA" w:rsidRPr="00402720">
              <w:rPr>
                <w:rFonts w:ascii="Times New Roman" w:hAnsi="Times New Roman" w:cs="Times New Roman"/>
                <w:b/>
                <w:szCs w:val="20"/>
                <w:lang w:val="de-DE"/>
              </w:rPr>
              <w:t xml:space="preserve"> Primäranalyse</w:t>
            </w:r>
            <w:r w:rsidR="003631CA" w:rsidRPr="00402720">
              <w:rPr>
                <w:rFonts w:ascii="Times New Roman" w:hAnsi="Times New Roman" w:cs="Times New Roman"/>
                <w:b/>
                <w:szCs w:val="20"/>
                <w:vertAlign w:val="superscript"/>
                <w:lang w:val="de-DE"/>
              </w:rPr>
              <w:t>1</w:t>
            </w:r>
          </w:p>
          <w:p w14:paraId="73A48D30" w14:textId="7D9FD698" w:rsidR="003631CA" w:rsidRPr="00402720" w:rsidRDefault="003631CA" w:rsidP="00BD272D">
            <w:pPr>
              <w:keepNext/>
              <w:keepLines/>
              <w:spacing w:after="0" w:line="240" w:lineRule="auto"/>
              <w:jc w:val="center"/>
              <w:rPr>
                <w:rFonts w:ascii="Times New Roman" w:hAnsi="Times New Roman" w:cs="Times New Roman"/>
                <w:b/>
                <w:szCs w:val="20"/>
                <w:lang w:val="de-DE"/>
              </w:rPr>
            </w:pPr>
            <w:r w:rsidRPr="00402720">
              <w:rPr>
                <w:rFonts w:ascii="Times New Roman" w:hAnsi="Times New Roman" w:cs="Times New Roman"/>
                <w:b/>
                <w:szCs w:val="20"/>
                <w:lang w:val="de-DE"/>
              </w:rPr>
              <w:t>Hazard Ratio (95</w:t>
            </w:r>
            <w:r w:rsidR="00A23012">
              <w:rPr>
                <w:rFonts w:ascii="Times New Roman" w:hAnsi="Times New Roman" w:cs="Times New Roman"/>
                <w:b/>
                <w:szCs w:val="20"/>
                <w:lang w:val="de-DE"/>
              </w:rPr>
              <w:t> </w:t>
            </w:r>
            <w:r w:rsidR="00322E40" w:rsidRPr="00402720">
              <w:rPr>
                <w:rFonts w:ascii="Times New Roman" w:hAnsi="Times New Roman" w:cs="Times New Roman"/>
                <w:b/>
                <w:szCs w:val="20"/>
                <w:lang w:val="de-DE"/>
              </w:rPr>
              <w:t>%</w:t>
            </w:r>
            <w:r w:rsidR="00A23012">
              <w:rPr>
                <w:rFonts w:ascii="Times New Roman" w:hAnsi="Times New Roman" w:cs="Times New Roman"/>
                <w:b/>
                <w:szCs w:val="20"/>
                <w:lang w:val="de-DE"/>
              </w:rPr>
              <w:t> </w:t>
            </w:r>
            <w:r w:rsidRPr="00402720">
              <w:rPr>
                <w:rFonts w:ascii="Times New Roman" w:hAnsi="Times New Roman" w:cs="Times New Roman"/>
                <w:b/>
                <w:szCs w:val="20"/>
                <w:lang w:val="de-DE"/>
              </w:rPr>
              <w:t>KI)</w:t>
            </w:r>
          </w:p>
        </w:tc>
        <w:tc>
          <w:tcPr>
            <w:tcW w:w="2667" w:type="dxa"/>
          </w:tcPr>
          <w:p w14:paraId="0AC95537" w14:textId="77777777" w:rsidR="00E92173" w:rsidRPr="00402720" w:rsidRDefault="003631CA" w:rsidP="00BD272D">
            <w:pPr>
              <w:keepNext/>
              <w:keepLines/>
              <w:spacing w:after="0" w:line="240" w:lineRule="auto"/>
              <w:jc w:val="center"/>
              <w:rPr>
                <w:rFonts w:ascii="Times New Roman" w:hAnsi="Times New Roman" w:cs="Times New Roman"/>
                <w:b/>
                <w:szCs w:val="20"/>
                <w:lang w:val="de-DE"/>
              </w:rPr>
            </w:pPr>
            <w:r w:rsidRPr="00402720">
              <w:rPr>
                <w:rFonts w:ascii="Times New Roman" w:hAnsi="Times New Roman" w:cs="Times New Roman"/>
                <w:b/>
                <w:szCs w:val="20"/>
                <w:lang w:val="de-DE"/>
              </w:rPr>
              <w:t>Gesamtüberleben - Nachfolgeanalyse</w:t>
            </w:r>
            <w:r w:rsidRPr="00402720">
              <w:rPr>
                <w:rFonts w:ascii="Times New Roman" w:hAnsi="Times New Roman" w:cs="Times New Roman"/>
                <w:b/>
                <w:szCs w:val="20"/>
                <w:vertAlign w:val="superscript"/>
                <w:lang w:val="de-DE"/>
              </w:rPr>
              <w:t>2</w:t>
            </w:r>
          </w:p>
          <w:p w14:paraId="68D6CC4F" w14:textId="142631C8" w:rsidR="003631CA" w:rsidRPr="00402720" w:rsidRDefault="003631CA" w:rsidP="00BD272D">
            <w:pPr>
              <w:keepNext/>
              <w:keepLines/>
              <w:spacing w:after="0" w:line="240" w:lineRule="auto"/>
              <w:jc w:val="center"/>
              <w:rPr>
                <w:rFonts w:ascii="Times New Roman" w:hAnsi="Times New Roman" w:cs="Times New Roman"/>
                <w:b/>
                <w:szCs w:val="20"/>
                <w:lang w:val="de-DE"/>
              </w:rPr>
            </w:pPr>
            <w:r w:rsidRPr="00402720">
              <w:rPr>
                <w:rFonts w:ascii="Times New Roman" w:hAnsi="Times New Roman" w:cs="Times New Roman"/>
                <w:b/>
                <w:szCs w:val="20"/>
                <w:lang w:val="de-DE"/>
              </w:rPr>
              <w:t>Hazard Ratio (95</w:t>
            </w:r>
            <w:r w:rsidR="00A23012">
              <w:rPr>
                <w:rFonts w:ascii="Times New Roman" w:hAnsi="Times New Roman" w:cs="Times New Roman"/>
                <w:b/>
                <w:szCs w:val="20"/>
                <w:lang w:val="de-DE"/>
              </w:rPr>
              <w:t> </w:t>
            </w:r>
            <w:r w:rsidR="00322E40" w:rsidRPr="00402720">
              <w:rPr>
                <w:rFonts w:ascii="Times New Roman" w:hAnsi="Times New Roman" w:cs="Times New Roman"/>
                <w:b/>
                <w:szCs w:val="20"/>
                <w:lang w:val="de-DE"/>
              </w:rPr>
              <w:t>%</w:t>
            </w:r>
            <w:r w:rsidR="00A23012">
              <w:rPr>
                <w:rFonts w:ascii="Times New Roman" w:hAnsi="Times New Roman" w:cs="Times New Roman"/>
                <w:b/>
                <w:szCs w:val="20"/>
                <w:lang w:val="de-DE"/>
              </w:rPr>
              <w:t> </w:t>
            </w:r>
            <w:r w:rsidRPr="00402720">
              <w:rPr>
                <w:rFonts w:ascii="Times New Roman" w:hAnsi="Times New Roman" w:cs="Times New Roman"/>
                <w:b/>
                <w:szCs w:val="20"/>
                <w:lang w:val="de-DE"/>
              </w:rPr>
              <w:t>KI)</w:t>
            </w:r>
          </w:p>
        </w:tc>
      </w:tr>
      <w:tr w:rsidR="00492B21" w:rsidRPr="00402720" w14:paraId="03826B4B" w14:textId="77777777" w:rsidTr="00492B21">
        <w:trPr>
          <w:trHeight w:val="20"/>
        </w:trPr>
        <w:tc>
          <w:tcPr>
            <w:tcW w:w="1949" w:type="dxa"/>
            <w:vMerge w:val="restart"/>
          </w:tcPr>
          <w:p w14:paraId="3B9D40B4" w14:textId="77777777" w:rsidR="00492B21" w:rsidRPr="00402720" w:rsidRDefault="00492B21" w:rsidP="00BD272D">
            <w:pPr>
              <w:keepNext/>
              <w:keepLines/>
              <w:spacing w:after="0" w:line="240" w:lineRule="auto"/>
              <w:ind w:left="57"/>
              <w:rPr>
                <w:rFonts w:ascii="Times New Roman" w:hAnsi="Times New Roman" w:cs="Times New Roman"/>
                <w:szCs w:val="20"/>
                <w:lang w:val="de-DE"/>
              </w:rPr>
            </w:pPr>
            <w:r w:rsidRPr="00402720">
              <w:rPr>
                <w:rFonts w:ascii="Times New Roman" w:hAnsi="Times New Roman" w:cs="Times New Roman"/>
                <w:szCs w:val="20"/>
                <w:lang w:val="de-DE"/>
              </w:rPr>
              <w:t xml:space="preserve">Bevacizumab </w:t>
            </w:r>
            <w:r w:rsidRPr="00402720">
              <w:rPr>
                <w:rFonts w:ascii="Times New Roman" w:hAnsi="Times New Roman" w:cs="Times New Roman"/>
                <w:i/>
                <w:szCs w:val="20"/>
                <w:lang w:val="de-DE"/>
              </w:rPr>
              <w:t>vs.</w:t>
            </w:r>
            <w:r w:rsidRPr="00402720">
              <w:rPr>
                <w:rFonts w:ascii="Times New Roman" w:hAnsi="Times New Roman" w:cs="Times New Roman"/>
                <w:szCs w:val="20"/>
                <w:lang w:val="de-DE"/>
              </w:rPr>
              <w:t xml:space="preserve"> kein Bevacizumab</w:t>
            </w:r>
          </w:p>
        </w:tc>
        <w:tc>
          <w:tcPr>
            <w:tcW w:w="1949" w:type="dxa"/>
          </w:tcPr>
          <w:p w14:paraId="3E8F48FE" w14:textId="76297866" w:rsidR="00492B21" w:rsidRPr="00402720" w:rsidRDefault="00892291" w:rsidP="00BD272D">
            <w:pPr>
              <w:keepNext/>
              <w:keepLines/>
              <w:spacing w:after="0" w:line="240" w:lineRule="auto"/>
              <w:ind w:left="57"/>
              <w:rPr>
                <w:rFonts w:ascii="Times New Roman" w:hAnsi="Times New Roman" w:cs="Times New Roman"/>
                <w:szCs w:val="20"/>
                <w:lang w:val="de-DE"/>
              </w:rPr>
            </w:pPr>
            <w:r w:rsidRPr="00402720">
              <w:rPr>
                <w:rFonts w:ascii="Times New Roman" w:hAnsi="Times New Roman" w:cs="Times New Roman"/>
                <w:szCs w:val="20"/>
                <w:lang w:val="de-DE"/>
              </w:rPr>
              <w:t>Cisplatin + Paclitaxel</w:t>
            </w:r>
          </w:p>
        </w:tc>
        <w:tc>
          <w:tcPr>
            <w:tcW w:w="2649" w:type="dxa"/>
          </w:tcPr>
          <w:p w14:paraId="19F01902" w14:textId="77777777"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0,72 (0,51; 1,02)</w:t>
            </w:r>
          </w:p>
          <w:p w14:paraId="26A33C96" w14:textId="185074A4"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 xml:space="preserve">(17,5 </w:t>
            </w:r>
            <w:r w:rsidRPr="00402720">
              <w:rPr>
                <w:rFonts w:ascii="Times New Roman" w:hAnsi="Times New Roman" w:cs="Times New Roman"/>
                <w:i/>
                <w:szCs w:val="20"/>
                <w:lang w:val="de-DE"/>
              </w:rPr>
              <w:t>vs.</w:t>
            </w:r>
            <w:r w:rsidRPr="00402720">
              <w:rPr>
                <w:rFonts w:ascii="Times New Roman" w:hAnsi="Times New Roman" w:cs="Times New Roman"/>
                <w:szCs w:val="20"/>
                <w:lang w:val="de-DE"/>
              </w:rPr>
              <w:t xml:space="preserve"> 14,3</w:t>
            </w:r>
            <w:r w:rsidR="00A23012">
              <w:rPr>
                <w:rFonts w:ascii="Times New Roman" w:hAnsi="Times New Roman" w:cs="Times New Roman"/>
                <w:szCs w:val="20"/>
                <w:lang w:val="de-DE"/>
              </w:rPr>
              <w:t> </w:t>
            </w:r>
            <w:r w:rsidRPr="00402720">
              <w:rPr>
                <w:rFonts w:ascii="Times New Roman" w:hAnsi="Times New Roman" w:cs="Times New Roman"/>
                <w:szCs w:val="20"/>
                <w:lang w:val="de-DE"/>
              </w:rPr>
              <w:t>Monate; p</w:t>
            </w:r>
            <w:r w:rsidR="0094399B" w:rsidRPr="00402720">
              <w:rPr>
                <w:rFonts w:ascii="Times New Roman" w:hAnsi="Times New Roman" w:cs="Times New Roman"/>
                <w:szCs w:val="20"/>
                <w:lang w:val="de-DE"/>
              </w:rPr>
              <w:t> </w:t>
            </w:r>
            <w:r w:rsidRPr="009737B5">
              <w:rPr>
                <w:rFonts w:ascii="Times New Roman" w:eastAsia="Segoe UI Symbol" w:hAnsi="Times New Roman" w:cs="Times New Roman"/>
                <w:szCs w:val="20"/>
                <w:lang w:val="de-DE"/>
              </w:rPr>
              <w:t>=</w:t>
            </w:r>
            <w:r w:rsidR="0094399B" w:rsidRPr="00402720">
              <w:rPr>
                <w:rFonts w:ascii="Times New Roman" w:hAnsi="Times New Roman" w:cs="Times New Roman"/>
                <w:szCs w:val="20"/>
                <w:lang w:val="de-DE"/>
              </w:rPr>
              <w:t> </w:t>
            </w:r>
            <w:r w:rsidR="00BA20FA" w:rsidRPr="00402720">
              <w:rPr>
                <w:rFonts w:ascii="Times New Roman" w:hAnsi="Times New Roman" w:cs="Times New Roman"/>
                <w:szCs w:val="20"/>
                <w:lang w:val="de-DE"/>
              </w:rPr>
              <w:t>0,0609)</w:t>
            </w:r>
          </w:p>
        </w:tc>
        <w:tc>
          <w:tcPr>
            <w:tcW w:w="2667" w:type="dxa"/>
          </w:tcPr>
          <w:p w14:paraId="5F5810D2" w14:textId="77777777"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0,75 (0,55; 1,01)</w:t>
            </w:r>
          </w:p>
          <w:p w14:paraId="508A2952" w14:textId="619766C8"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 xml:space="preserve">(17,5 </w:t>
            </w:r>
            <w:r w:rsidRPr="00402720">
              <w:rPr>
                <w:rFonts w:ascii="Times New Roman" w:hAnsi="Times New Roman" w:cs="Times New Roman"/>
                <w:i/>
                <w:szCs w:val="20"/>
                <w:lang w:val="de-DE"/>
              </w:rPr>
              <w:t>vs.</w:t>
            </w:r>
            <w:r w:rsidRPr="00402720">
              <w:rPr>
                <w:rFonts w:ascii="Times New Roman" w:hAnsi="Times New Roman" w:cs="Times New Roman"/>
                <w:szCs w:val="20"/>
                <w:lang w:val="de-DE"/>
              </w:rPr>
              <w:t>15,0</w:t>
            </w:r>
            <w:r w:rsidR="00A23012">
              <w:rPr>
                <w:rFonts w:ascii="Times New Roman" w:hAnsi="Times New Roman" w:cs="Times New Roman"/>
                <w:szCs w:val="20"/>
                <w:lang w:val="de-DE"/>
              </w:rPr>
              <w:t> </w:t>
            </w:r>
            <w:r w:rsidRPr="00402720">
              <w:rPr>
                <w:rFonts w:ascii="Times New Roman" w:hAnsi="Times New Roman" w:cs="Times New Roman"/>
                <w:szCs w:val="20"/>
                <w:lang w:val="de-DE"/>
              </w:rPr>
              <w:t xml:space="preserve">Monate; </w:t>
            </w:r>
            <w:r w:rsidR="0094399B" w:rsidRPr="00402720">
              <w:rPr>
                <w:rFonts w:ascii="Times New Roman" w:hAnsi="Times New Roman" w:cs="Times New Roman"/>
                <w:szCs w:val="20"/>
                <w:lang w:val="de-DE"/>
              </w:rPr>
              <w:t>p </w:t>
            </w:r>
            <w:r w:rsidRPr="009737B5">
              <w:rPr>
                <w:rFonts w:ascii="Times New Roman" w:eastAsia="Segoe UI Symbol" w:hAnsi="Times New Roman" w:cs="Times New Roman"/>
                <w:szCs w:val="20"/>
                <w:lang w:val="de-DE"/>
              </w:rPr>
              <w:t>=</w:t>
            </w:r>
            <w:r w:rsidR="0094399B" w:rsidRPr="00402720">
              <w:rPr>
                <w:rFonts w:ascii="Times New Roman" w:hAnsi="Times New Roman" w:cs="Times New Roman"/>
                <w:szCs w:val="20"/>
                <w:lang w:val="de-DE"/>
              </w:rPr>
              <w:t> </w:t>
            </w:r>
            <w:r w:rsidRPr="00402720">
              <w:rPr>
                <w:rFonts w:ascii="Times New Roman" w:hAnsi="Times New Roman" w:cs="Times New Roman"/>
                <w:szCs w:val="20"/>
                <w:lang w:val="de-DE"/>
              </w:rPr>
              <w:t>0,0584)</w:t>
            </w:r>
          </w:p>
          <w:p w14:paraId="5F60113E" w14:textId="77777777" w:rsidR="00492B21" w:rsidRPr="00402720" w:rsidRDefault="00492B21" w:rsidP="00BD272D">
            <w:pPr>
              <w:keepNext/>
              <w:keepLines/>
              <w:spacing w:after="0" w:line="240" w:lineRule="auto"/>
              <w:jc w:val="center"/>
              <w:rPr>
                <w:rFonts w:ascii="Times New Roman" w:hAnsi="Times New Roman" w:cs="Times New Roman"/>
                <w:b/>
                <w:szCs w:val="20"/>
                <w:lang w:val="de-DE"/>
              </w:rPr>
            </w:pPr>
          </w:p>
        </w:tc>
      </w:tr>
      <w:tr w:rsidR="00492B21" w:rsidRPr="00402720" w14:paraId="616C446D" w14:textId="77777777" w:rsidTr="00492B21">
        <w:trPr>
          <w:trHeight w:val="20"/>
        </w:trPr>
        <w:tc>
          <w:tcPr>
            <w:tcW w:w="1949" w:type="dxa"/>
            <w:vMerge/>
          </w:tcPr>
          <w:p w14:paraId="3D5AC1B6" w14:textId="77777777" w:rsidR="00492B21" w:rsidRPr="00402720" w:rsidDel="00863E83" w:rsidRDefault="00492B21" w:rsidP="00BD272D">
            <w:pPr>
              <w:keepNext/>
              <w:keepLines/>
              <w:spacing w:after="0" w:line="240" w:lineRule="auto"/>
              <w:ind w:left="57"/>
              <w:rPr>
                <w:rFonts w:ascii="Times New Roman" w:hAnsi="Times New Roman" w:cs="Times New Roman"/>
                <w:szCs w:val="20"/>
                <w:lang w:val="de-DE"/>
              </w:rPr>
            </w:pPr>
          </w:p>
        </w:tc>
        <w:tc>
          <w:tcPr>
            <w:tcW w:w="1949" w:type="dxa"/>
          </w:tcPr>
          <w:p w14:paraId="5DC63610" w14:textId="77777777" w:rsidR="00492B21" w:rsidRPr="00402720" w:rsidRDefault="00492B21" w:rsidP="00BD272D">
            <w:pPr>
              <w:keepNext/>
              <w:keepLines/>
              <w:spacing w:after="0" w:line="240" w:lineRule="auto"/>
              <w:ind w:left="57"/>
              <w:rPr>
                <w:rFonts w:ascii="Times New Roman" w:hAnsi="Times New Roman" w:cs="Times New Roman"/>
                <w:szCs w:val="20"/>
                <w:lang w:val="de-DE"/>
              </w:rPr>
            </w:pPr>
            <w:r w:rsidRPr="00402720">
              <w:rPr>
                <w:rFonts w:ascii="Times New Roman" w:hAnsi="Times New Roman" w:cs="Times New Roman"/>
                <w:szCs w:val="20"/>
                <w:lang w:val="de-DE"/>
              </w:rPr>
              <w:t>Topotecan + Paclitaxel</w:t>
            </w:r>
          </w:p>
        </w:tc>
        <w:tc>
          <w:tcPr>
            <w:tcW w:w="2649" w:type="dxa"/>
          </w:tcPr>
          <w:p w14:paraId="1814E094" w14:textId="77777777"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0,76 (0,55; 1,06)</w:t>
            </w:r>
          </w:p>
          <w:p w14:paraId="73F83C4B" w14:textId="084EF122"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 xml:space="preserve">(14,9 </w:t>
            </w:r>
            <w:r w:rsidRPr="00402720">
              <w:rPr>
                <w:rFonts w:ascii="Times New Roman" w:hAnsi="Times New Roman" w:cs="Times New Roman"/>
                <w:i/>
                <w:szCs w:val="20"/>
                <w:lang w:val="de-DE"/>
              </w:rPr>
              <w:t>vs.</w:t>
            </w:r>
            <w:r w:rsidRPr="00402720">
              <w:rPr>
                <w:rFonts w:ascii="Times New Roman" w:hAnsi="Times New Roman" w:cs="Times New Roman"/>
                <w:szCs w:val="20"/>
                <w:lang w:val="de-DE"/>
              </w:rPr>
              <w:t xml:space="preserve"> 11,9</w:t>
            </w:r>
            <w:r w:rsidR="00A23012">
              <w:rPr>
                <w:rFonts w:ascii="Times New Roman" w:hAnsi="Times New Roman" w:cs="Times New Roman"/>
                <w:szCs w:val="20"/>
                <w:lang w:val="de-DE"/>
              </w:rPr>
              <w:t> </w:t>
            </w:r>
            <w:r w:rsidRPr="00402720">
              <w:rPr>
                <w:rFonts w:ascii="Times New Roman" w:hAnsi="Times New Roman" w:cs="Times New Roman"/>
                <w:szCs w:val="20"/>
                <w:lang w:val="de-DE"/>
              </w:rPr>
              <w:t>Monate; p</w:t>
            </w:r>
            <w:r w:rsidR="0094399B" w:rsidRPr="00402720">
              <w:rPr>
                <w:rFonts w:ascii="Times New Roman" w:hAnsi="Times New Roman" w:cs="Times New Roman"/>
                <w:szCs w:val="20"/>
                <w:lang w:val="de-DE"/>
              </w:rPr>
              <w:t> </w:t>
            </w:r>
            <w:r w:rsidRPr="009737B5">
              <w:rPr>
                <w:rFonts w:ascii="Times New Roman" w:eastAsia="Segoe UI Symbol" w:hAnsi="Times New Roman" w:cs="Times New Roman"/>
                <w:szCs w:val="20"/>
                <w:lang w:val="de-DE"/>
              </w:rPr>
              <w:t>=</w:t>
            </w:r>
            <w:r w:rsidR="0094399B" w:rsidRPr="00402720">
              <w:rPr>
                <w:rFonts w:ascii="Times New Roman" w:hAnsi="Times New Roman" w:cs="Times New Roman"/>
                <w:szCs w:val="20"/>
                <w:lang w:val="de-DE"/>
              </w:rPr>
              <w:t> </w:t>
            </w:r>
            <w:r w:rsidRPr="00402720">
              <w:rPr>
                <w:rFonts w:ascii="Times New Roman" w:hAnsi="Times New Roman" w:cs="Times New Roman"/>
                <w:szCs w:val="20"/>
                <w:lang w:val="de-DE"/>
              </w:rPr>
              <w:t>0,1061)</w:t>
            </w:r>
          </w:p>
        </w:tc>
        <w:tc>
          <w:tcPr>
            <w:tcW w:w="2667" w:type="dxa"/>
          </w:tcPr>
          <w:p w14:paraId="152E01BC" w14:textId="77777777"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0,79 (0,59; 1,07)</w:t>
            </w:r>
          </w:p>
          <w:p w14:paraId="21053FC6" w14:textId="57855D19"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 xml:space="preserve">(16,2 </w:t>
            </w:r>
            <w:r w:rsidRPr="00402720">
              <w:rPr>
                <w:rFonts w:ascii="Times New Roman" w:hAnsi="Times New Roman" w:cs="Times New Roman"/>
                <w:i/>
                <w:szCs w:val="20"/>
                <w:lang w:val="de-DE"/>
              </w:rPr>
              <w:t>vs.</w:t>
            </w:r>
            <w:r w:rsidRPr="00402720">
              <w:rPr>
                <w:rFonts w:ascii="Times New Roman" w:hAnsi="Times New Roman" w:cs="Times New Roman"/>
                <w:szCs w:val="20"/>
                <w:lang w:val="de-DE"/>
              </w:rPr>
              <w:t xml:space="preserve"> 12,0</w:t>
            </w:r>
            <w:r w:rsidR="00A23012">
              <w:rPr>
                <w:rFonts w:ascii="Times New Roman" w:hAnsi="Times New Roman" w:cs="Times New Roman"/>
                <w:szCs w:val="20"/>
                <w:lang w:val="de-DE"/>
              </w:rPr>
              <w:t> </w:t>
            </w:r>
            <w:r w:rsidRPr="00402720">
              <w:rPr>
                <w:rFonts w:ascii="Times New Roman" w:hAnsi="Times New Roman" w:cs="Times New Roman"/>
                <w:szCs w:val="20"/>
                <w:lang w:val="de-DE"/>
              </w:rPr>
              <w:t>Monate; p</w:t>
            </w:r>
            <w:r w:rsidR="0094399B" w:rsidRPr="00402720">
              <w:rPr>
                <w:rFonts w:ascii="Times New Roman" w:hAnsi="Times New Roman" w:cs="Times New Roman"/>
                <w:szCs w:val="20"/>
                <w:lang w:val="de-DE"/>
              </w:rPr>
              <w:t> </w:t>
            </w:r>
            <w:r w:rsidRPr="009737B5">
              <w:rPr>
                <w:rFonts w:ascii="Times New Roman" w:eastAsia="Segoe UI Symbol" w:hAnsi="Times New Roman" w:cs="Times New Roman"/>
                <w:szCs w:val="20"/>
                <w:lang w:val="de-DE"/>
              </w:rPr>
              <w:t>=</w:t>
            </w:r>
            <w:r w:rsidR="0094399B" w:rsidRPr="00402720">
              <w:rPr>
                <w:rFonts w:ascii="Times New Roman" w:hAnsi="Times New Roman" w:cs="Times New Roman"/>
                <w:szCs w:val="20"/>
                <w:lang w:val="de-DE"/>
              </w:rPr>
              <w:t> </w:t>
            </w:r>
            <w:r w:rsidRPr="00402720">
              <w:rPr>
                <w:rFonts w:ascii="Times New Roman" w:hAnsi="Times New Roman" w:cs="Times New Roman"/>
                <w:szCs w:val="20"/>
                <w:lang w:val="de-DE"/>
              </w:rPr>
              <w:t>0,1342)</w:t>
            </w:r>
          </w:p>
        </w:tc>
      </w:tr>
      <w:tr w:rsidR="00492B21" w:rsidRPr="00402720" w14:paraId="0BA5A4E0" w14:textId="77777777" w:rsidTr="000B6CC4">
        <w:trPr>
          <w:trHeight w:val="869"/>
        </w:trPr>
        <w:tc>
          <w:tcPr>
            <w:tcW w:w="1949" w:type="dxa"/>
            <w:vMerge w:val="restart"/>
          </w:tcPr>
          <w:p w14:paraId="1189FDF7" w14:textId="77777777" w:rsidR="00492B21" w:rsidRPr="00402720" w:rsidRDefault="00492B21" w:rsidP="00BD272D">
            <w:pPr>
              <w:keepNext/>
              <w:keepLines/>
              <w:spacing w:after="0" w:line="240" w:lineRule="auto"/>
              <w:ind w:left="57"/>
              <w:rPr>
                <w:rFonts w:ascii="Times New Roman" w:hAnsi="Times New Roman" w:cs="Times New Roman"/>
                <w:szCs w:val="20"/>
                <w:lang w:val="es-ES"/>
              </w:rPr>
            </w:pPr>
            <w:r w:rsidRPr="00402720">
              <w:rPr>
                <w:rFonts w:ascii="Times New Roman" w:hAnsi="Times New Roman" w:cs="Times New Roman"/>
                <w:szCs w:val="20"/>
                <w:lang w:val="es-ES"/>
              </w:rPr>
              <w:t>Topotecan + Paclitaxel</w:t>
            </w:r>
          </w:p>
          <w:p w14:paraId="75E0A393" w14:textId="77777777" w:rsidR="00492B21" w:rsidRPr="00402720" w:rsidRDefault="00492B21" w:rsidP="00BD272D">
            <w:pPr>
              <w:keepNext/>
              <w:keepLines/>
              <w:spacing w:after="0" w:line="240" w:lineRule="auto"/>
              <w:ind w:left="57"/>
              <w:rPr>
                <w:rFonts w:ascii="Times New Roman" w:hAnsi="Times New Roman" w:cs="Times New Roman"/>
                <w:szCs w:val="20"/>
                <w:lang w:val="es-ES"/>
              </w:rPr>
            </w:pPr>
            <w:r w:rsidRPr="00402720">
              <w:rPr>
                <w:rFonts w:ascii="Times New Roman" w:hAnsi="Times New Roman" w:cs="Times New Roman"/>
                <w:i/>
                <w:szCs w:val="20"/>
                <w:lang w:val="es-ES"/>
              </w:rPr>
              <w:t>vs.</w:t>
            </w:r>
          </w:p>
          <w:p w14:paraId="45F03D1B" w14:textId="77777777" w:rsidR="00492B21" w:rsidRPr="00402720" w:rsidRDefault="00492B21" w:rsidP="00BD272D">
            <w:pPr>
              <w:keepNext/>
              <w:keepLines/>
              <w:spacing w:after="0" w:line="240" w:lineRule="auto"/>
              <w:ind w:left="57"/>
              <w:rPr>
                <w:rFonts w:ascii="Times New Roman" w:hAnsi="Times New Roman" w:cs="Times New Roman"/>
                <w:szCs w:val="20"/>
                <w:lang w:val="es-ES"/>
              </w:rPr>
            </w:pPr>
            <w:r w:rsidRPr="00402720">
              <w:rPr>
                <w:rFonts w:ascii="Times New Roman" w:hAnsi="Times New Roman" w:cs="Times New Roman"/>
                <w:szCs w:val="20"/>
                <w:lang w:val="es-ES"/>
              </w:rPr>
              <w:t xml:space="preserve">Cisplatin + </w:t>
            </w:r>
          </w:p>
          <w:p w14:paraId="2C6514A5" w14:textId="77777777" w:rsidR="00492B21" w:rsidRPr="00402720" w:rsidRDefault="00492B21" w:rsidP="00BD272D">
            <w:pPr>
              <w:keepNext/>
              <w:keepLines/>
              <w:spacing w:after="0" w:line="240" w:lineRule="auto"/>
              <w:ind w:left="57"/>
              <w:rPr>
                <w:rFonts w:ascii="Times New Roman" w:hAnsi="Times New Roman" w:cs="Times New Roman"/>
                <w:szCs w:val="20"/>
                <w:lang w:val="es-ES"/>
              </w:rPr>
            </w:pPr>
            <w:r w:rsidRPr="00402720">
              <w:rPr>
                <w:rFonts w:ascii="Times New Roman" w:hAnsi="Times New Roman" w:cs="Times New Roman"/>
                <w:szCs w:val="20"/>
                <w:lang w:val="es-ES"/>
              </w:rPr>
              <w:t xml:space="preserve">Paclitaxel </w:t>
            </w:r>
          </w:p>
        </w:tc>
        <w:tc>
          <w:tcPr>
            <w:tcW w:w="1949" w:type="dxa"/>
          </w:tcPr>
          <w:p w14:paraId="3CD5BDA2" w14:textId="77777777" w:rsidR="00492B21" w:rsidRPr="00402720" w:rsidRDefault="00492B21" w:rsidP="00BD272D">
            <w:pPr>
              <w:keepNext/>
              <w:keepLines/>
              <w:spacing w:after="0" w:line="240" w:lineRule="auto"/>
              <w:ind w:left="57"/>
              <w:rPr>
                <w:rFonts w:ascii="Times New Roman" w:hAnsi="Times New Roman" w:cs="Times New Roman"/>
                <w:szCs w:val="20"/>
                <w:lang w:val="de-DE"/>
              </w:rPr>
            </w:pPr>
            <w:r w:rsidRPr="00402720">
              <w:rPr>
                <w:rFonts w:ascii="Times New Roman" w:hAnsi="Times New Roman" w:cs="Times New Roman"/>
                <w:szCs w:val="20"/>
                <w:lang w:val="de-DE"/>
              </w:rPr>
              <w:t>Bevacizumab</w:t>
            </w:r>
          </w:p>
          <w:p w14:paraId="6ED8B276" w14:textId="77777777" w:rsidR="00492B21" w:rsidRPr="00402720" w:rsidRDefault="00492B21" w:rsidP="00BD272D">
            <w:pPr>
              <w:keepNext/>
              <w:keepLines/>
              <w:spacing w:after="0" w:line="240" w:lineRule="auto"/>
              <w:rPr>
                <w:rFonts w:ascii="Times New Roman" w:hAnsi="Times New Roman" w:cs="Times New Roman"/>
                <w:szCs w:val="20"/>
                <w:lang w:val="de-DE"/>
              </w:rPr>
            </w:pPr>
          </w:p>
        </w:tc>
        <w:tc>
          <w:tcPr>
            <w:tcW w:w="2649" w:type="dxa"/>
          </w:tcPr>
          <w:p w14:paraId="0A434511" w14:textId="77777777"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1,15 (0,82; 1,61)</w:t>
            </w:r>
          </w:p>
          <w:p w14:paraId="51BD5BBD" w14:textId="32516751"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 xml:space="preserve">(14,9 </w:t>
            </w:r>
            <w:r w:rsidRPr="00402720">
              <w:rPr>
                <w:rFonts w:ascii="Times New Roman" w:hAnsi="Times New Roman" w:cs="Times New Roman"/>
                <w:i/>
                <w:szCs w:val="20"/>
                <w:lang w:val="de-DE"/>
              </w:rPr>
              <w:t>vs.</w:t>
            </w:r>
            <w:r w:rsidRPr="00402720">
              <w:rPr>
                <w:rFonts w:ascii="Times New Roman" w:hAnsi="Times New Roman" w:cs="Times New Roman"/>
                <w:szCs w:val="20"/>
                <w:lang w:val="de-DE"/>
              </w:rPr>
              <w:t xml:space="preserve"> 17,5</w:t>
            </w:r>
            <w:r w:rsidR="00A23012">
              <w:rPr>
                <w:rFonts w:ascii="Times New Roman" w:hAnsi="Times New Roman" w:cs="Times New Roman"/>
                <w:szCs w:val="20"/>
                <w:lang w:val="de-DE"/>
              </w:rPr>
              <w:t> </w:t>
            </w:r>
            <w:r w:rsidRPr="00402720">
              <w:rPr>
                <w:rFonts w:ascii="Times New Roman" w:hAnsi="Times New Roman" w:cs="Times New Roman"/>
                <w:szCs w:val="20"/>
                <w:lang w:val="de-DE"/>
              </w:rPr>
              <w:t>Monate; p</w:t>
            </w:r>
            <w:r w:rsidR="0094399B" w:rsidRPr="00402720">
              <w:rPr>
                <w:rFonts w:ascii="Times New Roman" w:hAnsi="Times New Roman" w:cs="Times New Roman"/>
                <w:szCs w:val="20"/>
                <w:lang w:val="de-DE"/>
              </w:rPr>
              <w:t> </w:t>
            </w:r>
            <w:r w:rsidRPr="00402720">
              <w:rPr>
                <w:rFonts w:ascii="Times New Roman" w:hAnsi="Times New Roman" w:cs="Times New Roman"/>
                <w:szCs w:val="20"/>
                <w:lang w:val="de-DE"/>
              </w:rPr>
              <w:t>=</w:t>
            </w:r>
            <w:r w:rsidR="0094399B" w:rsidRPr="00402720">
              <w:rPr>
                <w:rFonts w:ascii="Times New Roman" w:hAnsi="Times New Roman" w:cs="Times New Roman"/>
                <w:szCs w:val="20"/>
                <w:lang w:val="de-DE"/>
              </w:rPr>
              <w:t> </w:t>
            </w:r>
            <w:r w:rsidRPr="00402720">
              <w:rPr>
                <w:rFonts w:ascii="Times New Roman" w:hAnsi="Times New Roman" w:cs="Times New Roman"/>
                <w:szCs w:val="20"/>
                <w:lang w:val="de-DE"/>
              </w:rPr>
              <w:t>0,4146)</w:t>
            </w:r>
          </w:p>
        </w:tc>
        <w:tc>
          <w:tcPr>
            <w:tcW w:w="2667" w:type="dxa"/>
            <w:shd w:val="clear" w:color="auto" w:fill="FFFFFF"/>
          </w:tcPr>
          <w:p w14:paraId="68755533" w14:textId="77777777"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1,15 (0,85; 1,56)</w:t>
            </w:r>
          </w:p>
          <w:p w14:paraId="785262CF" w14:textId="77F56317"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 xml:space="preserve">(16,2 </w:t>
            </w:r>
            <w:r w:rsidRPr="00402720">
              <w:rPr>
                <w:rFonts w:ascii="Times New Roman" w:hAnsi="Times New Roman" w:cs="Times New Roman"/>
                <w:i/>
                <w:szCs w:val="20"/>
                <w:lang w:val="de-DE"/>
              </w:rPr>
              <w:t xml:space="preserve">vs. </w:t>
            </w:r>
            <w:r w:rsidRPr="00402720">
              <w:rPr>
                <w:rFonts w:ascii="Times New Roman" w:hAnsi="Times New Roman" w:cs="Times New Roman"/>
                <w:szCs w:val="20"/>
                <w:lang w:val="de-DE"/>
              </w:rPr>
              <w:t>17,5</w:t>
            </w:r>
            <w:r w:rsidR="00A23012">
              <w:rPr>
                <w:rFonts w:ascii="Times New Roman" w:hAnsi="Times New Roman" w:cs="Times New Roman"/>
                <w:szCs w:val="20"/>
                <w:lang w:val="de-DE"/>
              </w:rPr>
              <w:t> </w:t>
            </w:r>
            <w:r w:rsidRPr="00402720">
              <w:rPr>
                <w:rFonts w:ascii="Times New Roman" w:hAnsi="Times New Roman" w:cs="Times New Roman"/>
                <w:szCs w:val="20"/>
                <w:lang w:val="de-DE"/>
              </w:rPr>
              <w:t>Monate; p</w:t>
            </w:r>
            <w:r w:rsidR="0094399B" w:rsidRPr="00402720">
              <w:rPr>
                <w:rFonts w:ascii="Times New Roman" w:hAnsi="Times New Roman" w:cs="Times New Roman"/>
                <w:szCs w:val="20"/>
                <w:lang w:val="de-DE"/>
              </w:rPr>
              <w:t> </w:t>
            </w:r>
            <w:r w:rsidRPr="009737B5">
              <w:rPr>
                <w:rFonts w:ascii="Times New Roman" w:eastAsia="Segoe UI Symbol" w:hAnsi="Times New Roman" w:cs="Times New Roman"/>
                <w:szCs w:val="20"/>
                <w:lang w:val="de-DE"/>
              </w:rPr>
              <w:t>=</w:t>
            </w:r>
            <w:r w:rsidR="0094399B" w:rsidRPr="00402720">
              <w:rPr>
                <w:rFonts w:ascii="Times New Roman" w:hAnsi="Times New Roman" w:cs="Times New Roman"/>
                <w:szCs w:val="20"/>
                <w:lang w:val="de-DE"/>
              </w:rPr>
              <w:t> </w:t>
            </w:r>
            <w:r w:rsidRPr="00402720">
              <w:rPr>
                <w:rFonts w:ascii="Times New Roman" w:hAnsi="Times New Roman" w:cs="Times New Roman"/>
                <w:szCs w:val="20"/>
                <w:lang w:val="de-DE"/>
              </w:rPr>
              <w:t>0,3769)</w:t>
            </w:r>
          </w:p>
        </w:tc>
      </w:tr>
      <w:tr w:rsidR="00492B21" w:rsidRPr="00402720" w14:paraId="11F3E7DA" w14:textId="77777777" w:rsidTr="00492B21">
        <w:trPr>
          <w:trHeight w:val="20"/>
        </w:trPr>
        <w:tc>
          <w:tcPr>
            <w:tcW w:w="1949" w:type="dxa"/>
            <w:vMerge/>
          </w:tcPr>
          <w:p w14:paraId="6CB2DAA6" w14:textId="77777777" w:rsidR="00492B21" w:rsidRPr="00402720" w:rsidRDefault="00492B21" w:rsidP="00BD272D">
            <w:pPr>
              <w:keepNext/>
              <w:keepLines/>
              <w:spacing w:after="0" w:line="240" w:lineRule="auto"/>
              <w:ind w:left="57"/>
              <w:rPr>
                <w:rFonts w:ascii="Times New Roman" w:hAnsi="Times New Roman" w:cs="Times New Roman"/>
                <w:szCs w:val="20"/>
                <w:lang w:val="de-DE"/>
              </w:rPr>
            </w:pPr>
          </w:p>
        </w:tc>
        <w:tc>
          <w:tcPr>
            <w:tcW w:w="1949" w:type="dxa"/>
          </w:tcPr>
          <w:p w14:paraId="247AF1C4" w14:textId="77777777" w:rsidR="00492B21" w:rsidRPr="00402720" w:rsidDel="00863E83" w:rsidRDefault="00492B21" w:rsidP="00BD272D">
            <w:pPr>
              <w:keepNext/>
              <w:keepLines/>
              <w:spacing w:after="0" w:line="240" w:lineRule="auto"/>
              <w:ind w:left="57"/>
              <w:rPr>
                <w:rFonts w:ascii="Times New Roman" w:hAnsi="Times New Roman" w:cs="Times New Roman"/>
                <w:szCs w:val="20"/>
                <w:lang w:val="de-DE"/>
              </w:rPr>
            </w:pPr>
            <w:r w:rsidRPr="00402720">
              <w:rPr>
                <w:rFonts w:ascii="Times New Roman" w:hAnsi="Times New Roman" w:cs="Times New Roman"/>
                <w:szCs w:val="20"/>
                <w:lang w:val="de-DE"/>
              </w:rPr>
              <w:t>kein Bevacizumab</w:t>
            </w:r>
          </w:p>
        </w:tc>
        <w:tc>
          <w:tcPr>
            <w:tcW w:w="2649" w:type="dxa"/>
          </w:tcPr>
          <w:p w14:paraId="1B99AF91" w14:textId="77777777"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1,13 (0,81; 1,57)</w:t>
            </w:r>
          </w:p>
          <w:p w14:paraId="71F10C77" w14:textId="1BE7734D"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 xml:space="preserve">(11,9 </w:t>
            </w:r>
            <w:r w:rsidRPr="00402720">
              <w:rPr>
                <w:rFonts w:ascii="Times New Roman" w:hAnsi="Times New Roman" w:cs="Times New Roman"/>
                <w:i/>
                <w:szCs w:val="20"/>
                <w:lang w:val="de-DE"/>
              </w:rPr>
              <w:t>vs.</w:t>
            </w:r>
            <w:r w:rsidRPr="00402720">
              <w:rPr>
                <w:rFonts w:ascii="Times New Roman" w:hAnsi="Times New Roman" w:cs="Times New Roman"/>
                <w:szCs w:val="20"/>
                <w:lang w:val="de-DE"/>
              </w:rPr>
              <w:t xml:space="preserve"> 14,3</w:t>
            </w:r>
            <w:r w:rsidR="00A23012">
              <w:rPr>
                <w:rFonts w:ascii="Times New Roman" w:hAnsi="Times New Roman" w:cs="Times New Roman"/>
                <w:szCs w:val="20"/>
                <w:lang w:val="de-DE"/>
              </w:rPr>
              <w:t> </w:t>
            </w:r>
            <w:r w:rsidRPr="00402720">
              <w:rPr>
                <w:rFonts w:ascii="Times New Roman" w:hAnsi="Times New Roman" w:cs="Times New Roman"/>
                <w:szCs w:val="20"/>
                <w:lang w:val="de-DE"/>
              </w:rPr>
              <w:t>Monate; p</w:t>
            </w:r>
            <w:r w:rsidR="0094399B" w:rsidRPr="00402720">
              <w:rPr>
                <w:rFonts w:ascii="Times New Roman" w:hAnsi="Times New Roman" w:cs="Times New Roman"/>
                <w:szCs w:val="20"/>
                <w:lang w:val="de-DE"/>
              </w:rPr>
              <w:t> </w:t>
            </w:r>
            <w:r w:rsidRPr="009737B5">
              <w:rPr>
                <w:rFonts w:ascii="Times New Roman" w:eastAsia="Segoe UI Symbol" w:hAnsi="Times New Roman" w:cs="Times New Roman"/>
                <w:szCs w:val="20"/>
                <w:lang w:val="de-DE"/>
              </w:rPr>
              <w:t>=</w:t>
            </w:r>
            <w:r w:rsidR="0094399B" w:rsidRPr="00402720">
              <w:rPr>
                <w:rFonts w:ascii="Times New Roman" w:hAnsi="Times New Roman" w:cs="Times New Roman"/>
                <w:szCs w:val="20"/>
                <w:lang w:val="de-DE"/>
              </w:rPr>
              <w:t> </w:t>
            </w:r>
            <w:r w:rsidRPr="00402720">
              <w:rPr>
                <w:rFonts w:ascii="Times New Roman" w:hAnsi="Times New Roman" w:cs="Times New Roman"/>
                <w:szCs w:val="20"/>
                <w:lang w:val="de-DE"/>
              </w:rPr>
              <w:t>0,4825)</w:t>
            </w:r>
          </w:p>
        </w:tc>
        <w:tc>
          <w:tcPr>
            <w:tcW w:w="2667" w:type="dxa"/>
            <w:shd w:val="clear" w:color="auto" w:fill="FFFFFF"/>
          </w:tcPr>
          <w:p w14:paraId="47781350" w14:textId="77777777"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1,08 (0,80; 1,45)</w:t>
            </w:r>
          </w:p>
          <w:p w14:paraId="6489B50F" w14:textId="193F13E3" w:rsidR="00492B21" w:rsidRPr="00402720" w:rsidRDefault="00492B21" w:rsidP="00BD272D">
            <w:pPr>
              <w:keepNext/>
              <w:keepLines/>
              <w:spacing w:after="0" w:line="240" w:lineRule="auto"/>
              <w:jc w:val="center"/>
              <w:rPr>
                <w:rFonts w:ascii="Times New Roman" w:hAnsi="Times New Roman" w:cs="Times New Roman"/>
                <w:szCs w:val="20"/>
                <w:lang w:val="de-DE"/>
              </w:rPr>
            </w:pPr>
            <w:r w:rsidRPr="00402720">
              <w:rPr>
                <w:rFonts w:ascii="Times New Roman" w:hAnsi="Times New Roman" w:cs="Times New Roman"/>
                <w:szCs w:val="20"/>
                <w:lang w:val="de-DE"/>
              </w:rPr>
              <w:t xml:space="preserve">(12,0 </w:t>
            </w:r>
            <w:r w:rsidRPr="00402720">
              <w:rPr>
                <w:rFonts w:ascii="Times New Roman" w:hAnsi="Times New Roman" w:cs="Times New Roman"/>
                <w:i/>
                <w:szCs w:val="20"/>
                <w:lang w:val="de-DE"/>
              </w:rPr>
              <w:t>vs.</w:t>
            </w:r>
            <w:r w:rsidRPr="00402720">
              <w:rPr>
                <w:rFonts w:ascii="Times New Roman" w:hAnsi="Times New Roman" w:cs="Times New Roman"/>
                <w:szCs w:val="20"/>
                <w:lang w:val="de-DE"/>
              </w:rPr>
              <w:t xml:space="preserve"> 15,0</w:t>
            </w:r>
            <w:r w:rsidR="00A23012">
              <w:rPr>
                <w:rFonts w:ascii="Times New Roman" w:hAnsi="Times New Roman" w:cs="Times New Roman"/>
                <w:szCs w:val="20"/>
                <w:lang w:val="de-DE"/>
              </w:rPr>
              <w:t> </w:t>
            </w:r>
            <w:r w:rsidRPr="00402720">
              <w:rPr>
                <w:rFonts w:ascii="Times New Roman" w:hAnsi="Times New Roman" w:cs="Times New Roman"/>
                <w:szCs w:val="20"/>
                <w:lang w:val="de-DE"/>
              </w:rPr>
              <w:t>Monate; p</w:t>
            </w:r>
            <w:r w:rsidR="0094399B" w:rsidRPr="00402720">
              <w:rPr>
                <w:rFonts w:ascii="Times New Roman" w:hAnsi="Times New Roman" w:cs="Times New Roman"/>
                <w:szCs w:val="20"/>
                <w:lang w:val="de-DE"/>
              </w:rPr>
              <w:t> </w:t>
            </w:r>
            <w:r w:rsidRPr="009737B5">
              <w:rPr>
                <w:rFonts w:ascii="Times New Roman" w:eastAsia="Segoe UI Symbol" w:hAnsi="Times New Roman" w:cs="Times New Roman"/>
                <w:szCs w:val="20"/>
                <w:lang w:val="de-DE"/>
              </w:rPr>
              <w:t>=</w:t>
            </w:r>
            <w:r w:rsidR="0094399B" w:rsidRPr="00402720">
              <w:rPr>
                <w:rFonts w:ascii="Times New Roman" w:hAnsi="Times New Roman" w:cs="Times New Roman"/>
                <w:szCs w:val="20"/>
                <w:lang w:val="de-DE"/>
              </w:rPr>
              <w:t> </w:t>
            </w:r>
            <w:r w:rsidRPr="00402720">
              <w:rPr>
                <w:rFonts w:ascii="Times New Roman" w:hAnsi="Times New Roman" w:cs="Times New Roman"/>
                <w:szCs w:val="20"/>
                <w:lang w:val="de-DE"/>
              </w:rPr>
              <w:t>0,6267)</w:t>
            </w:r>
          </w:p>
        </w:tc>
      </w:tr>
    </w:tbl>
    <w:p w14:paraId="55126325" w14:textId="23EAA6CF" w:rsidR="00010E8C" w:rsidRPr="009737B5" w:rsidRDefault="00010E8C" w:rsidP="00BD272D">
      <w:pPr>
        <w:keepNext/>
        <w:keepLines/>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vertAlign w:val="superscript"/>
          <w:lang w:val="de-DE"/>
        </w:rPr>
        <w:t>1</w:t>
      </w:r>
      <w:r w:rsidRPr="009737B5">
        <w:rPr>
          <w:rFonts w:ascii="Times New Roman" w:hAnsi="Times New Roman" w:cs="Times New Roman"/>
          <w:sz w:val="20"/>
          <w:szCs w:val="20"/>
          <w:lang w:val="de-DE"/>
        </w:rPr>
        <w:tab/>
        <w:t>Die Primäranalyse wurde mit Stichtag 12.</w:t>
      </w:r>
      <w:r w:rsidR="00A23012">
        <w:rPr>
          <w:rFonts w:ascii="Times New Roman" w:hAnsi="Times New Roman" w:cs="Times New Roman"/>
          <w:sz w:val="20"/>
          <w:szCs w:val="20"/>
          <w:lang w:val="de-DE"/>
        </w:rPr>
        <w:t> </w:t>
      </w:r>
      <w:r w:rsidRPr="009737B5">
        <w:rPr>
          <w:rFonts w:ascii="Times New Roman" w:hAnsi="Times New Roman" w:cs="Times New Roman"/>
          <w:sz w:val="20"/>
          <w:szCs w:val="20"/>
          <w:lang w:val="de-DE"/>
        </w:rPr>
        <w:t>Dezember 2012 durchgeführt und wird als finale Analyse betrachtet.</w:t>
      </w:r>
    </w:p>
    <w:p w14:paraId="3D727130" w14:textId="7C0E27A4" w:rsidR="00010E8C" w:rsidRPr="009737B5" w:rsidRDefault="00010E8C" w:rsidP="00BD272D">
      <w:pPr>
        <w:keepNext/>
        <w:keepLines/>
        <w:suppressAutoHyphens/>
        <w:spacing w:after="0" w:line="240" w:lineRule="auto"/>
        <w:ind w:left="567" w:hanging="567"/>
        <w:rPr>
          <w:rFonts w:ascii="Times New Roman" w:hAnsi="Times New Roman" w:cs="Times New Roman"/>
          <w:sz w:val="20"/>
          <w:szCs w:val="20"/>
          <w:lang w:val="de-DE"/>
        </w:rPr>
      </w:pPr>
      <w:r w:rsidRPr="009737B5">
        <w:rPr>
          <w:rFonts w:ascii="Times New Roman" w:hAnsi="Times New Roman" w:cs="Times New Roman"/>
          <w:sz w:val="20"/>
          <w:szCs w:val="20"/>
          <w:vertAlign w:val="superscript"/>
          <w:lang w:val="de-DE"/>
        </w:rPr>
        <w:t>2</w:t>
      </w:r>
      <w:r w:rsidRPr="009737B5">
        <w:rPr>
          <w:rFonts w:ascii="Times New Roman" w:hAnsi="Times New Roman" w:cs="Times New Roman"/>
          <w:sz w:val="20"/>
          <w:szCs w:val="20"/>
          <w:lang w:val="de-DE"/>
        </w:rPr>
        <w:tab/>
        <w:t>Die Nachfolgeanalyse wurde mit Stichtag 7.</w:t>
      </w:r>
      <w:r w:rsidR="00A23012">
        <w:rPr>
          <w:rFonts w:ascii="Times New Roman" w:hAnsi="Times New Roman" w:cs="Times New Roman"/>
          <w:sz w:val="20"/>
          <w:szCs w:val="20"/>
          <w:lang w:val="de-DE"/>
        </w:rPr>
        <w:t> </w:t>
      </w:r>
      <w:r w:rsidRPr="009737B5">
        <w:rPr>
          <w:rFonts w:ascii="Times New Roman" w:hAnsi="Times New Roman" w:cs="Times New Roman"/>
          <w:sz w:val="20"/>
          <w:szCs w:val="20"/>
          <w:lang w:val="de-DE"/>
        </w:rPr>
        <w:t>März 2014 durchgeführt; die p-Werte sind nur zu erläuternden Zwecken ausgewiesen.</w:t>
      </w:r>
    </w:p>
    <w:p w14:paraId="6A6D03BE" w14:textId="77777777" w:rsidR="00010E8C" w:rsidRPr="009737B5" w:rsidRDefault="00010E8C" w:rsidP="005F4D08">
      <w:pPr>
        <w:suppressAutoHyphens/>
        <w:spacing w:after="0" w:line="240" w:lineRule="auto"/>
        <w:rPr>
          <w:rFonts w:ascii="Times New Roman" w:hAnsi="Times New Roman" w:cs="Times New Roman"/>
          <w:lang w:val="de-DE"/>
        </w:rPr>
      </w:pPr>
    </w:p>
    <w:p w14:paraId="733590E6" w14:textId="77777777" w:rsidR="00010E8C" w:rsidRPr="009737B5" w:rsidRDefault="00010E8C" w:rsidP="008A7D7B">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Kinder und Jugendliche</w:t>
      </w:r>
    </w:p>
    <w:p w14:paraId="6904B193" w14:textId="77777777" w:rsidR="00AD7449" w:rsidRPr="009737B5" w:rsidRDefault="00AD7449" w:rsidP="005F4D08">
      <w:pPr>
        <w:suppressAutoHyphens/>
        <w:spacing w:after="0" w:line="240" w:lineRule="auto"/>
        <w:rPr>
          <w:rFonts w:ascii="Times New Roman" w:hAnsi="Times New Roman" w:cs="Times New Roman"/>
          <w:lang w:val="de-DE"/>
        </w:rPr>
      </w:pPr>
    </w:p>
    <w:p w14:paraId="741D5580"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Europäische Arzneimittel-Agentur hat </w:t>
      </w:r>
      <w:r w:rsidR="00415DA9" w:rsidRPr="009737B5">
        <w:rPr>
          <w:rFonts w:ascii="Times New Roman" w:hAnsi="Times New Roman" w:cs="Times New Roman"/>
          <w:lang w:val="de-DE"/>
        </w:rPr>
        <w:t>Bevacizumab</w:t>
      </w:r>
      <w:r w:rsidRPr="009737B5">
        <w:rPr>
          <w:rFonts w:ascii="Times New Roman" w:hAnsi="Times New Roman" w:cs="Times New Roman"/>
          <w:lang w:val="de-DE"/>
        </w:rPr>
        <w:t xml:space="preserve"> von der Verpflichtung zur Vorlage von</w:t>
      </w:r>
      <w:r w:rsidR="00EF3BAF" w:rsidRPr="009737B5">
        <w:rPr>
          <w:rFonts w:ascii="Times New Roman" w:hAnsi="Times New Roman" w:cs="Times New Roman"/>
          <w:lang w:val="de-DE"/>
        </w:rPr>
        <w:t xml:space="preserve"> </w:t>
      </w:r>
      <w:r w:rsidRPr="009737B5">
        <w:rPr>
          <w:rFonts w:ascii="Times New Roman" w:hAnsi="Times New Roman" w:cs="Times New Roman"/>
          <w:lang w:val="de-DE"/>
        </w:rPr>
        <w:t>Ergebnissen zu Studien in allen pädiatrischen Gruppierungen beim Mammakarzinom, beim Adenokarzinom des Kolons und des Rektums, beim Lungenkarzinom (kleinzelliges und nichtkleinzelliges Karzinom), beim Nierenzell- und Nierenbeckenkarzinom (mit Ausnahme des</w:t>
      </w:r>
      <w:r w:rsidR="00EF3BAF" w:rsidRPr="009737B5">
        <w:rPr>
          <w:rFonts w:ascii="Times New Roman" w:hAnsi="Times New Roman" w:cs="Times New Roman"/>
          <w:lang w:val="de-DE"/>
        </w:rPr>
        <w:t xml:space="preserve"> </w:t>
      </w:r>
      <w:r w:rsidRPr="009737B5">
        <w:rPr>
          <w:rFonts w:ascii="Times New Roman" w:hAnsi="Times New Roman" w:cs="Times New Roman"/>
          <w:lang w:val="de-DE"/>
        </w:rPr>
        <w:t>Nephroblastoms, der Nephroblastomatose, des klarzelligen Sarkoms, des mesoblastischen Nephroms, des medullären Nierenkarzinoms und des Rhabdoidtumors der Niere), beim Ovarialkarzinom (mit Ausnahme des Rhabdomyosarkoms und von Keimzelltumoren), beim Eileiterkarzinom (mit</w:t>
      </w:r>
      <w:r w:rsidR="00EF3BAF" w:rsidRPr="009737B5">
        <w:rPr>
          <w:rFonts w:ascii="Times New Roman" w:hAnsi="Times New Roman" w:cs="Times New Roman"/>
          <w:lang w:val="de-DE"/>
        </w:rPr>
        <w:t xml:space="preserve"> </w:t>
      </w:r>
      <w:r w:rsidRPr="009737B5">
        <w:rPr>
          <w:rFonts w:ascii="Times New Roman" w:hAnsi="Times New Roman" w:cs="Times New Roman"/>
          <w:lang w:val="de-DE"/>
        </w:rPr>
        <w:t>Ausnahme des Rhabdomyosarkoms und von Keimzelltumoren), beim Peritonealkarzinom (mit Ausnahme von Blastomen und Sarkomen) und Zervix- und Gebärmutterkarzinom freigestellt.</w:t>
      </w:r>
    </w:p>
    <w:p w14:paraId="24660E6E" w14:textId="77777777" w:rsidR="00010E8C" w:rsidRPr="009737B5" w:rsidRDefault="00010E8C" w:rsidP="005F4D08">
      <w:pPr>
        <w:suppressAutoHyphens/>
        <w:spacing w:after="0" w:line="240" w:lineRule="auto"/>
        <w:rPr>
          <w:rFonts w:ascii="Times New Roman" w:hAnsi="Times New Roman" w:cs="Times New Roman"/>
          <w:lang w:val="de-DE"/>
        </w:rPr>
      </w:pPr>
    </w:p>
    <w:p w14:paraId="7A446068" w14:textId="77777777" w:rsidR="00010E8C" w:rsidRPr="009737B5" w:rsidRDefault="00010E8C" w:rsidP="008A7D7B">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Höhergradiges Gliom</w:t>
      </w:r>
    </w:p>
    <w:p w14:paraId="2C337CCE" w14:textId="77777777" w:rsidR="00AD7449" w:rsidRPr="009737B5" w:rsidRDefault="00AD7449" w:rsidP="005F4D08">
      <w:pPr>
        <w:suppressAutoHyphens/>
        <w:spacing w:after="0" w:line="240" w:lineRule="auto"/>
        <w:rPr>
          <w:rFonts w:ascii="Times New Roman" w:hAnsi="Times New Roman" w:cs="Times New Roman"/>
          <w:lang w:val="de-DE"/>
        </w:rPr>
      </w:pPr>
    </w:p>
    <w:p w14:paraId="4E47AA99" w14:textId="4613B39E"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zwei früheren Studien wurde bei insgesamt 30</w:t>
      </w:r>
      <w:r w:rsidR="00A23012">
        <w:rPr>
          <w:rFonts w:ascii="Times New Roman" w:hAnsi="Times New Roman" w:cs="Times New Roman"/>
          <w:lang w:val="de-DE"/>
        </w:rPr>
        <w:t> </w:t>
      </w:r>
      <w:r w:rsidRPr="009737B5">
        <w:rPr>
          <w:rFonts w:ascii="Times New Roman" w:hAnsi="Times New Roman" w:cs="Times New Roman"/>
          <w:lang w:val="de-DE"/>
        </w:rPr>
        <w:t>Kindern, die älter als 3</w:t>
      </w:r>
      <w:r w:rsidR="0091668D" w:rsidRPr="009737B5">
        <w:rPr>
          <w:rFonts w:ascii="Times New Roman" w:hAnsi="Times New Roman" w:cs="Times New Roman"/>
          <w:lang w:val="de-DE"/>
        </w:rPr>
        <w:t> </w:t>
      </w:r>
      <w:r w:rsidRPr="009737B5">
        <w:rPr>
          <w:rFonts w:ascii="Times New Roman" w:hAnsi="Times New Roman" w:cs="Times New Roman"/>
          <w:lang w:val="de-DE"/>
        </w:rPr>
        <w:t xml:space="preserve">Jahre waren und die rezidivierende oder progrediente hochgradige Gliome hatten, bei einer Behandlung mit Bevacizumab und Irinotecan (CPT-11) keine Antitumoraktivität beobachtet. Die vorliegenden Informationen reichen zur Beurteilung der Sicherheit und Wirksamkeit von </w:t>
      </w:r>
      <w:r w:rsidR="00415DA9" w:rsidRPr="009737B5">
        <w:rPr>
          <w:rFonts w:ascii="Times New Roman" w:hAnsi="Times New Roman" w:cs="Times New Roman"/>
          <w:lang w:val="de-DE"/>
        </w:rPr>
        <w:t>Bevacizumab</w:t>
      </w:r>
      <w:r w:rsidRPr="009737B5">
        <w:rPr>
          <w:rFonts w:ascii="Times New Roman" w:hAnsi="Times New Roman" w:cs="Times New Roman"/>
          <w:lang w:val="de-DE"/>
        </w:rPr>
        <w:t xml:space="preserve"> in der Behandlung von neu diagnostizierten hochgradigen Gliomen bei Kindern nicht aus.</w:t>
      </w:r>
    </w:p>
    <w:p w14:paraId="2E689F87" w14:textId="77777777" w:rsidR="00010E8C" w:rsidRPr="009737B5" w:rsidRDefault="00010E8C" w:rsidP="005F4D08">
      <w:pPr>
        <w:suppressAutoHyphens/>
        <w:spacing w:after="0" w:line="240" w:lineRule="auto"/>
        <w:rPr>
          <w:rFonts w:ascii="Times New Roman" w:hAnsi="Times New Roman" w:cs="Times New Roman"/>
          <w:lang w:val="de-DE"/>
        </w:rPr>
      </w:pPr>
    </w:p>
    <w:p w14:paraId="7EBCBFC0" w14:textId="74DEB28C" w:rsidR="00010E8C" w:rsidRPr="009737B5" w:rsidRDefault="00010E8C" w:rsidP="008A7D7B">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der einarmigen Studie</w:t>
      </w:r>
      <w:r w:rsidR="00A23012">
        <w:rPr>
          <w:rFonts w:ascii="Times New Roman" w:hAnsi="Times New Roman" w:cs="Times New Roman"/>
          <w:lang w:val="de-DE"/>
        </w:rPr>
        <w:t> </w:t>
      </w:r>
      <w:r w:rsidRPr="009737B5">
        <w:rPr>
          <w:rFonts w:ascii="Times New Roman" w:hAnsi="Times New Roman" w:cs="Times New Roman"/>
          <w:lang w:val="de-DE"/>
        </w:rPr>
        <w:t>PBTC-022 wurden 18</w:t>
      </w:r>
      <w:r w:rsidR="00A23012">
        <w:rPr>
          <w:rFonts w:ascii="Times New Roman" w:hAnsi="Times New Roman" w:cs="Times New Roman"/>
          <w:lang w:val="de-DE"/>
        </w:rPr>
        <w:t> </w:t>
      </w:r>
      <w:r w:rsidRPr="009737B5">
        <w:rPr>
          <w:rFonts w:ascii="Times New Roman" w:hAnsi="Times New Roman" w:cs="Times New Roman"/>
          <w:lang w:val="de-DE"/>
        </w:rPr>
        <w:t>Kinder mit rezidivierenden oder progredienten hochgradigen Non-Pons-Gliomen, davon 8</w:t>
      </w:r>
      <w:r w:rsidR="00A23012">
        <w:rPr>
          <w:rFonts w:ascii="Times New Roman" w:hAnsi="Times New Roman" w:cs="Times New Roman"/>
          <w:lang w:val="de-DE"/>
        </w:rPr>
        <w:t> </w:t>
      </w:r>
      <w:r w:rsidRPr="009737B5">
        <w:rPr>
          <w:rFonts w:ascii="Times New Roman" w:hAnsi="Times New Roman" w:cs="Times New Roman"/>
          <w:lang w:val="de-DE"/>
        </w:rPr>
        <w:t>Kinder mit Glioblastom vom WHO-Grad</w:t>
      </w:r>
      <w:r w:rsidR="00A23012">
        <w:rPr>
          <w:rFonts w:ascii="Times New Roman" w:hAnsi="Times New Roman" w:cs="Times New Roman"/>
          <w:lang w:val="de-DE"/>
        </w:rPr>
        <w:t> </w:t>
      </w:r>
      <w:r w:rsidRPr="009737B5">
        <w:rPr>
          <w:rFonts w:ascii="Times New Roman" w:hAnsi="Times New Roman" w:cs="Times New Roman"/>
          <w:lang w:val="de-DE"/>
        </w:rPr>
        <w:t>IV, 9 mit anaplastischem Astrozytom vom Grad</w:t>
      </w:r>
      <w:r w:rsidR="00A23012">
        <w:rPr>
          <w:rFonts w:ascii="Times New Roman" w:hAnsi="Times New Roman" w:cs="Times New Roman"/>
          <w:lang w:val="de-DE"/>
        </w:rPr>
        <w:t> </w:t>
      </w:r>
      <w:r w:rsidRPr="009737B5">
        <w:rPr>
          <w:rFonts w:ascii="Times New Roman" w:hAnsi="Times New Roman" w:cs="Times New Roman"/>
          <w:lang w:val="de-DE"/>
        </w:rPr>
        <w:t>III und 1</w:t>
      </w:r>
      <w:r w:rsidR="00A23012">
        <w:rPr>
          <w:rFonts w:ascii="Times New Roman" w:hAnsi="Times New Roman" w:cs="Times New Roman"/>
          <w:lang w:val="de-DE"/>
        </w:rPr>
        <w:t> </w:t>
      </w:r>
      <w:r w:rsidRPr="009737B5">
        <w:rPr>
          <w:rFonts w:ascii="Times New Roman" w:hAnsi="Times New Roman" w:cs="Times New Roman"/>
          <w:lang w:val="de-DE"/>
        </w:rPr>
        <w:t>Kind mit anaplastischem Oligodendrogliom vom Grad</w:t>
      </w:r>
      <w:r w:rsidR="00A23012">
        <w:rPr>
          <w:rFonts w:ascii="Times New Roman" w:hAnsi="Times New Roman" w:cs="Times New Roman"/>
          <w:lang w:val="de-DE"/>
        </w:rPr>
        <w:t> </w:t>
      </w:r>
      <w:r w:rsidRPr="009737B5">
        <w:rPr>
          <w:rFonts w:ascii="Times New Roman" w:hAnsi="Times New Roman" w:cs="Times New Roman"/>
          <w:lang w:val="de-DE"/>
        </w:rPr>
        <w:t>III mit 10</w:t>
      </w:r>
      <w:r w:rsidR="00AB26B9" w:rsidRPr="009737B5">
        <w:rPr>
          <w:rFonts w:ascii="Times New Roman" w:hAnsi="Times New Roman" w:cs="Times New Roman"/>
          <w:lang w:val="de-DE"/>
        </w:rPr>
        <w:t> mg</w:t>
      </w:r>
      <w:r w:rsidRPr="009737B5">
        <w:rPr>
          <w:rFonts w:ascii="Times New Roman" w:hAnsi="Times New Roman" w:cs="Times New Roman"/>
          <w:lang w:val="de-DE"/>
        </w:rPr>
        <w:t>/kg Bevacizumab im Abstand von 2</w:t>
      </w:r>
      <w:r w:rsidR="00A23012">
        <w:rPr>
          <w:rFonts w:ascii="Times New Roman" w:hAnsi="Times New Roman" w:cs="Times New Roman"/>
          <w:lang w:val="de-DE"/>
        </w:rPr>
        <w:t> </w:t>
      </w:r>
      <w:r w:rsidRPr="009737B5">
        <w:rPr>
          <w:rFonts w:ascii="Times New Roman" w:hAnsi="Times New Roman" w:cs="Times New Roman"/>
          <w:lang w:val="de-DE"/>
        </w:rPr>
        <w:t>Wochen und dann mit Bevacizumab in Kombination mit 125</w:t>
      </w:r>
      <w:r w:rsidR="00AB26B9" w:rsidRPr="009737B5">
        <w:rPr>
          <w:rFonts w:ascii="Times New Roman" w:hAnsi="Times New Roman" w:cs="Times New Roman"/>
          <w:lang w:val="de-DE"/>
        </w:rPr>
        <w:t> mg</w:t>
      </w:r>
      <w:r w:rsidRPr="009737B5">
        <w:rPr>
          <w:rFonts w:ascii="Times New Roman" w:hAnsi="Times New Roman" w:cs="Times New Roman"/>
          <w:lang w:val="de-DE"/>
        </w:rPr>
        <w:t>/m</w:t>
      </w:r>
      <w:r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w:t>
      </w:r>
      <w:r w:rsidR="00D7227D" w:rsidRPr="009737B5">
        <w:rPr>
          <w:rFonts w:ascii="Times New Roman" w:hAnsi="Times New Roman" w:cs="Times New Roman"/>
          <w:lang w:val="de-DE"/>
        </w:rPr>
        <w:t>-</w:t>
      </w:r>
      <w:r w:rsidRPr="009737B5">
        <w:rPr>
          <w:rFonts w:ascii="Times New Roman" w:hAnsi="Times New Roman" w:cs="Times New Roman"/>
          <w:lang w:val="de-DE"/>
        </w:rPr>
        <w:t xml:space="preserve"> 350</w:t>
      </w:r>
      <w:r w:rsidR="00AB26B9" w:rsidRPr="009737B5">
        <w:rPr>
          <w:rFonts w:ascii="Times New Roman" w:hAnsi="Times New Roman" w:cs="Times New Roman"/>
          <w:lang w:val="de-DE"/>
        </w:rPr>
        <w:t> mg</w:t>
      </w:r>
      <w:r w:rsidRPr="009737B5">
        <w:rPr>
          <w:rFonts w:ascii="Times New Roman" w:hAnsi="Times New Roman" w:cs="Times New Roman"/>
          <w:lang w:val="de-DE"/>
        </w:rPr>
        <w:t>/m² CPT-11 einmal alle 2</w:t>
      </w:r>
      <w:r w:rsidR="00A23012">
        <w:rPr>
          <w:rFonts w:ascii="Times New Roman" w:hAnsi="Times New Roman" w:cs="Times New Roman"/>
          <w:lang w:val="de-DE"/>
        </w:rPr>
        <w:t> </w:t>
      </w:r>
      <w:r w:rsidRPr="009737B5">
        <w:rPr>
          <w:rFonts w:ascii="Times New Roman" w:hAnsi="Times New Roman" w:cs="Times New Roman"/>
          <w:lang w:val="de-DE"/>
        </w:rPr>
        <w:t>Wochen bis zur Progression behandelt. Die radiologischen Untersuchungen zeigten kein objektives (partielles oder vollständiges) Ansprechen nach den Macdonald</w:t>
      </w:r>
      <w:r w:rsidR="00BE6C9D" w:rsidRPr="009737B5">
        <w:rPr>
          <w:rFonts w:ascii="Times New Roman" w:hAnsi="Times New Roman" w:cs="Times New Roman"/>
          <w:lang w:val="de-DE"/>
        </w:rPr>
        <w:t>-</w:t>
      </w:r>
      <w:r w:rsidRPr="009737B5">
        <w:rPr>
          <w:rFonts w:ascii="Times New Roman" w:hAnsi="Times New Roman" w:cs="Times New Roman"/>
          <w:lang w:val="de-DE"/>
        </w:rPr>
        <w:t>Kriterien. Unverträglichkeiten und Nebenwirkungen waren unter anderem arterielle Hypertonie und Fatigue sowie Ischämien im ZNS mit akuten neurologischen Ausfällen.</w:t>
      </w:r>
    </w:p>
    <w:p w14:paraId="2A15346B" w14:textId="77777777" w:rsidR="008A7D7B" w:rsidRPr="009737B5" w:rsidRDefault="008A7D7B" w:rsidP="008A7D7B">
      <w:pPr>
        <w:suppressAutoHyphens/>
        <w:spacing w:after="0" w:line="240" w:lineRule="auto"/>
        <w:rPr>
          <w:rFonts w:ascii="Times New Roman" w:hAnsi="Times New Roman" w:cs="Times New Roman"/>
          <w:lang w:val="de-DE"/>
        </w:rPr>
      </w:pPr>
    </w:p>
    <w:p w14:paraId="0A88B687" w14:textId="42E862DC" w:rsidR="00010E8C" w:rsidRPr="009737B5" w:rsidRDefault="00010E8C" w:rsidP="008A7D7B">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lastRenderedPageBreak/>
        <w:t>In einer einzelnen retrospektiven Institutserhebung wurden in den Jahren 2005</w:t>
      </w:r>
      <w:r w:rsidR="00A23012">
        <w:rPr>
          <w:rFonts w:ascii="Times New Roman" w:hAnsi="Times New Roman" w:cs="Times New Roman"/>
          <w:lang w:val="de-DE"/>
        </w:rPr>
        <w:t> </w:t>
      </w:r>
      <w:r w:rsidR="00D7227D" w:rsidRPr="009737B5">
        <w:rPr>
          <w:rFonts w:ascii="Times New Roman" w:hAnsi="Times New Roman" w:cs="Times New Roman"/>
          <w:lang w:val="de-DE"/>
        </w:rPr>
        <w:t>-</w:t>
      </w:r>
      <w:r w:rsidR="00A23012">
        <w:rPr>
          <w:rFonts w:ascii="Times New Roman" w:hAnsi="Times New Roman" w:cs="Times New Roman"/>
          <w:lang w:val="de-DE"/>
        </w:rPr>
        <w:t> </w:t>
      </w:r>
      <w:r w:rsidRPr="009737B5">
        <w:rPr>
          <w:rFonts w:ascii="Times New Roman" w:hAnsi="Times New Roman" w:cs="Times New Roman"/>
          <w:lang w:val="de-DE"/>
        </w:rPr>
        <w:t>2008 nacheinander 12</w:t>
      </w:r>
      <w:r w:rsidR="00A23012">
        <w:rPr>
          <w:rFonts w:ascii="Times New Roman" w:hAnsi="Times New Roman" w:cs="Times New Roman"/>
          <w:lang w:val="de-DE"/>
        </w:rPr>
        <w:t> </w:t>
      </w:r>
      <w:r w:rsidRPr="009737B5">
        <w:rPr>
          <w:rFonts w:ascii="Times New Roman" w:hAnsi="Times New Roman" w:cs="Times New Roman"/>
          <w:lang w:val="de-DE"/>
        </w:rPr>
        <w:t>Kinder mit rezidivierenden oder progredienten hochgradigen Gliomen, davon 3 vom WHO-Grad</w:t>
      </w:r>
      <w:r w:rsidR="00A23012">
        <w:rPr>
          <w:rFonts w:ascii="Times New Roman" w:hAnsi="Times New Roman" w:cs="Times New Roman"/>
          <w:lang w:val="de-DE"/>
        </w:rPr>
        <w:t> </w:t>
      </w:r>
      <w:r w:rsidRPr="009737B5">
        <w:rPr>
          <w:rFonts w:ascii="Times New Roman" w:hAnsi="Times New Roman" w:cs="Times New Roman"/>
          <w:lang w:val="de-DE"/>
        </w:rPr>
        <w:t>IV und 9 vom Grad</w:t>
      </w:r>
      <w:r w:rsidR="00A23012">
        <w:rPr>
          <w:rFonts w:ascii="Times New Roman" w:hAnsi="Times New Roman" w:cs="Times New Roman"/>
          <w:lang w:val="de-DE"/>
        </w:rPr>
        <w:t> </w:t>
      </w:r>
      <w:r w:rsidRPr="009737B5">
        <w:rPr>
          <w:rFonts w:ascii="Times New Roman" w:hAnsi="Times New Roman" w:cs="Times New Roman"/>
          <w:lang w:val="de-DE"/>
        </w:rPr>
        <w:t>III, mit 10</w:t>
      </w:r>
      <w:r w:rsidR="00AB26B9" w:rsidRPr="009737B5">
        <w:rPr>
          <w:rFonts w:ascii="Times New Roman" w:hAnsi="Times New Roman" w:cs="Times New Roman"/>
          <w:lang w:val="de-DE"/>
        </w:rPr>
        <w:t> mg</w:t>
      </w:r>
      <w:r w:rsidRPr="009737B5">
        <w:rPr>
          <w:rFonts w:ascii="Times New Roman" w:hAnsi="Times New Roman" w:cs="Times New Roman"/>
          <w:lang w:val="de-DE"/>
        </w:rPr>
        <w:t>/kg Bevacizumab und 125</w:t>
      </w:r>
      <w:r w:rsidR="00AB26B9" w:rsidRPr="009737B5">
        <w:rPr>
          <w:rFonts w:ascii="Times New Roman" w:hAnsi="Times New Roman" w:cs="Times New Roman"/>
          <w:lang w:val="de-DE"/>
        </w:rPr>
        <w:t> mg</w:t>
      </w:r>
      <w:r w:rsidR="002B1494" w:rsidRPr="009737B5">
        <w:rPr>
          <w:rFonts w:ascii="Times New Roman" w:hAnsi="Times New Roman" w:cs="Times New Roman"/>
          <w:lang w:val="de-DE"/>
        </w:rPr>
        <w:t>/m</w:t>
      </w:r>
      <w:r w:rsidR="002B1494" w:rsidRPr="009737B5">
        <w:rPr>
          <w:rFonts w:ascii="Times New Roman" w:hAnsi="Times New Roman" w:cs="Times New Roman"/>
          <w:vertAlign w:val="superscript"/>
          <w:lang w:val="de-DE"/>
        </w:rPr>
        <w:t>2</w:t>
      </w:r>
      <w:r w:rsidRPr="009737B5">
        <w:rPr>
          <w:rFonts w:ascii="Times New Roman" w:hAnsi="Times New Roman" w:cs="Times New Roman"/>
          <w:lang w:val="de-DE"/>
        </w:rPr>
        <w:t xml:space="preserve"> Irinotecan alle 2</w:t>
      </w:r>
      <w:r w:rsidR="00A23012">
        <w:rPr>
          <w:rFonts w:ascii="Times New Roman" w:hAnsi="Times New Roman" w:cs="Times New Roman"/>
          <w:lang w:val="de-DE"/>
        </w:rPr>
        <w:t> </w:t>
      </w:r>
      <w:r w:rsidRPr="009737B5">
        <w:rPr>
          <w:rFonts w:ascii="Times New Roman" w:hAnsi="Times New Roman" w:cs="Times New Roman"/>
          <w:lang w:val="de-DE"/>
        </w:rPr>
        <w:t>Wochen behandelt. Hierbei gab es in 2</w:t>
      </w:r>
      <w:r w:rsidR="00A23012">
        <w:rPr>
          <w:rFonts w:ascii="Times New Roman" w:hAnsi="Times New Roman" w:cs="Times New Roman"/>
          <w:lang w:val="de-DE"/>
        </w:rPr>
        <w:t> </w:t>
      </w:r>
      <w:r w:rsidRPr="009737B5">
        <w:rPr>
          <w:rFonts w:ascii="Times New Roman" w:hAnsi="Times New Roman" w:cs="Times New Roman"/>
          <w:lang w:val="de-DE"/>
        </w:rPr>
        <w:t>Fällen ein partielles Ansprechen nach den Macdonald-Kriterien, aber kein vollständiges Ansprechen.</w:t>
      </w:r>
    </w:p>
    <w:p w14:paraId="39CF21B9" w14:textId="77777777" w:rsidR="00010E8C" w:rsidRPr="009737B5" w:rsidRDefault="00010E8C" w:rsidP="008A7D7B">
      <w:pPr>
        <w:suppressAutoHyphens/>
        <w:spacing w:after="0" w:line="240" w:lineRule="auto"/>
        <w:rPr>
          <w:rFonts w:ascii="Times New Roman" w:hAnsi="Times New Roman" w:cs="Times New Roman"/>
          <w:lang w:val="de-DE"/>
        </w:rPr>
      </w:pPr>
    </w:p>
    <w:p w14:paraId="5A4D9763" w14:textId="2C42AB9B"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einer randomisierten Phase</w:t>
      </w:r>
      <w:r w:rsidR="00A23012">
        <w:rPr>
          <w:rFonts w:ascii="Times New Roman" w:hAnsi="Times New Roman" w:cs="Times New Roman"/>
          <w:lang w:val="de-DE"/>
        </w:rPr>
        <w:t> </w:t>
      </w:r>
      <w:r w:rsidRPr="009737B5">
        <w:rPr>
          <w:rFonts w:ascii="Times New Roman" w:hAnsi="Times New Roman" w:cs="Times New Roman"/>
          <w:lang w:val="de-DE"/>
        </w:rPr>
        <w:t>II-Studie (BO25041) wurden insgesamt 121</w:t>
      </w:r>
      <w:r w:rsidR="00A23012">
        <w:rPr>
          <w:rFonts w:ascii="Times New Roman" w:hAnsi="Times New Roman" w:cs="Times New Roman"/>
          <w:lang w:val="de-DE"/>
        </w:rPr>
        <w:t> </w:t>
      </w:r>
      <w:r w:rsidRPr="009737B5">
        <w:rPr>
          <w:rFonts w:ascii="Times New Roman" w:hAnsi="Times New Roman" w:cs="Times New Roman"/>
          <w:lang w:val="de-DE"/>
        </w:rPr>
        <w:t xml:space="preserve">Patienten im Alter von </w:t>
      </w:r>
      <w:r w:rsidR="00E32D5C" w:rsidRPr="009737B5">
        <w:rPr>
          <w:rFonts w:ascii="Times New Roman" w:hAnsi="Times New Roman" w:cs="Times New Roman"/>
          <w:lang w:val="de-DE"/>
        </w:rPr>
        <w:t>≥ </w:t>
      </w:r>
      <w:r w:rsidRPr="009737B5">
        <w:rPr>
          <w:rFonts w:ascii="Times New Roman" w:hAnsi="Times New Roman" w:cs="Times New Roman"/>
          <w:lang w:val="de-DE"/>
        </w:rPr>
        <w:t>3</w:t>
      </w:r>
      <w:r w:rsidR="0091668D" w:rsidRPr="009737B5">
        <w:rPr>
          <w:rFonts w:ascii="Times New Roman" w:eastAsia="Microsoft Yi Baiti" w:hAnsi="Times New Roman" w:cs="Times New Roman"/>
          <w:lang w:val="de-DE"/>
        </w:rPr>
        <w:t> </w:t>
      </w:r>
      <w:r w:rsidRPr="009737B5">
        <w:rPr>
          <w:rFonts w:ascii="Times New Roman" w:hAnsi="Times New Roman" w:cs="Times New Roman"/>
          <w:lang w:val="de-DE"/>
        </w:rPr>
        <w:t xml:space="preserve">Jahren bis </w:t>
      </w:r>
      <w:r w:rsidR="00E32D5C" w:rsidRPr="009737B5">
        <w:rPr>
          <w:rFonts w:ascii="Times New Roman" w:hAnsi="Times New Roman" w:cs="Times New Roman"/>
          <w:lang w:val="de-DE"/>
        </w:rPr>
        <w:t>&lt; </w:t>
      </w:r>
      <w:r w:rsidRPr="009737B5">
        <w:rPr>
          <w:rFonts w:ascii="Times New Roman" w:hAnsi="Times New Roman" w:cs="Times New Roman"/>
          <w:lang w:val="de-DE"/>
        </w:rPr>
        <w:t>18</w:t>
      </w:r>
      <w:r w:rsidR="0091668D" w:rsidRPr="009737B5">
        <w:rPr>
          <w:rFonts w:ascii="Times New Roman" w:hAnsi="Times New Roman" w:cs="Times New Roman"/>
          <w:lang w:val="de-DE"/>
        </w:rPr>
        <w:t> </w:t>
      </w:r>
      <w:r w:rsidRPr="009737B5">
        <w:rPr>
          <w:rFonts w:ascii="Times New Roman" w:hAnsi="Times New Roman" w:cs="Times New Roman"/>
          <w:lang w:val="de-DE"/>
        </w:rPr>
        <w:t>Jahren mit neu diagnostiziertem supratentoriellem oder infratentoriellem, zerebellarem oder pedunkulärem hochgradigem Gliom (HGG) postoperativ mit einer Strahlentherapie (RT) und adjuvantem Temozolomid (T) mit und ohne Bevacizumab behandelt: 10</w:t>
      </w:r>
      <w:r w:rsidR="00AB26B9" w:rsidRPr="009737B5">
        <w:rPr>
          <w:rFonts w:ascii="Times New Roman" w:hAnsi="Times New Roman" w:cs="Times New Roman"/>
          <w:lang w:val="de-DE"/>
        </w:rPr>
        <w:t> mg</w:t>
      </w:r>
      <w:r w:rsidRPr="009737B5">
        <w:rPr>
          <w:rFonts w:ascii="Times New Roman" w:hAnsi="Times New Roman" w:cs="Times New Roman"/>
          <w:lang w:val="de-DE"/>
        </w:rPr>
        <w:t>/kg alle 2</w:t>
      </w:r>
      <w:r w:rsidR="00A23012">
        <w:rPr>
          <w:rFonts w:ascii="Times New Roman" w:hAnsi="Times New Roman" w:cs="Times New Roman"/>
          <w:lang w:val="de-DE"/>
        </w:rPr>
        <w:t> </w:t>
      </w:r>
      <w:r w:rsidRPr="009737B5">
        <w:rPr>
          <w:rFonts w:ascii="Times New Roman" w:hAnsi="Times New Roman" w:cs="Times New Roman"/>
          <w:lang w:val="de-DE"/>
        </w:rPr>
        <w:t>Wochen i.v.</w:t>
      </w:r>
    </w:p>
    <w:p w14:paraId="6DB5A15B" w14:textId="77777777" w:rsidR="00010E8C" w:rsidRPr="009737B5" w:rsidRDefault="00010E8C" w:rsidP="005F4D08">
      <w:pPr>
        <w:suppressAutoHyphens/>
        <w:spacing w:after="0" w:line="240" w:lineRule="auto"/>
        <w:rPr>
          <w:rFonts w:ascii="Times New Roman" w:hAnsi="Times New Roman" w:cs="Times New Roman"/>
          <w:lang w:val="de-DE"/>
        </w:rPr>
      </w:pPr>
    </w:p>
    <w:p w14:paraId="6BFC0B94" w14:textId="42EECAAE"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Der primäre Endpunkt, nämlich der Nachweis einer signifikanten Verbesserung des ereignisfreien</w:t>
      </w:r>
      <w:r w:rsidR="00EF3BAF" w:rsidRPr="009737B5">
        <w:rPr>
          <w:rFonts w:ascii="Times New Roman" w:hAnsi="Times New Roman" w:cs="Times New Roman"/>
          <w:lang w:val="de-DE"/>
        </w:rPr>
        <w:t xml:space="preserve"> </w:t>
      </w:r>
      <w:r w:rsidRPr="009737B5">
        <w:rPr>
          <w:rFonts w:ascii="Times New Roman" w:hAnsi="Times New Roman" w:cs="Times New Roman"/>
          <w:lang w:val="de-DE"/>
        </w:rPr>
        <w:t>Überlebens (</w:t>
      </w:r>
      <w:r w:rsidR="00415DA9" w:rsidRPr="009737B5">
        <w:rPr>
          <w:rFonts w:ascii="Times New Roman" w:hAnsi="Times New Roman" w:cs="Times New Roman"/>
          <w:i/>
          <w:lang w:val="de-DE"/>
        </w:rPr>
        <w:t>e</w:t>
      </w:r>
      <w:r w:rsidRPr="009737B5">
        <w:rPr>
          <w:rFonts w:ascii="Times New Roman" w:hAnsi="Times New Roman" w:cs="Times New Roman"/>
          <w:i/>
          <w:lang w:val="de-DE"/>
        </w:rPr>
        <w:t xml:space="preserve">vent </w:t>
      </w:r>
      <w:r w:rsidR="00415DA9" w:rsidRPr="009737B5">
        <w:rPr>
          <w:rFonts w:ascii="Times New Roman" w:hAnsi="Times New Roman" w:cs="Times New Roman"/>
          <w:i/>
          <w:lang w:val="de-DE"/>
        </w:rPr>
        <w:t>f</w:t>
      </w:r>
      <w:r w:rsidRPr="009737B5">
        <w:rPr>
          <w:rFonts w:ascii="Times New Roman" w:hAnsi="Times New Roman" w:cs="Times New Roman"/>
          <w:i/>
          <w:lang w:val="de-DE"/>
        </w:rPr>
        <w:t xml:space="preserve">ree </w:t>
      </w:r>
      <w:r w:rsidR="00415DA9" w:rsidRPr="009737B5">
        <w:rPr>
          <w:rFonts w:ascii="Times New Roman" w:hAnsi="Times New Roman" w:cs="Times New Roman"/>
          <w:i/>
          <w:lang w:val="de-DE"/>
        </w:rPr>
        <w:t>s</w:t>
      </w:r>
      <w:r w:rsidRPr="009737B5">
        <w:rPr>
          <w:rFonts w:ascii="Times New Roman" w:hAnsi="Times New Roman" w:cs="Times New Roman"/>
          <w:i/>
          <w:lang w:val="de-DE"/>
        </w:rPr>
        <w:t>urvival</w:t>
      </w:r>
      <w:r w:rsidRPr="009737B5">
        <w:rPr>
          <w:rFonts w:ascii="Times New Roman" w:hAnsi="Times New Roman" w:cs="Times New Roman"/>
          <w:lang w:val="de-DE"/>
        </w:rPr>
        <w:t xml:space="preserve"> [EFS]) (bewertet durch ein zentrales radiologisches</w:t>
      </w:r>
      <w:r w:rsidR="00EF3BAF" w:rsidRPr="009737B5">
        <w:rPr>
          <w:rFonts w:ascii="Times New Roman" w:hAnsi="Times New Roman" w:cs="Times New Roman"/>
          <w:lang w:val="de-DE"/>
        </w:rPr>
        <w:t xml:space="preserve"> </w:t>
      </w:r>
      <w:r w:rsidRPr="009737B5">
        <w:rPr>
          <w:rFonts w:ascii="Times New Roman" w:hAnsi="Times New Roman" w:cs="Times New Roman"/>
          <w:lang w:val="de-DE"/>
        </w:rPr>
        <w:t>Bewertungskomitee (</w:t>
      </w:r>
      <w:r w:rsidRPr="009737B5">
        <w:rPr>
          <w:rFonts w:ascii="Times New Roman" w:hAnsi="Times New Roman" w:cs="Times New Roman"/>
          <w:i/>
          <w:lang w:val="de-DE"/>
        </w:rPr>
        <w:t>Central Radiology Review Committee</w:t>
      </w:r>
      <w:r w:rsidRPr="009737B5">
        <w:rPr>
          <w:rFonts w:ascii="Times New Roman" w:hAnsi="Times New Roman" w:cs="Times New Roman"/>
          <w:lang w:val="de-DE"/>
        </w:rPr>
        <w:t xml:space="preserve"> [CRRC]), wurde in dieser Studie nicht erreicht, wenn Bevacizumab zusätzlich im RT/T-Arm gegeben wurde,</w:t>
      </w:r>
      <w:r w:rsidR="009D2FDE" w:rsidRPr="009737B5">
        <w:rPr>
          <w:rFonts w:ascii="Times New Roman" w:hAnsi="Times New Roman" w:cs="Times New Roman"/>
          <w:lang w:val="de-DE"/>
        </w:rPr>
        <w:t xml:space="preserve"> verglichen mit RT/T allein (HR </w:t>
      </w:r>
      <w:r w:rsidRPr="009737B5">
        <w:rPr>
          <w:rFonts w:ascii="Times New Roman" w:hAnsi="Times New Roman" w:cs="Times New Roman"/>
          <w:lang w:val="de-DE"/>
        </w:rPr>
        <w:t>=</w:t>
      </w:r>
      <w:r w:rsidR="00A23012">
        <w:rPr>
          <w:rFonts w:ascii="Times New Roman" w:hAnsi="Times New Roman" w:cs="Times New Roman"/>
          <w:lang w:val="de-DE"/>
        </w:rPr>
        <w:t> </w:t>
      </w:r>
      <w:r w:rsidRPr="009737B5">
        <w:rPr>
          <w:rFonts w:ascii="Times New Roman" w:hAnsi="Times New Roman" w:cs="Times New Roman"/>
          <w:lang w:val="de-DE"/>
        </w:rPr>
        <w:t>1,44; 95</w:t>
      </w:r>
      <w:r w:rsidR="00322E40" w:rsidRPr="009737B5">
        <w:rPr>
          <w:rFonts w:ascii="Times New Roman" w:hAnsi="Times New Roman" w:cs="Times New Roman"/>
          <w:lang w:val="de-DE"/>
        </w:rPr>
        <w:t> %</w:t>
      </w:r>
      <w:r w:rsidR="00A23012">
        <w:rPr>
          <w:rFonts w:ascii="Times New Roman" w:hAnsi="Times New Roman" w:cs="Times New Roman"/>
          <w:lang w:val="de-DE"/>
        </w:rPr>
        <w:t> </w:t>
      </w:r>
      <w:r w:rsidRPr="009737B5">
        <w:rPr>
          <w:rFonts w:ascii="Times New Roman" w:hAnsi="Times New Roman" w:cs="Times New Roman"/>
          <w:lang w:val="de-DE"/>
        </w:rPr>
        <w:t>KI: 0,90;</w:t>
      </w:r>
      <w:r w:rsidR="00A23012">
        <w:rPr>
          <w:rFonts w:ascii="Times New Roman" w:hAnsi="Times New Roman" w:cs="Times New Roman"/>
          <w:lang w:val="de-DE"/>
        </w:rPr>
        <w:t> </w:t>
      </w:r>
      <w:r w:rsidRPr="009737B5">
        <w:rPr>
          <w:rFonts w:ascii="Times New Roman" w:hAnsi="Times New Roman" w:cs="Times New Roman"/>
          <w:lang w:val="de-DE"/>
        </w:rPr>
        <w:t>2,30). Diese Ergebnisse stimmten mit denen von verschiedenen Sensitivitätsanalysen und mit denen von klinisch relevanten Subgruppen überein. Die Ergebnisse für alle sekundären Endpunkte (Prüfarzt</w:t>
      </w:r>
      <w:r w:rsidR="00BD3D7E" w:rsidRPr="009737B5">
        <w:rPr>
          <w:rFonts w:ascii="Times New Roman" w:hAnsi="Times New Roman" w:cs="Times New Roman"/>
          <w:lang w:val="de-DE"/>
        </w:rPr>
        <w:t>-</w:t>
      </w:r>
      <w:r w:rsidRPr="009737B5">
        <w:rPr>
          <w:rFonts w:ascii="Times New Roman" w:hAnsi="Times New Roman" w:cs="Times New Roman"/>
          <w:lang w:val="de-DE"/>
        </w:rPr>
        <w:t>bewertetes ereignisfreies Überleben, Gesamtansprechrate und Gesamtüberleben) stimmten dahingehend überein, dass eine Verbesserung mit der Zugabe von Bevacizumab im RT/T-Arm nicht assoziiert war, verglichen mit dem RT/T-Arm allein.</w:t>
      </w:r>
    </w:p>
    <w:p w14:paraId="3F551FC8" w14:textId="77777777" w:rsidR="00010E8C" w:rsidRPr="009737B5" w:rsidRDefault="00010E8C" w:rsidP="005F4D08">
      <w:pPr>
        <w:suppressAutoHyphens/>
        <w:spacing w:after="0" w:line="240" w:lineRule="auto"/>
        <w:rPr>
          <w:rFonts w:ascii="Times New Roman" w:hAnsi="Times New Roman" w:cs="Times New Roman"/>
          <w:lang w:val="de-DE"/>
        </w:rPr>
      </w:pPr>
    </w:p>
    <w:p w14:paraId="3FB10E9A" w14:textId="4ED70DB2"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der klinischen Studie</w:t>
      </w:r>
      <w:r w:rsidR="00A23012">
        <w:rPr>
          <w:rFonts w:ascii="Times New Roman" w:hAnsi="Times New Roman" w:cs="Times New Roman"/>
          <w:lang w:val="de-DE"/>
        </w:rPr>
        <w:t> </w:t>
      </w:r>
      <w:r w:rsidRPr="009737B5">
        <w:rPr>
          <w:rFonts w:ascii="Times New Roman" w:hAnsi="Times New Roman" w:cs="Times New Roman"/>
          <w:lang w:val="de-DE"/>
        </w:rPr>
        <w:t xml:space="preserve">BO25041 zeigte die Zugabe von </w:t>
      </w:r>
      <w:r w:rsidR="00415DA9" w:rsidRPr="009737B5">
        <w:rPr>
          <w:rFonts w:ascii="Times New Roman" w:hAnsi="Times New Roman" w:cs="Times New Roman"/>
          <w:lang w:val="de-DE"/>
        </w:rPr>
        <w:t>Bevacizumab</w:t>
      </w:r>
      <w:r w:rsidRPr="009737B5">
        <w:rPr>
          <w:rFonts w:ascii="Times New Roman" w:hAnsi="Times New Roman" w:cs="Times New Roman"/>
          <w:lang w:val="de-DE"/>
        </w:rPr>
        <w:t xml:space="preserve"> zu RT/T bei 60 auswertbaren pädiatrischen Patienten mit neu diagnostiziertem supratentoriellem und infratentoriellem bzw. zerebellärem sowie pedunkulärem höhergradigem Gliom (HGG) keinen klinischen Nutzen (für Informationen zur pädiatrischen Anwendung siehe Abschnitt</w:t>
      </w:r>
      <w:r w:rsidR="00A23012">
        <w:rPr>
          <w:rFonts w:ascii="Times New Roman" w:hAnsi="Times New Roman" w:cs="Times New Roman"/>
          <w:lang w:val="de-DE"/>
        </w:rPr>
        <w:t> </w:t>
      </w:r>
      <w:r w:rsidRPr="009737B5">
        <w:rPr>
          <w:rFonts w:ascii="Times New Roman" w:hAnsi="Times New Roman" w:cs="Times New Roman"/>
          <w:lang w:val="de-DE"/>
        </w:rPr>
        <w:t>4.2).</w:t>
      </w:r>
    </w:p>
    <w:p w14:paraId="068A06B6" w14:textId="77777777" w:rsidR="00010E8C" w:rsidRPr="009737B5" w:rsidRDefault="00010E8C" w:rsidP="005F4D08">
      <w:pPr>
        <w:suppressAutoHyphens/>
        <w:spacing w:after="0" w:line="240" w:lineRule="auto"/>
        <w:rPr>
          <w:rFonts w:ascii="Times New Roman" w:hAnsi="Times New Roman" w:cs="Times New Roman"/>
          <w:lang w:val="de-DE"/>
        </w:rPr>
      </w:pPr>
    </w:p>
    <w:p w14:paraId="783022A5" w14:textId="77777777" w:rsidR="00010E8C" w:rsidRPr="009737B5" w:rsidRDefault="00010E8C" w:rsidP="008A7D7B">
      <w:pPr>
        <w:keepNext/>
        <w:suppressAutoHyphens/>
        <w:spacing w:after="0" w:line="240" w:lineRule="auto"/>
        <w:rPr>
          <w:rFonts w:ascii="Times New Roman" w:hAnsi="Times New Roman" w:cs="Times New Roman"/>
          <w:i/>
          <w:lang w:val="de-DE"/>
        </w:rPr>
      </w:pPr>
      <w:r w:rsidRPr="009737B5">
        <w:rPr>
          <w:rFonts w:ascii="Times New Roman" w:hAnsi="Times New Roman" w:cs="Times New Roman"/>
          <w:i/>
          <w:lang w:val="de-DE"/>
        </w:rPr>
        <w:t>Weichteilsarkom</w:t>
      </w:r>
    </w:p>
    <w:p w14:paraId="69AE0C6D" w14:textId="77777777" w:rsidR="008A7D7B" w:rsidRPr="009737B5" w:rsidRDefault="008A7D7B" w:rsidP="008A7D7B">
      <w:pPr>
        <w:keepNext/>
        <w:suppressAutoHyphens/>
        <w:spacing w:after="0" w:line="240" w:lineRule="auto"/>
        <w:rPr>
          <w:rFonts w:ascii="Times New Roman" w:hAnsi="Times New Roman" w:cs="Times New Roman"/>
          <w:lang w:val="de-DE"/>
        </w:rPr>
      </w:pPr>
    </w:p>
    <w:p w14:paraId="551F8E6F" w14:textId="57B086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einer randomisierten Phase</w:t>
      </w:r>
      <w:r w:rsidR="00A23012">
        <w:rPr>
          <w:rFonts w:ascii="Times New Roman" w:hAnsi="Times New Roman" w:cs="Times New Roman"/>
          <w:lang w:val="de-DE"/>
        </w:rPr>
        <w:t> </w:t>
      </w:r>
      <w:r w:rsidRPr="009737B5">
        <w:rPr>
          <w:rFonts w:ascii="Times New Roman" w:hAnsi="Times New Roman" w:cs="Times New Roman"/>
          <w:lang w:val="de-DE"/>
        </w:rPr>
        <w:t>II-Studie (BO20924) wurden insgesamt 154</w:t>
      </w:r>
      <w:r w:rsidR="00A23012">
        <w:rPr>
          <w:rFonts w:ascii="Times New Roman" w:hAnsi="Times New Roman" w:cs="Times New Roman"/>
          <w:lang w:val="de-DE"/>
        </w:rPr>
        <w:t> </w:t>
      </w:r>
      <w:r w:rsidRPr="009737B5">
        <w:rPr>
          <w:rFonts w:ascii="Times New Roman" w:hAnsi="Times New Roman" w:cs="Times New Roman"/>
          <w:lang w:val="de-DE"/>
        </w:rPr>
        <w:t>Patienten im Alter von</w:t>
      </w:r>
      <w:r w:rsidR="00EF3BAF" w:rsidRPr="009737B5">
        <w:rPr>
          <w:rFonts w:ascii="Times New Roman" w:hAnsi="Times New Roman" w:cs="Times New Roman"/>
          <w:lang w:val="de-DE"/>
        </w:rPr>
        <w:t xml:space="preserve"> </w:t>
      </w:r>
      <w:r w:rsidR="00E32D5C" w:rsidRPr="009737B5">
        <w:rPr>
          <w:rFonts w:ascii="Times New Roman" w:hAnsi="Times New Roman" w:cs="Times New Roman"/>
          <w:lang w:val="de-DE"/>
        </w:rPr>
        <w:t>≥ </w:t>
      </w:r>
      <w:r w:rsidRPr="009737B5">
        <w:rPr>
          <w:rFonts w:ascii="Times New Roman" w:hAnsi="Times New Roman" w:cs="Times New Roman"/>
          <w:lang w:val="de-DE"/>
        </w:rPr>
        <w:t>6</w:t>
      </w:r>
      <w:r w:rsidR="00D5199D">
        <w:rPr>
          <w:rFonts w:ascii="Times New Roman" w:hAnsi="Times New Roman" w:cs="Times New Roman"/>
          <w:lang w:val="de-DE"/>
        </w:rPr>
        <w:t> </w:t>
      </w:r>
      <w:r w:rsidRPr="009737B5">
        <w:rPr>
          <w:rFonts w:ascii="Times New Roman" w:hAnsi="Times New Roman" w:cs="Times New Roman"/>
          <w:lang w:val="de-DE"/>
        </w:rPr>
        <w:t xml:space="preserve">Monaten bis </w:t>
      </w:r>
      <w:r w:rsidR="00E32D5C" w:rsidRPr="009737B5">
        <w:rPr>
          <w:rFonts w:ascii="Times New Roman" w:hAnsi="Times New Roman" w:cs="Times New Roman"/>
          <w:lang w:val="de-DE"/>
        </w:rPr>
        <w:t>&lt; </w:t>
      </w:r>
      <w:r w:rsidRPr="009737B5">
        <w:rPr>
          <w:rFonts w:ascii="Times New Roman" w:hAnsi="Times New Roman" w:cs="Times New Roman"/>
          <w:lang w:val="de-DE"/>
        </w:rPr>
        <w:t>18</w:t>
      </w:r>
      <w:r w:rsidR="0091668D" w:rsidRPr="009737B5">
        <w:rPr>
          <w:rFonts w:ascii="Times New Roman" w:hAnsi="Times New Roman" w:cs="Times New Roman"/>
          <w:lang w:val="de-DE"/>
        </w:rPr>
        <w:t> </w:t>
      </w:r>
      <w:r w:rsidRPr="009737B5">
        <w:rPr>
          <w:rFonts w:ascii="Times New Roman" w:hAnsi="Times New Roman" w:cs="Times New Roman"/>
          <w:lang w:val="de-DE"/>
        </w:rPr>
        <w:t>Jahren mit neu diagnostiziertem metastasiertem Rhabdomyosarkom und Nicht</w:t>
      </w:r>
      <w:r w:rsidR="00D87A14" w:rsidRPr="009737B5">
        <w:rPr>
          <w:rFonts w:ascii="Times New Roman" w:hAnsi="Times New Roman" w:cs="Times New Roman"/>
          <w:lang w:val="de-DE"/>
        </w:rPr>
        <w:t>-</w:t>
      </w:r>
      <w:r w:rsidRPr="009737B5">
        <w:rPr>
          <w:rFonts w:ascii="Times New Roman" w:hAnsi="Times New Roman" w:cs="Times New Roman"/>
          <w:lang w:val="de-DE"/>
        </w:rPr>
        <w:t>Rhabdomyosarkom</w:t>
      </w:r>
      <w:r w:rsidR="00BD3D7E" w:rsidRPr="009737B5">
        <w:rPr>
          <w:rFonts w:ascii="Times New Roman" w:hAnsi="Times New Roman" w:cs="Times New Roman"/>
          <w:lang w:val="de-DE"/>
        </w:rPr>
        <w:t>-</w:t>
      </w:r>
      <w:r w:rsidRPr="009737B5">
        <w:rPr>
          <w:rFonts w:ascii="Times New Roman" w:hAnsi="Times New Roman" w:cs="Times New Roman"/>
          <w:lang w:val="de-DE"/>
        </w:rPr>
        <w:t>Weichteilsarkom mit der Standardtherapie (Einleitung IVADO/IVA+/- lokale</w:t>
      </w:r>
      <w:r w:rsidR="008A7D7B" w:rsidRPr="009737B5">
        <w:rPr>
          <w:rFonts w:ascii="Times New Roman" w:hAnsi="Times New Roman" w:cs="Times New Roman"/>
          <w:lang w:val="de-DE"/>
        </w:rPr>
        <w:t xml:space="preserve"> </w:t>
      </w:r>
      <w:r w:rsidRPr="009737B5">
        <w:rPr>
          <w:rFonts w:ascii="Times New Roman" w:hAnsi="Times New Roman" w:cs="Times New Roman"/>
          <w:lang w:val="de-DE"/>
        </w:rPr>
        <w:t>Therapie gefolgt von der Erhaltung mit Vinorelbin und Cyclophosphamid) mit oder ohne</w:t>
      </w:r>
      <w:r w:rsidR="00EF3BAF" w:rsidRPr="009737B5">
        <w:rPr>
          <w:rFonts w:ascii="Times New Roman" w:hAnsi="Times New Roman" w:cs="Times New Roman"/>
          <w:lang w:val="de-DE"/>
        </w:rPr>
        <w:t xml:space="preserve"> </w:t>
      </w:r>
      <w:r w:rsidRPr="009737B5">
        <w:rPr>
          <w:rFonts w:ascii="Times New Roman" w:hAnsi="Times New Roman" w:cs="Times New Roman"/>
          <w:lang w:val="de-DE"/>
        </w:rPr>
        <w:t>Bevacizumab (2,5</w:t>
      </w:r>
      <w:r w:rsidR="00AB26B9" w:rsidRPr="009737B5">
        <w:rPr>
          <w:rFonts w:ascii="Times New Roman" w:hAnsi="Times New Roman" w:cs="Times New Roman"/>
          <w:lang w:val="de-DE"/>
        </w:rPr>
        <w:t> mg</w:t>
      </w:r>
      <w:r w:rsidRPr="009737B5">
        <w:rPr>
          <w:rFonts w:ascii="Times New Roman" w:hAnsi="Times New Roman" w:cs="Times New Roman"/>
          <w:lang w:val="de-DE"/>
        </w:rPr>
        <w:t>/kg/Woche) über eine Gesamtbehandlungsdauer von ca. 18</w:t>
      </w:r>
      <w:r w:rsidR="00A23012">
        <w:rPr>
          <w:rFonts w:ascii="Times New Roman" w:hAnsi="Times New Roman" w:cs="Times New Roman"/>
          <w:lang w:val="de-DE"/>
        </w:rPr>
        <w:t> </w:t>
      </w:r>
      <w:r w:rsidRPr="009737B5">
        <w:rPr>
          <w:rFonts w:ascii="Times New Roman" w:hAnsi="Times New Roman" w:cs="Times New Roman"/>
          <w:lang w:val="de-DE"/>
        </w:rPr>
        <w:t>Monaten behandelt.</w:t>
      </w:r>
      <w:r w:rsidR="008A7D7B" w:rsidRPr="009737B5">
        <w:rPr>
          <w:rFonts w:ascii="Times New Roman" w:hAnsi="Times New Roman" w:cs="Times New Roman"/>
          <w:lang w:val="de-DE"/>
        </w:rPr>
        <w:t xml:space="preserve"> </w:t>
      </w:r>
      <w:r w:rsidRPr="009737B5">
        <w:rPr>
          <w:rFonts w:ascii="Times New Roman" w:hAnsi="Times New Roman" w:cs="Times New Roman"/>
          <w:lang w:val="de-DE"/>
        </w:rPr>
        <w:t>Zum Zeitpunkt der finalen Primäranalyse zeigte der primäre Endpunkt ereignisfreies Überleben (</w:t>
      </w:r>
      <w:r w:rsidRPr="00D87918">
        <w:rPr>
          <w:rFonts w:ascii="Times New Roman" w:hAnsi="Times New Roman" w:cs="Times New Roman"/>
          <w:i/>
          <w:iCs/>
          <w:lang w:val="de-DE"/>
        </w:rPr>
        <w:t>Event</w:t>
      </w:r>
      <w:r w:rsidR="00EF3BAF" w:rsidRPr="00D87918">
        <w:rPr>
          <w:rFonts w:ascii="Times New Roman" w:hAnsi="Times New Roman" w:cs="Times New Roman"/>
          <w:i/>
          <w:iCs/>
          <w:lang w:val="de-DE"/>
        </w:rPr>
        <w:t xml:space="preserve"> </w:t>
      </w:r>
      <w:r w:rsidRPr="00D87918">
        <w:rPr>
          <w:rFonts w:ascii="Times New Roman" w:hAnsi="Times New Roman" w:cs="Times New Roman"/>
          <w:i/>
          <w:iCs/>
          <w:lang w:val="de-DE"/>
        </w:rPr>
        <w:t>Free Survival</w:t>
      </w:r>
      <w:r w:rsidRPr="009737B5">
        <w:rPr>
          <w:rFonts w:ascii="Times New Roman" w:hAnsi="Times New Roman" w:cs="Times New Roman"/>
          <w:lang w:val="de-DE"/>
        </w:rPr>
        <w:t xml:space="preserve"> [EFS]) nach einer unabhängigen zentralen Bewertung keinen statistisch signifikanten Unterschied zwischen den zwei Behandlungsarmen mit einer HR von 0,93 (95</w:t>
      </w:r>
      <w:r w:rsidR="00322E40" w:rsidRPr="009737B5">
        <w:rPr>
          <w:rFonts w:ascii="Times New Roman" w:hAnsi="Times New Roman" w:cs="Times New Roman"/>
          <w:lang w:val="de-DE"/>
        </w:rPr>
        <w:t> %</w:t>
      </w:r>
      <w:r w:rsidR="00A23012">
        <w:rPr>
          <w:rFonts w:ascii="Times New Roman" w:hAnsi="Times New Roman" w:cs="Times New Roman"/>
          <w:lang w:val="de-DE"/>
        </w:rPr>
        <w:t> </w:t>
      </w:r>
      <w:r w:rsidRPr="009737B5">
        <w:rPr>
          <w:rFonts w:ascii="Times New Roman" w:hAnsi="Times New Roman" w:cs="Times New Roman"/>
          <w:lang w:val="de-DE"/>
        </w:rPr>
        <w:t>KI: 0,61;</w:t>
      </w:r>
      <w:r w:rsidR="00A23012">
        <w:rPr>
          <w:rFonts w:ascii="Times New Roman" w:hAnsi="Times New Roman" w:cs="Times New Roman"/>
          <w:lang w:val="de-DE"/>
        </w:rPr>
        <w:t> </w:t>
      </w:r>
      <w:r w:rsidRPr="009737B5">
        <w:rPr>
          <w:rFonts w:ascii="Times New Roman" w:hAnsi="Times New Roman" w:cs="Times New Roman"/>
          <w:lang w:val="de-DE"/>
        </w:rPr>
        <w:t>1,41; p-Wert</w:t>
      </w:r>
      <w:r w:rsidR="00A23012">
        <w:rPr>
          <w:rFonts w:ascii="Times New Roman" w:hAnsi="Times New Roman" w:cs="Times New Roman"/>
          <w:lang w:val="de-DE"/>
        </w:rPr>
        <w:t> </w:t>
      </w:r>
      <w:r w:rsidRPr="009737B5">
        <w:rPr>
          <w:rFonts w:ascii="Times New Roman" w:hAnsi="Times New Roman" w:cs="Times New Roman"/>
          <w:lang w:val="de-DE"/>
        </w:rPr>
        <w:t>=</w:t>
      </w:r>
      <w:r w:rsidR="00A23012">
        <w:rPr>
          <w:rFonts w:ascii="Times New Roman" w:hAnsi="Times New Roman" w:cs="Times New Roman"/>
          <w:lang w:val="de-DE"/>
        </w:rPr>
        <w:t> </w:t>
      </w:r>
      <w:r w:rsidRPr="009737B5">
        <w:rPr>
          <w:rFonts w:ascii="Times New Roman" w:hAnsi="Times New Roman" w:cs="Times New Roman"/>
          <w:lang w:val="de-DE"/>
        </w:rPr>
        <w:t>0,72). Der Unterschied in der Gesamtansprechrate, der unabhängig zentral bewertet wurde, war zwischen den beiden Behandlungsarmen bei den wenigen Patienten, die einen auswertbaren Tumor zu Behandlungsbeginn und ein nachgewiesenes Ansprechen vor Erhalt einer beliebigen lokalen</w:t>
      </w:r>
      <w:r w:rsidR="00EF3BAF" w:rsidRPr="009737B5">
        <w:rPr>
          <w:rFonts w:ascii="Times New Roman" w:hAnsi="Times New Roman" w:cs="Times New Roman"/>
          <w:lang w:val="de-DE"/>
        </w:rPr>
        <w:t xml:space="preserve"> </w:t>
      </w:r>
      <w:r w:rsidRPr="009737B5">
        <w:rPr>
          <w:rFonts w:ascii="Times New Roman" w:hAnsi="Times New Roman" w:cs="Times New Roman"/>
          <w:lang w:val="de-DE"/>
        </w:rPr>
        <w:t>Therapie hatten, 18</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(KI: 0,6</w:t>
      </w:r>
      <w:r w:rsidR="00322E40" w:rsidRPr="009737B5">
        <w:rPr>
          <w:rFonts w:ascii="Times New Roman" w:hAnsi="Times New Roman" w:cs="Times New Roman"/>
          <w:lang w:val="de-DE"/>
        </w:rPr>
        <w:t> </w:t>
      </w:r>
      <w:r w:rsidR="00BD3D7E" w:rsidRPr="009737B5">
        <w:rPr>
          <w:rFonts w:ascii="Times New Roman" w:hAnsi="Times New Roman" w:cs="Times New Roman"/>
          <w:lang w:val="de-DE"/>
        </w:rPr>
        <w:t>%;</w:t>
      </w:r>
      <w:r w:rsidR="00A23012">
        <w:rPr>
          <w:rFonts w:ascii="Times New Roman" w:hAnsi="Times New Roman" w:cs="Times New Roman"/>
          <w:lang w:val="de-DE"/>
        </w:rPr>
        <w:t> </w:t>
      </w:r>
      <w:r w:rsidRPr="009737B5">
        <w:rPr>
          <w:rFonts w:ascii="Times New Roman" w:hAnsi="Times New Roman" w:cs="Times New Roman"/>
          <w:lang w:val="de-DE"/>
        </w:rPr>
        <w:t>35,3</w:t>
      </w:r>
      <w:r w:rsidR="00322E40" w:rsidRPr="009737B5">
        <w:rPr>
          <w:rFonts w:ascii="Times New Roman" w:hAnsi="Times New Roman" w:cs="Times New Roman"/>
          <w:lang w:val="de-DE"/>
        </w:rPr>
        <w:t> %</w:t>
      </w:r>
      <w:r w:rsidRPr="009737B5">
        <w:rPr>
          <w:rFonts w:ascii="Times New Roman" w:hAnsi="Times New Roman" w:cs="Times New Roman"/>
          <w:lang w:val="de-DE"/>
        </w:rPr>
        <w:t>): 27/75 Patienten (36,0</w:t>
      </w:r>
      <w:r w:rsidR="00322E40" w:rsidRPr="009737B5">
        <w:rPr>
          <w:rFonts w:ascii="Times New Roman" w:hAnsi="Times New Roman" w:cs="Times New Roman"/>
          <w:lang w:val="de-DE"/>
        </w:rPr>
        <w:t> %</w:t>
      </w:r>
      <w:r w:rsidRPr="009737B5">
        <w:rPr>
          <w:rFonts w:ascii="Times New Roman" w:hAnsi="Times New Roman" w:cs="Times New Roman"/>
          <w:lang w:val="de-DE"/>
        </w:rPr>
        <w:t>, 95</w:t>
      </w:r>
      <w:r w:rsidR="00322E40" w:rsidRPr="009737B5">
        <w:rPr>
          <w:rFonts w:ascii="Times New Roman" w:hAnsi="Times New Roman" w:cs="Times New Roman"/>
          <w:lang w:val="de-DE"/>
        </w:rPr>
        <w:t> %</w:t>
      </w:r>
      <w:r w:rsidR="00A23012">
        <w:rPr>
          <w:rFonts w:ascii="Times New Roman" w:hAnsi="Times New Roman" w:cs="Times New Roman"/>
          <w:lang w:val="de-DE"/>
        </w:rPr>
        <w:t> </w:t>
      </w:r>
      <w:r w:rsidRPr="009737B5">
        <w:rPr>
          <w:rFonts w:ascii="Times New Roman" w:hAnsi="Times New Roman" w:cs="Times New Roman"/>
          <w:lang w:val="de-DE"/>
        </w:rPr>
        <w:t>KI: 25,2</w:t>
      </w:r>
      <w:r w:rsidR="00322E40" w:rsidRPr="009737B5">
        <w:rPr>
          <w:rFonts w:ascii="Times New Roman" w:hAnsi="Times New Roman" w:cs="Times New Roman"/>
          <w:lang w:val="de-DE"/>
        </w:rPr>
        <w:t> %</w:t>
      </w:r>
      <w:r w:rsidR="00BD3D7E" w:rsidRPr="009737B5">
        <w:rPr>
          <w:rFonts w:ascii="Times New Roman" w:hAnsi="Times New Roman" w:cs="Times New Roman"/>
          <w:lang w:val="de-DE"/>
        </w:rPr>
        <w:t>;</w:t>
      </w:r>
      <w:r w:rsidRPr="009737B5">
        <w:rPr>
          <w:rFonts w:ascii="Times New Roman" w:hAnsi="Times New Roman" w:cs="Times New Roman"/>
          <w:lang w:val="de-DE"/>
        </w:rPr>
        <w:t xml:space="preserve"> 47,9</w:t>
      </w:r>
      <w:r w:rsidR="00322E40" w:rsidRPr="009737B5">
        <w:rPr>
          <w:rFonts w:ascii="Times New Roman" w:hAnsi="Times New Roman" w:cs="Times New Roman"/>
          <w:lang w:val="de-DE"/>
        </w:rPr>
        <w:t> %</w:t>
      </w:r>
      <w:r w:rsidRPr="009737B5">
        <w:rPr>
          <w:rFonts w:ascii="Times New Roman" w:hAnsi="Times New Roman" w:cs="Times New Roman"/>
          <w:lang w:val="de-DE"/>
        </w:rPr>
        <w:t>) im Chemo</w:t>
      </w:r>
      <w:r w:rsidR="00BD3D7E" w:rsidRPr="009737B5">
        <w:rPr>
          <w:rFonts w:ascii="Times New Roman" w:hAnsi="Times New Roman" w:cs="Times New Roman"/>
          <w:lang w:val="de-DE"/>
        </w:rPr>
        <w:t>therapie</w:t>
      </w:r>
      <w:r w:rsidRPr="009737B5">
        <w:rPr>
          <w:rFonts w:ascii="Times New Roman" w:hAnsi="Times New Roman" w:cs="Times New Roman"/>
          <w:lang w:val="de-DE"/>
        </w:rPr>
        <w:t>-Arm und 34/63 Patienten (54,0</w:t>
      </w:r>
      <w:r w:rsidR="00322E40" w:rsidRPr="009737B5">
        <w:rPr>
          <w:rFonts w:ascii="Times New Roman" w:hAnsi="Times New Roman" w:cs="Times New Roman"/>
          <w:lang w:val="de-DE"/>
        </w:rPr>
        <w:t> %</w:t>
      </w:r>
      <w:r w:rsidRPr="009737B5">
        <w:rPr>
          <w:rFonts w:ascii="Times New Roman" w:hAnsi="Times New Roman" w:cs="Times New Roman"/>
          <w:lang w:val="de-DE"/>
        </w:rPr>
        <w:t>, 95</w:t>
      </w:r>
      <w:r w:rsidR="00322E40" w:rsidRPr="009737B5">
        <w:rPr>
          <w:rFonts w:ascii="Times New Roman" w:hAnsi="Times New Roman" w:cs="Times New Roman"/>
          <w:lang w:val="de-DE"/>
        </w:rPr>
        <w:t> %</w:t>
      </w:r>
      <w:r w:rsidR="00A23012">
        <w:rPr>
          <w:rFonts w:ascii="Times New Roman" w:hAnsi="Times New Roman" w:cs="Times New Roman"/>
          <w:lang w:val="de-DE"/>
        </w:rPr>
        <w:t> </w:t>
      </w:r>
      <w:r w:rsidRPr="009737B5">
        <w:rPr>
          <w:rFonts w:ascii="Times New Roman" w:hAnsi="Times New Roman" w:cs="Times New Roman"/>
          <w:lang w:val="de-DE"/>
        </w:rPr>
        <w:t>KI: 40,9</w:t>
      </w:r>
      <w:r w:rsidR="00322E40" w:rsidRPr="009737B5">
        <w:rPr>
          <w:rFonts w:ascii="Times New Roman" w:hAnsi="Times New Roman" w:cs="Times New Roman"/>
          <w:lang w:val="de-DE"/>
        </w:rPr>
        <w:t> %</w:t>
      </w:r>
      <w:r w:rsidR="00BD3D7E" w:rsidRPr="009737B5">
        <w:rPr>
          <w:rFonts w:ascii="Times New Roman" w:hAnsi="Times New Roman" w:cs="Times New Roman"/>
          <w:lang w:val="de-DE"/>
        </w:rPr>
        <w:t>;</w:t>
      </w:r>
      <w:r w:rsidRPr="009737B5">
        <w:rPr>
          <w:rFonts w:ascii="Times New Roman" w:hAnsi="Times New Roman" w:cs="Times New Roman"/>
          <w:lang w:val="de-DE"/>
        </w:rPr>
        <w:t xml:space="preserve"> 66,6</w:t>
      </w:r>
      <w:r w:rsidR="00322E40" w:rsidRPr="009737B5">
        <w:rPr>
          <w:rFonts w:ascii="Times New Roman" w:hAnsi="Times New Roman" w:cs="Times New Roman"/>
          <w:lang w:val="de-DE"/>
        </w:rPr>
        <w:t> %</w:t>
      </w:r>
      <w:r w:rsidRPr="009737B5">
        <w:rPr>
          <w:rFonts w:ascii="Times New Roman" w:hAnsi="Times New Roman" w:cs="Times New Roman"/>
          <w:lang w:val="de-DE"/>
        </w:rPr>
        <w:t>) im Bev</w:t>
      </w:r>
      <w:r w:rsidR="00BD3D7E" w:rsidRPr="009737B5">
        <w:rPr>
          <w:rFonts w:ascii="Times New Roman" w:hAnsi="Times New Roman" w:cs="Times New Roman"/>
          <w:lang w:val="de-DE"/>
        </w:rPr>
        <w:t>acizumab</w:t>
      </w:r>
      <w:r w:rsidRPr="009737B5">
        <w:rPr>
          <w:rFonts w:ascii="Times New Roman" w:hAnsi="Times New Roman" w:cs="Times New Roman"/>
          <w:lang w:val="de-DE"/>
        </w:rPr>
        <w:t>+Chemo</w:t>
      </w:r>
      <w:r w:rsidR="00BD3D7E" w:rsidRPr="009737B5">
        <w:rPr>
          <w:rFonts w:ascii="Times New Roman" w:hAnsi="Times New Roman" w:cs="Times New Roman"/>
          <w:lang w:val="de-DE"/>
        </w:rPr>
        <w:t>therapie</w:t>
      </w:r>
      <w:r w:rsidRPr="009737B5">
        <w:rPr>
          <w:rFonts w:ascii="Times New Roman" w:hAnsi="Times New Roman" w:cs="Times New Roman"/>
          <w:lang w:val="de-DE"/>
        </w:rPr>
        <w:t xml:space="preserve">-Arm. </w:t>
      </w:r>
      <w:r w:rsidR="001E64E5">
        <w:rPr>
          <w:rFonts w:ascii="Times New Roman" w:hAnsi="Times New Roman" w:cs="Times New Roman"/>
          <w:lang w:val="de-DE"/>
        </w:rPr>
        <w:t>Die finalen Analysen des Gesamtüberlebens (OS) zeigten in dieser Patientenpopulation keinen signifikanten klinischen Nutzen einer zusätzlichen Gabe von Bevacizumab zur Chemotherapie.</w:t>
      </w:r>
    </w:p>
    <w:p w14:paraId="36A81430" w14:textId="77777777" w:rsidR="00010E8C" w:rsidRPr="009737B5" w:rsidRDefault="00010E8C" w:rsidP="005F4D08">
      <w:pPr>
        <w:suppressAutoHyphens/>
        <w:spacing w:after="0" w:line="240" w:lineRule="auto"/>
        <w:rPr>
          <w:rFonts w:ascii="Times New Roman" w:hAnsi="Times New Roman" w:cs="Times New Roman"/>
          <w:lang w:val="de-DE"/>
        </w:rPr>
      </w:pPr>
    </w:p>
    <w:p w14:paraId="691B4370" w14:textId="25F37EE5"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der klinischen Studie</w:t>
      </w:r>
      <w:r w:rsidR="00A23012">
        <w:rPr>
          <w:rFonts w:ascii="Times New Roman" w:hAnsi="Times New Roman" w:cs="Times New Roman"/>
          <w:lang w:val="de-DE"/>
        </w:rPr>
        <w:t> </w:t>
      </w:r>
      <w:r w:rsidRPr="009737B5">
        <w:rPr>
          <w:rFonts w:ascii="Times New Roman" w:hAnsi="Times New Roman" w:cs="Times New Roman"/>
          <w:lang w:val="de-DE"/>
        </w:rPr>
        <w:t xml:space="preserve">BO20924 zeigte die Zugabe von </w:t>
      </w:r>
      <w:r w:rsidR="00E66F51" w:rsidRPr="009737B5">
        <w:rPr>
          <w:rFonts w:ascii="Times New Roman" w:hAnsi="Times New Roman" w:cs="Times New Roman"/>
          <w:lang w:val="de-DE"/>
        </w:rPr>
        <w:t>Bevacizumab</w:t>
      </w:r>
      <w:r w:rsidRPr="009737B5">
        <w:rPr>
          <w:rFonts w:ascii="Times New Roman" w:hAnsi="Times New Roman" w:cs="Times New Roman"/>
          <w:lang w:val="de-DE"/>
        </w:rPr>
        <w:t xml:space="preserve"> zur Standardbehandlung bei 71 auswertbaren pädiatrischen Patienten (im Alter von 6</w:t>
      </w:r>
      <w:r w:rsidR="00A23012">
        <w:rPr>
          <w:rFonts w:ascii="Times New Roman" w:hAnsi="Times New Roman" w:cs="Times New Roman"/>
          <w:lang w:val="de-DE"/>
        </w:rPr>
        <w:t> </w:t>
      </w:r>
      <w:r w:rsidRPr="009737B5">
        <w:rPr>
          <w:rFonts w:ascii="Times New Roman" w:hAnsi="Times New Roman" w:cs="Times New Roman"/>
          <w:lang w:val="de-DE"/>
        </w:rPr>
        <w:t>Monaten bis unter 18</w:t>
      </w:r>
      <w:r w:rsidR="0091668D" w:rsidRPr="009737B5">
        <w:rPr>
          <w:rFonts w:ascii="Times New Roman" w:hAnsi="Times New Roman" w:cs="Times New Roman"/>
          <w:lang w:val="de-DE"/>
        </w:rPr>
        <w:t> </w:t>
      </w:r>
      <w:r w:rsidRPr="009737B5">
        <w:rPr>
          <w:rFonts w:ascii="Times New Roman" w:hAnsi="Times New Roman" w:cs="Times New Roman"/>
          <w:lang w:val="de-DE"/>
        </w:rPr>
        <w:t>Jahren) mit metastasiertem Rhabdomyosarkom und Nicht-Rhabdomyosarkom</w:t>
      </w:r>
      <w:r w:rsidR="00BD3D7E" w:rsidRPr="009737B5">
        <w:rPr>
          <w:rFonts w:ascii="Times New Roman" w:hAnsi="Times New Roman" w:cs="Times New Roman"/>
          <w:lang w:val="de-DE"/>
        </w:rPr>
        <w:t>-</w:t>
      </w:r>
      <w:r w:rsidRPr="009737B5">
        <w:rPr>
          <w:rFonts w:ascii="Times New Roman" w:hAnsi="Times New Roman" w:cs="Times New Roman"/>
          <w:lang w:val="de-DE"/>
        </w:rPr>
        <w:t>Weichteilsarkom keinen klinischen Nutzen (für Informationen zur pädiatrischen Anwendung siehe Abschnitt</w:t>
      </w:r>
      <w:r w:rsidR="00A23012">
        <w:rPr>
          <w:rFonts w:ascii="Times New Roman" w:hAnsi="Times New Roman" w:cs="Times New Roman"/>
          <w:lang w:val="de-DE"/>
        </w:rPr>
        <w:t> </w:t>
      </w:r>
      <w:r w:rsidRPr="009737B5">
        <w:rPr>
          <w:rFonts w:ascii="Times New Roman" w:hAnsi="Times New Roman" w:cs="Times New Roman"/>
          <w:lang w:val="de-DE"/>
        </w:rPr>
        <w:t>4.2).</w:t>
      </w:r>
    </w:p>
    <w:p w14:paraId="55F6FCE6" w14:textId="77777777" w:rsidR="00010E8C" w:rsidRPr="009737B5" w:rsidRDefault="00010E8C" w:rsidP="005F4D08">
      <w:pPr>
        <w:suppressAutoHyphens/>
        <w:spacing w:after="0" w:line="240" w:lineRule="auto"/>
        <w:rPr>
          <w:rFonts w:ascii="Times New Roman" w:hAnsi="Times New Roman" w:cs="Times New Roman"/>
          <w:lang w:val="de-DE"/>
        </w:rPr>
      </w:pPr>
    </w:p>
    <w:p w14:paraId="7F50DBE4" w14:textId="27DE3C6A"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Häufigkeit von </w:t>
      </w:r>
      <w:r w:rsidR="0047558A">
        <w:rPr>
          <w:rFonts w:ascii="Times New Roman" w:hAnsi="Times New Roman" w:cs="Times New Roman"/>
          <w:lang w:val="de-DE"/>
        </w:rPr>
        <w:t>Nebenwirkungen</w:t>
      </w:r>
      <w:r w:rsidRPr="009737B5">
        <w:rPr>
          <w:rFonts w:ascii="Times New Roman" w:hAnsi="Times New Roman" w:cs="Times New Roman"/>
          <w:lang w:val="de-DE"/>
        </w:rPr>
        <w:t xml:space="preserve">, einschließlich </w:t>
      </w:r>
      <w:r w:rsidR="0047558A">
        <w:rPr>
          <w:rFonts w:ascii="Times New Roman" w:hAnsi="Times New Roman" w:cs="Times New Roman"/>
          <w:lang w:val="de-DE"/>
        </w:rPr>
        <w:t>Nebenwirkungen</w:t>
      </w:r>
      <w:r w:rsidRPr="009737B5">
        <w:rPr>
          <w:rFonts w:ascii="Times New Roman" w:hAnsi="Times New Roman" w:cs="Times New Roman"/>
          <w:lang w:val="de-DE"/>
        </w:rPr>
        <w:t xml:space="preserve"> und schwerwiegender </w:t>
      </w:r>
      <w:r w:rsidR="0047558A">
        <w:rPr>
          <w:rFonts w:ascii="Times New Roman" w:hAnsi="Times New Roman" w:cs="Times New Roman"/>
          <w:lang w:val="de-DE"/>
        </w:rPr>
        <w:t>Nebenwirkungen</w:t>
      </w:r>
      <w:r w:rsidRPr="009737B5">
        <w:rPr>
          <w:rFonts w:ascii="Times New Roman" w:hAnsi="Times New Roman" w:cs="Times New Roman"/>
          <w:lang w:val="de-DE"/>
        </w:rPr>
        <w:t xml:space="preserve"> von Grad </w:t>
      </w:r>
      <w:r w:rsidR="00E32D5C" w:rsidRPr="009737B5">
        <w:rPr>
          <w:rFonts w:ascii="Times New Roman" w:hAnsi="Times New Roman" w:cs="Times New Roman"/>
          <w:lang w:val="de-DE"/>
        </w:rPr>
        <w:t>≥ </w:t>
      </w:r>
      <w:r w:rsidRPr="009737B5">
        <w:rPr>
          <w:rFonts w:ascii="Times New Roman" w:hAnsi="Times New Roman" w:cs="Times New Roman"/>
          <w:lang w:val="de-DE"/>
        </w:rPr>
        <w:t>3, war in den beiden Behandlungsarmen ähnlich. In keinem der Behandlungsarme führten unerwünschte Ereignisse zum Tod; alle Todesfälle waren auf das Fortschreiten der Erkrankung zurückzuführen. Die Zugabe von Bevacizumab zur multimodalen Standardtherapie schien in dieser pädiatrischen Population vertragen worden zu sein.</w:t>
      </w:r>
    </w:p>
    <w:p w14:paraId="5C10BFF3" w14:textId="77777777" w:rsidR="00010E8C" w:rsidRPr="009737B5" w:rsidRDefault="00010E8C" w:rsidP="005F4D08">
      <w:pPr>
        <w:suppressAutoHyphens/>
        <w:spacing w:after="0" w:line="240" w:lineRule="auto"/>
        <w:rPr>
          <w:rFonts w:ascii="Times New Roman" w:hAnsi="Times New Roman" w:cs="Times New Roman"/>
          <w:lang w:val="de-DE"/>
        </w:rPr>
      </w:pPr>
    </w:p>
    <w:p w14:paraId="09A0AC84" w14:textId="77777777" w:rsidR="00010E8C" w:rsidRPr="009737B5" w:rsidRDefault="00EF3BAF" w:rsidP="008A7D7B">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lastRenderedPageBreak/>
        <w:t>5.2</w:t>
      </w:r>
      <w:r w:rsidR="00010E8C" w:rsidRPr="009737B5">
        <w:rPr>
          <w:rFonts w:ascii="Times New Roman" w:hAnsi="Times New Roman" w:cs="Times New Roman"/>
          <w:b/>
          <w:lang w:val="de-DE"/>
        </w:rPr>
        <w:tab/>
        <w:t>Pharmakokinetische Eigenschaften</w:t>
      </w:r>
    </w:p>
    <w:p w14:paraId="7406F242"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4988B18E" w14:textId="0957CF3E"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pharmakokinetischen Daten für Bevacizumab stammen aus zehn klinischen Studien bei Patienten mit soliden Tumoren. In sämtlichen klinischen Prüfungen wurde Bevacizumab als i.v. Infusion appliziert. Die Infusionsgeschwindigkeit richtete sich nach der Verträglichkeit, mit einer Dauer von 90</w:t>
      </w:r>
      <w:r w:rsidR="00A23012">
        <w:rPr>
          <w:rFonts w:ascii="Times New Roman" w:hAnsi="Times New Roman" w:cs="Times New Roman"/>
          <w:lang w:val="de-DE"/>
        </w:rPr>
        <w:t> </w:t>
      </w:r>
      <w:r w:rsidRPr="009737B5">
        <w:rPr>
          <w:rFonts w:ascii="Times New Roman" w:hAnsi="Times New Roman" w:cs="Times New Roman"/>
          <w:lang w:val="de-DE"/>
        </w:rPr>
        <w:t>Minuten für die erste Infusion. Die Pharmakokinetik von Bevacizumab war in einem Dosisbereich von 1</w:t>
      </w:r>
      <w:r w:rsidR="00AB26B9" w:rsidRPr="009737B5">
        <w:rPr>
          <w:rFonts w:ascii="Times New Roman" w:hAnsi="Times New Roman" w:cs="Times New Roman"/>
          <w:lang w:val="de-DE"/>
        </w:rPr>
        <w:t> mg</w:t>
      </w:r>
      <w:r w:rsidRPr="009737B5">
        <w:rPr>
          <w:rFonts w:ascii="Times New Roman" w:hAnsi="Times New Roman" w:cs="Times New Roman"/>
          <w:lang w:val="de-DE"/>
        </w:rPr>
        <w:t>/kg bis 10</w:t>
      </w:r>
      <w:r w:rsidR="00AB26B9" w:rsidRPr="009737B5">
        <w:rPr>
          <w:rFonts w:ascii="Times New Roman" w:hAnsi="Times New Roman" w:cs="Times New Roman"/>
          <w:lang w:val="de-DE"/>
        </w:rPr>
        <w:t> mg</w:t>
      </w:r>
      <w:r w:rsidRPr="009737B5">
        <w:rPr>
          <w:rFonts w:ascii="Times New Roman" w:hAnsi="Times New Roman" w:cs="Times New Roman"/>
          <w:lang w:val="de-DE"/>
        </w:rPr>
        <w:t>/kg linear.</w:t>
      </w:r>
    </w:p>
    <w:p w14:paraId="1C107DDD" w14:textId="77777777" w:rsidR="00010E8C" w:rsidRPr="009737B5" w:rsidRDefault="00010E8C" w:rsidP="005F4D08">
      <w:pPr>
        <w:suppressAutoHyphens/>
        <w:spacing w:after="0" w:line="240" w:lineRule="auto"/>
        <w:rPr>
          <w:rFonts w:ascii="Times New Roman" w:hAnsi="Times New Roman" w:cs="Times New Roman"/>
          <w:lang w:val="de-DE"/>
        </w:rPr>
      </w:pPr>
    </w:p>
    <w:p w14:paraId="3FB942A1" w14:textId="77777777" w:rsidR="00010E8C" w:rsidRPr="009737B5" w:rsidRDefault="00010E8C" w:rsidP="008A7D7B">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Verteilung</w:t>
      </w:r>
    </w:p>
    <w:p w14:paraId="413DEEEF" w14:textId="77777777" w:rsidR="008A7D7B" w:rsidRPr="009737B5" w:rsidRDefault="008A7D7B" w:rsidP="008A7D7B">
      <w:pPr>
        <w:keepNext/>
        <w:suppressAutoHyphens/>
        <w:spacing w:after="0" w:line="240" w:lineRule="auto"/>
        <w:rPr>
          <w:rFonts w:ascii="Times New Roman" w:hAnsi="Times New Roman" w:cs="Times New Roman"/>
          <w:lang w:val="de-DE"/>
        </w:rPr>
      </w:pPr>
    </w:p>
    <w:p w14:paraId="00041581" w14:textId="08B62BE8" w:rsidR="00010E8C" w:rsidRPr="009737B5" w:rsidRDefault="00010E8C" w:rsidP="00AB26B9">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Das Volumen des zentralen Kompartiments (V</w:t>
      </w:r>
      <w:r w:rsidRPr="009737B5">
        <w:rPr>
          <w:rFonts w:ascii="Times New Roman" w:hAnsi="Times New Roman" w:cs="Times New Roman"/>
          <w:vertAlign w:val="subscript"/>
          <w:lang w:val="de-DE"/>
        </w:rPr>
        <w:t>c</w:t>
      </w:r>
      <w:r w:rsidRPr="009737B5">
        <w:rPr>
          <w:rFonts w:ascii="Times New Roman" w:hAnsi="Times New Roman" w:cs="Times New Roman"/>
          <w:lang w:val="de-DE"/>
        </w:rPr>
        <w:t>) betrug üblicherweise bei weiblichen Patienten</w:t>
      </w:r>
      <w:r w:rsidR="00EF3BAF" w:rsidRPr="009737B5">
        <w:rPr>
          <w:rFonts w:ascii="Times New Roman" w:hAnsi="Times New Roman" w:cs="Times New Roman"/>
          <w:lang w:val="de-DE"/>
        </w:rPr>
        <w:t xml:space="preserve"> </w:t>
      </w:r>
      <w:r w:rsidR="00AB26B9" w:rsidRPr="009737B5">
        <w:rPr>
          <w:rFonts w:ascii="Times New Roman" w:hAnsi="Times New Roman" w:cs="Times New Roman"/>
          <w:lang w:val="de-DE"/>
        </w:rPr>
        <w:t>2,73 </w:t>
      </w:r>
      <w:r w:rsidRPr="009737B5">
        <w:rPr>
          <w:rFonts w:ascii="Times New Roman" w:hAnsi="Times New Roman" w:cs="Times New Roman"/>
          <w:lang w:val="de-DE"/>
        </w:rPr>
        <w:t>Liter und bei männlichen Patienten 3,28</w:t>
      </w:r>
      <w:r w:rsidR="00AB26B9" w:rsidRPr="009737B5">
        <w:rPr>
          <w:rFonts w:ascii="Times New Roman" w:hAnsi="Times New Roman" w:cs="Times New Roman"/>
          <w:lang w:val="de-DE"/>
        </w:rPr>
        <w:t> </w:t>
      </w:r>
      <w:r w:rsidRPr="009737B5">
        <w:rPr>
          <w:rFonts w:ascii="Times New Roman" w:hAnsi="Times New Roman" w:cs="Times New Roman"/>
          <w:lang w:val="de-DE"/>
        </w:rPr>
        <w:t>Liter. Diese Werte befinden sich in dem Bereich, der für Immunglobuline G und andere monoklonale Antikörper beschrieben wurde. Das Volumen des peripheren Kompartiments (V</w:t>
      </w:r>
      <w:r w:rsidR="006B064A" w:rsidRPr="009737B5">
        <w:rPr>
          <w:rFonts w:ascii="Times New Roman" w:hAnsi="Times New Roman" w:cs="Times New Roman"/>
          <w:vertAlign w:val="subscript"/>
          <w:lang w:val="de-DE"/>
        </w:rPr>
        <w:t>p</w:t>
      </w:r>
      <w:r w:rsidRPr="009737B5">
        <w:rPr>
          <w:rFonts w:ascii="Times New Roman" w:hAnsi="Times New Roman" w:cs="Times New Roman"/>
          <w:lang w:val="de-DE"/>
        </w:rPr>
        <w:t>) betrug bei Anwendung von Bevacizumab in Kombination mit zytostatischen Wirkstoffen üblicherweise bei weiblichen Patienten 1,69</w:t>
      </w:r>
      <w:r w:rsidR="00BE6C9D" w:rsidRPr="009737B5">
        <w:rPr>
          <w:rFonts w:ascii="Times New Roman" w:hAnsi="Times New Roman" w:cs="Times New Roman"/>
          <w:lang w:val="de-DE"/>
        </w:rPr>
        <w:t> </w:t>
      </w:r>
      <w:r w:rsidRPr="009737B5">
        <w:rPr>
          <w:rFonts w:ascii="Times New Roman" w:hAnsi="Times New Roman" w:cs="Times New Roman"/>
          <w:lang w:val="de-DE"/>
        </w:rPr>
        <w:t>Liter und bei männlichen Patienten 2,35</w:t>
      </w:r>
      <w:r w:rsidR="00AB26B9" w:rsidRPr="009737B5">
        <w:rPr>
          <w:rFonts w:ascii="Times New Roman" w:hAnsi="Times New Roman" w:cs="Times New Roman"/>
          <w:lang w:val="de-DE"/>
        </w:rPr>
        <w:t> </w:t>
      </w:r>
      <w:r w:rsidRPr="009737B5">
        <w:rPr>
          <w:rFonts w:ascii="Times New Roman" w:hAnsi="Times New Roman" w:cs="Times New Roman"/>
          <w:lang w:val="de-DE"/>
        </w:rPr>
        <w:t>Liter. Nach der Korrektur entsprechend dem Körpergewicht hatten die männlichen Patienten einen höheren V</w:t>
      </w:r>
      <w:r w:rsidRPr="009737B5">
        <w:rPr>
          <w:rFonts w:ascii="Times New Roman" w:hAnsi="Times New Roman" w:cs="Times New Roman"/>
          <w:vertAlign w:val="subscript"/>
          <w:lang w:val="de-DE"/>
        </w:rPr>
        <w:t>c</w:t>
      </w:r>
      <w:r w:rsidRPr="009737B5">
        <w:rPr>
          <w:rFonts w:ascii="Times New Roman" w:hAnsi="Times New Roman" w:cs="Times New Roman"/>
          <w:lang w:val="de-DE"/>
        </w:rPr>
        <w:t>-Wert (+</w:t>
      </w:r>
      <w:r w:rsidR="00A23012">
        <w:rPr>
          <w:rFonts w:ascii="Times New Roman" w:hAnsi="Times New Roman" w:cs="Times New Roman"/>
          <w:lang w:val="de-DE"/>
        </w:rPr>
        <w:t> </w:t>
      </w:r>
      <w:r w:rsidRPr="009737B5">
        <w:rPr>
          <w:rFonts w:ascii="Times New Roman" w:hAnsi="Times New Roman" w:cs="Times New Roman"/>
          <w:lang w:val="de-DE"/>
        </w:rPr>
        <w:t>20</w:t>
      </w:r>
      <w:r w:rsidR="00322E40" w:rsidRPr="009737B5">
        <w:rPr>
          <w:rFonts w:ascii="Times New Roman" w:hAnsi="Times New Roman" w:cs="Times New Roman"/>
          <w:lang w:val="de-DE"/>
        </w:rPr>
        <w:t> %</w:t>
      </w:r>
      <w:r w:rsidRPr="009737B5">
        <w:rPr>
          <w:rFonts w:ascii="Times New Roman" w:hAnsi="Times New Roman" w:cs="Times New Roman"/>
          <w:lang w:val="de-DE"/>
        </w:rPr>
        <w:t>) als die Frauen.</w:t>
      </w:r>
    </w:p>
    <w:p w14:paraId="37B99EB3" w14:textId="77777777" w:rsidR="00010E8C" w:rsidRPr="009737B5" w:rsidRDefault="00010E8C" w:rsidP="005F4D08">
      <w:pPr>
        <w:suppressAutoHyphens/>
        <w:spacing w:after="0" w:line="240" w:lineRule="auto"/>
        <w:rPr>
          <w:rFonts w:ascii="Times New Roman" w:hAnsi="Times New Roman" w:cs="Times New Roman"/>
          <w:lang w:val="de-DE"/>
        </w:rPr>
      </w:pPr>
    </w:p>
    <w:p w14:paraId="670A12A4" w14:textId="77777777" w:rsidR="00010E8C" w:rsidRPr="009737B5" w:rsidRDefault="00010E8C" w:rsidP="008A7D7B">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Biotransformation</w:t>
      </w:r>
    </w:p>
    <w:p w14:paraId="087A0E93" w14:textId="77777777" w:rsidR="008A7D7B" w:rsidRPr="009737B5" w:rsidRDefault="008A7D7B" w:rsidP="008A7D7B">
      <w:pPr>
        <w:keepNext/>
        <w:suppressAutoHyphens/>
        <w:spacing w:after="0" w:line="240" w:lineRule="auto"/>
        <w:rPr>
          <w:rFonts w:ascii="Times New Roman" w:hAnsi="Times New Roman" w:cs="Times New Roman"/>
          <w:lang w:val="de-DE"/>
        </w:rPr>
      </w:pPr>
    </w:p>
    <w:p w14:paraId="4D8DCD95" w14:textId="2D8B33DD"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Auswertung des Metabolismus von Bevacizumab bei Kaninchen nach einer i.v. Einmaldosis von</w:t>
      </w:r>
      <w:r w:rsidR="00EF3BAF" w:rsidRPr="009737B5">
        <w:rPr>
          <w:rFonts w:ascii="Times New Roman" w:hAnsi="Times New Roman" w:cs="Times New Roman"/>
          <w:lang w:val="de-DE"/>
        </w:rPr>
        <w:t xml:space="preserve"> </w:t>
      </w:r>
      <w:r w:rsidRPr="009737B5">
        <w:rPr>
          <w:rFonts w:ascii="Times New Roman" w:hAnsi="Times New Roman" w:cs="Times New Roman"/>
          <w:vertAlign w:val="superscript"/>
          <w:lang w:val="de-DE"/>
        </w:rPr>
        <w:t>125</w:t>
      </w:r>
      <w:r w:rsidRPr="009737B5">
        <w:rPr>
          <w:rFonts w:ascii="Times New Roman" w:hAnsi="Times New Roman" w:cs="Times New Roman"/>
          <w:lang w:val="de-DE"/>
        </w:rPr>
        <w:t>I-Bevacizumab weist darauf hin, dass dessen Stoffwechselprofil dem eines nativen, nicht</w:t>
      </w:r>
      <w:r w:rsidR="00BD3D7E" w:rsidRPr="009737B5">
        <w:rPr>
          <w:rFonts w:ascii="Times New Roman" w:hAnsi="Times New Roman" w:cs="Times New Roman"/>
          <w:lang w:val="de-DE"/>
        </w:rPr>
        <w:t>-</w:t>
      </w:r>
      <w:r w:rsidRPr="009737B5">
        <w:rPr>
          <w:rFonts w:ascii="Times New Roman" w:hAnsi="Times New Roman" w:cs="Times New Roman"/>
          <w:lang w:val="de-DE"/>
        </w:rPr>
        <w:t>VEGF</w:t>
      </w:r>
      <w:r w:rsidR="004E71FE" w:rsidRPr="009737B5">
        <w:rPr>
          <w:rFonts w:ascii="Times New Roman" w:hAnsi="Times New Roman" w:cs="Times New Roman"/>
          <w:lang w:val="de-DE"/>
        </w:rPr>
        <w:t>-</w:t>
      </w:r>
      <w:r w:rsidRPr="009737B5">
        <w:rPr>
          <w:rFonts w:ascii="Times New Roman" w:hAnsi="Times New Roman" w:cs="Times New Roman"/>
          <w:lang w:val="de-DE"/>
        </w:rPr>
        <w:t>bindenden IgG-Moleküls entspricht. Bevacizumab wird ähnlich wie endogenes IgG metabolisiert und eliminiert, d.</w:t>
      </w:r>
      <w:r w:rsidR="00CA2B95">
        <w:rPr>
          <w:rFonts w:ascii="Times New Roman" w:hAnsi="Times New Roman" w:cs="Times New Roman"/>
          <w:lang w:val="de-DE"/>
        </w:rPr>
        <w:t> </w:t>
      </w:r>
      <w:r w:rsidRPr="009737B5">
        <w:rPr>
          <w:rFonts w:ascii="Times New Roman" w:hAnsi="Times New Roman" w:cs="Times New Roman"/>
          <w:lang w:val="de-DE"/>
        </w:rPr>
        <w:t>h. der Abbau erfolgt hauptsächlich proteolytisch überall im Körper, einschließlich der Endothelzellen, und die Elimination beruht nicht primär auf den Nieren und der Leber. Die Bindung des IgG an den FcRn-Rezeptor führt zu einem Schutz vor zellulärer Metabolisierung und zu einer langen terminalen Halbwertszeit.</w:t>
      </w:r>
    </w:p>
    <w:p w14:paraId="54149F19" w14:textId="77777777" w:rsidR="00010E8C" w:rsidRPr="009737B5" w:rsidRDefault="00010E8C" w:rsidP="005F4D08">
      <w:pPr>
        <w:suppressAutoHyphens/>
        <w:spacing w:after="0" w:line="240" w:lineRule="auto"/>
        <w:rPr>
          <w:rFonts w:ascii="Times New Roman" w:hAnsi="Times New Roman" w:cs="Times New Roman"/>
          <w:lang w:val="de-DE"/>
        </w:rPr>
      </w:pPr>
    </w:p>
    <w:p w14:paraId="36287759" w14:textId="77777777" w:rsidR="00010E8C" w:rsidRPr="009737B5" w:rsidRDefault="00010E8C" w:rsidP="008A7D7B">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Elimination</w:t>
      </w:r>
    </w:p>
    <w:p w14:paraId="49774F13" w14:textId="77777777" w:rsidR="008A7D7B" w:rsidRPr="009737B5" w:rsidRDefault="008A7D7B" w:rsidP="008A7D7B">
      <w:pPr>
        <w:keepNext/>
        <w:suppressAutoHyphens/>
        <w:spacing w:after="0" w:line="240" w:lineRule="auto"/>
        <w:rPr>
          <w:rFonts w:ascii="Times New Roman" w:hAnsi="Times New Roman" w:cs="Times New Roman"/>
          <w:lang w:val="de-DE"/>
        </w:rPr>
      </w:pPr>
    </w:p>
    <w:p w14:paraId="01215928" w14:textId="5ABEE2D0"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Clearance beträgt bei weiblichen Patienten durchschnittlich 0,188</w:t>
      </w:r>
      <w:r w:rsidR="00AB26B9" w:rsidRPr="009737B5">
        <w:rPr>
          <w:rFonts w:ascii="Times New Roman" w:hAnsi="Times New Roman" w:cs="Times New Roman"/>
          <w:lang w:val="de-DE"/>
        </w:rPr>
        <w:t> </w:t>
      </w:r>
      <w:r w:rsidRPr="009737B5">
        <w:rPr>
          <w:rFonts w:ascii="Times New Roman" w:hAnsi="Times New Roman" w:cs="Times New Roman"/>
          <w:lang w:val="de-DE"/>
        </w:rPr>
        <w:t>Liter/Tag und bei männlichen Patienten durchschnittlich 0,220</w:t>
      </w:r>
      <w:r w:rsidR="00AB26B9" w:rsidRPr="009737B5">
        <w:rPr>
          <w:rFonts w:ascii="Times New Roman" w:hAnsi="Times New Roman" w:cs="Times New Roman"/>
          <w:lang w:val="de-DE"/>
        </w:rPr>
        <w:t> </w:t>
      </w:r>
      <w:r w:rsidRPr="009737B5">
        <w:rPr>
          <w:rFonts w:ascii="Times New Roman" w:hAnsi="Times New Roman" w:cs="Times New Roman"/>
          <w:lang w:val="de-DE"/>
        </w:rPr>
        <w:t>Liter/Tag. Nach Korrektur entsprechend dem Körpergewicht hatten die männlichen Patienten eine höhere Bevacizumab-Clearance (+</w:t>
      </w:r>
      <w:r w:rsidR="00A23012">
        <w:rPr>
          <w:rFonts w:ascii="Times New Roman" w:hAnsi="Times New Roman" w:cs="Times New Roman"/>
          <w:lang w:val="de-DE"/>
        </w:rPr>
        <w:t> </w:t>
      </w:r>
      <w:r w:rsidRPr="009737B5">
        <w:rPr>
          <w:rFonts w:ascii="Times New Roman" w:hAnsi="Times New Roman" w:cs="Times New Roman"/>
          <w:lang w:val="de-DE"/>
        </w:rPr>
        <w:t>17</w:t>
      </w:r>
      <w:r w:rsidR="00322E40" w:rsidRPr="009737B5">
        <w:rPr>
          <w:rFonts w:ascii="Times New Roman" w:hAnsi="Times New Roman" w:cs="Times New Roman"/>
          <w:lang w:val="de-DE"/>
        </w:rPr>
        <w:t> %</w:t>
      </w:r>
      <w:r w:rsidRPr="009737B5">
        <w:rPr>
          <w:rFonts w:ascii="Times New Roman" w:hAnsi="Times New Roman" w:cs="Times New Roman"/>
          <w:lang w:val="de-DE"/>
        </w:rPr>
        <w:t>) als die Frauen. Nach dem Zwei-Kompartiment-Modell beträgt die Eliminationshalbwertszeit für weibliche Patienten üblicherweise 18</w:t>
      </w:r>
      <w:r w:rsidR="00A23012">
        <w:rPr>
          <w:rFonts w:ascii="Times New Roman" w:hAnsi="Times New Roman" w:cs="Times New Roman"/>
          <w:lang w:val="de-DE"/>
        </w:rPr>
        <w:t> </w:t>
      </w:r>
      <w:r w:rsidRPr="009737B5">
        <w:rPr>
          <w:rFonts w:ascii="Times New Roman" w:hAnsi="Times New Roman" w:cs="Times New Roman"/>
          <w:lang w:val="de-DE"/>
        </w:rPr>
        <w:t>Tage und für männliche Patienten 20</w:t>
      </w:r>
      <w:r w:rsidR="00A23012">
        <w:rPr>
          <w:rFonts w:ascii="Times New Roman" w:hAnsi="Times New Roman" w:cs="Times New Roman"/>
          <w:lang w:val="de-DE"/>
        </w:rPr>
        <w:t> </w:t>
      </w:r>
      <w:r w:rsidRPr="009737B5">
        <w:rPr>
          <w:rFonts w:ascii="Times New Roman" w:hAnsi="Times New Roman" w:cs="Times New Roman"/>
          <w:lang w:val="de-DE"/>
        </w:rPr>
        <w:t>Tage.</w:t>
      </w:r>
    </w:p>
    <w:p w14:paraId="7766116B" w14:textId="77777777" w:rsidR="00010E8C" w:rsidRPr="009737B5" w:rsidRDefault="00010E8C" w:rsidP="005F4D08">
      <w:pPr>
        <w:suppressAutoHyphens/>
        <w:spacing w:after="0" w:line="240" w:lineRule="auto"/>
        <w:rPr>
          <w:rFonts w:ascii="Times New Roman" w:hAnsi="Times New Roman" w:cs="Times New Roman"/>
          <w:lang w:val="de-DE"/>
        </w:rPr>
      </w:pPr>
    </w:p>
    <w:p w14:paraId="21B7376D"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Ein niedriger Albuminwert und eine hohe Tumorlast sind grundsätzlich Indikatoren für die Schwere der Erkrankung. Die Bevacizumab-Clearance war bei Patienten mit niedrigen Serumalbuminwerten um 30</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schneller und bei Patienten mit höherer Tumorlast um 7</w:t>
      </w:r>
      <w:r w:rsidR="00322E40" w:rsidRPr="009737B5">
        <w:rPr>
          <w:rFonts w:ascii="Times New Roman" w:hAnsi="Times New Roman" w:cs="Times New Roman"/>
          <w:lang w:val="de-DE"/>
        </w:rPr>
        <w:t> %</w:t>
      </w:r>
      <w:r w:rsidRPr="009737B5">
        <w:rPr>
          <w:rFonts w:ascii="Times New Roman" w:hAnsi="Times New Roman" w:cs="Times New Roman"/>
          <w:lang w:val="de-DE"/>
        </w:rPr>
        <w:t xml:space="preserve"> schneller als bei einem durchschnittlichen Patienten mit medianen Werten für Albumin und Tumorlast.</w:t>
      </w:r>
    </w:p>
    <w:p w14:paraId="0CD611DD" w14:textId="77777777" w:rsidR="00010E8C" w:rsidRPr="009737B5" w:rsidRDefault="00010E8C" w:rsidP="005F4D08">
      <w:pPr>
        <w:suppressAutoHyphens/>
        <w:spacing w:after="0" w:line="240" w:lineRule="auto"/>
        <w:rPr>
          <w:rFonts w:ascii="Times New Roman" w:hAnsi="Times New Roman" w:cs="Times New Roman"/>
          <w:lang w:val="de-DE"/>
        </w:rPr>
      </w:pPr>
    </w:p>
    <w:p w14:paraId="0B7806C8" w14:textId="77777777" w:rsidR="00010E8C" w:rsidRPr="009737B5" w:rsidRDefault="00010E8C" w:rsidP="008A7D7B">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Pharmakokinetik bei speziellen Gruppen</w:t>
      </w:r>
    </w:p>
    <w:p w14:paraId="16A8E2AD" w14:textId="77777777" w:rsidR="008A7D7B" w:rsidRPr="009737B5" w:rsidRDefault="008A7D7B" w:rsidP="008A7D7B">
      <w:pPr>
        <w:keepNext/>
        <w:suppressAutoHyphens/>
        <w:spacing w:after="0" w:line="240" w:lineRule="auto"/>
        <w:rPr>
          <w:rFonts w:ascii="Times New Roman" w:hAnsi="Times New Roman" w:cs="Times New Roman"/>
          <w:lang w:val="de-DE"/>
        </w:rPr>
      </w:pPr>
    </w:p>
    <w:p w14:paraId="680CCD47"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Populationspharmakokinetik wurde bei erwachsenen und pädiatrischen Patienten im Hinblick auf die Auswirkungen von demographischen Merkmalen untersucht. Bei Erwachsenen zeigten die Ergebnisse keinen signifikanten altersabhängigen Unterschied bei der Pharmakokinetik von Bevacizumab.</w:t>
      </w:r>
    </w:p>
    <w:p w14:paraId="4E2C131B" w14:textId="77777777" w:rsidR="00010E8C" w:rsidRPr="009737B5" w:rsidRDefault="00010E8C" w:rsidP="005F4D08">
      <w:pPr>
        <w:suppressAutoHyphens/>
        <w:spacing w:after="0" w:line="240" w:lineRule="auto"/>
        <w:rPr>
          <w:rFonts w:ascii="Times New Roman" w:hAnsi="Times New Roman" w:cs="Times New Roman"/>
          <w:lang w:val="de-DE"/>
        </w:rPr>
      </w:pPr>
    </w:p>
    <w:p w14:paraId="0BE5C562" w14:textId="77777777" w:rsidR="00010E8C" w:rsidRPr="009737B5" w:rsidRDefault="00010E8C" w:rsidP="008A7D7B">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Niereninsuffizienz</w:t>
      </w:r>
    </w:p>
    <w:p w14:paraId="08D1FA86" w14:textId="77777777" w:rsidR="008A7D7B" w:rsidRPr="009737B5" w:rsidRDefault="008A7D7B" w:rsidP="008A7D7B">
      <w:pPr>
        <w:keepNext/>
        <w:suppressAutoHyphens/>
        <w:spacing w:after="0" w:line="240" w:lineRule="auto"/>
        <w:rPr>
          <w:rFonts w:ascii="Times New Roman" w:hAnsi="Times New Roman" w:cs="Times New Roman"/>
          <w:lang w:val="de-DE"/>
        </w:rPr>
      </w:pPr>
    </w:p>
    <w:p w14:paraId="7A84A9D0"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wurden keine Studien zur Untersuchung der Pharmakokinetik von Bevacizumab bei Patienten mit Nierenfunktionsstörungen durchgeführt, da die Nieren nicht Hauptorgan für die Verstoffwechselung oder die Ausscheidung von Bevacizumab sind.</w:t>
      </w:r>
    </w:p>
    <w:p w14:paraId="4E73872C" w14:textId="77777777" w:rsidR="00010E8C" w:rsidRPr="009737B5" w:rsidRDefault="00010E8C" w:rsidP="005F4D08">
      <w:pPr>
        <w:suppressAutoHyphens/>
        <w:spacing w:after="0" w:line="240" w:lineRule="auto"/>
        <w:rPr>
          <w:rFonts w:ascii="Times New Roman" w:hAnsi="Times New Roman" w:cs="Times New Roman"/>
          <w:lang w:val="de-DE"/>
        </w:rPr>
      </w:pPr>
    </w:p>
    <w:p w14:paraId="41159181" w14:textId="77777777" w:rsidR="00010E8C" w:rsidRPr="009737B5" w:rsidRDefault="00010E8C" w:rsidP="008A7D7B">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lastRenderedPageBreak/>
        <w:t>Leberinsuffizienz</w:t>
      </w:r>
    </w:p>
    <w:p w14:paraId="737BD8A1" w14:textId="77777777" w:rsidR="008A7D7B" w:rsidRPr="009737B5" w:rsidRDefault="008A7D7B" w:rsidP="008A7D7B">
      <w:pPr>
        <w:keepNext/>
        <w:suppressAutoHyphens/>
        <w:spacing w:after="0" w:line="240" w:lineRule="auto"/>
        <w:rPr>
          <w:rFonts w:ascii="Times New Roman" w:hAnsi="Times New Roman" w:cs="Times New Roman"/>
          <w:lang w:val="de-DE"/>
        </w:rPr>
      </w:pPr>
    </w:p>
    <w:p w14:paraId="71327F5D"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wurden keine Studien zur Untersuchung der Pharmakokinetik von Bevacizumab bei Patienten mit Leberfunktionsstörungen durchgeführt, da die Leber nicht Hauptorgan für die Verstoffwechselung oder die Ausscheidung von Bevacizumab ist.</w:t>
      </w:r>
    </w:p>
    <w:p w14:paraId="394CFBC3" w14:textId="77777777" w:rsidR="00010E8C" w:rsidRPr="009737B5" w:rsidRDefault="00010E8C" w:rsidP="005F4D08">
      <w:pPr>
        <w:suppressAutoHyphens/>
        <w:spacing w:after="0" w:line="240" w:lineRule="auto"/>
        <w:rPr>
          <w:rFonts w:ascii="Times New Roman" w:hAnsi="Times New Roman" w:cs="Times New Roman"/>
          <w:lang w:val="de-DE"/>
        </w:rPr>
      </w:pPr>
    </w:p>
    <w:p w14:paraId="59632DBF" w14:textId="77777777" w:rsidR="00010E8C" w:rsidRPr="009737B5" w:rsidRDefault="00010E8C" w:rsidP="008A7D7B">
      <w:pPr>
        <w:keepNext/>
        <w:suppressAutoHyphens/>
        <w:spacing w:after="0" w:line="240" w:lineRule="auto"/>
        <w:rPr>
          <w:rFonts w:ascii="Times New Roman" w:hAnsi="Times New Roman" w:cs="Times New Roman"/>
          <w:i/>
          <w:u w:val="single"/>
          <w:lang w:val="de-DE"/>
        </w:rPr>
      </w:pPr>
      <w:r w:rsidRPr="009737B5">
        <w:rPr>
          <w:rFonts w:ascii="Times New Roman" w:hAnsi="Times New Roman" w:cs="Times New Roman"/>
          <w:i/>
          <w:u w:val="single"/>
          <w:lang w:val="de-DE"/>
        </w:rPr>
        <w:t>Kinder und Jugendliche</w:t>
      </w:r>
    </w:p>
    <w:p w14:paraId="4CDEE448" w14:textId="77777777" w:rsidR="008A7D7B" w:rsidRPr="009737B5" w:rsidRDefault="008A7D7B" w:rsidP="008A7D7B">
      <w:pPr>
        <w:keepNext/>
        <w:suppressAutoHyphens/>
        <w:spacing w:after="0" w:line="240" w:lineRule="auto"/>
        <w:rPr>
          <w:rFonts w:ascii="Times New Roman" w:hAnsi="Times New Roman" w:cs="Times New Roman"/>
          <w:lang w:val="de-DE"/>
        </w:rPr>
      </w:pPr>
    </w:p>
    <w:p w14:paraId="1DE88D94" w14:textId="1D61A66A"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Pharmakokinetik von Bevacizumab wurde anhand von 4 klinischen Studien bei 152</w:t>
      </w:r>
      <w:r w:rsidR="00A23012">
        <w:rPr>
          <w:rFonts w:ascii="Times New Roman" w:hAnsi="Times New Roman" w:cs="Times New Roman"/>
          <w:lang w:val="de-DE"/>
        </w:rPr>
        <w:t> </w:t>
      </w:r>
      <w:r w:rsidRPr="009737B5">
        <w:rPr>
          <w:rFonts w:ascii="Times New Roman" w:hAnsi="Times New Roman" w:cs="Times New Roman"/>
          <w:lang w:val="de-DE"/>
        </w:rPr>
        <w:t>Kindern,</w:t>
      </w:r>
      <w:r w:rsidR="00EF3BAF" w:rsidRPr="009737B5">
        <w:rPr>
          <w:rFonts w:ascii="Times New Roman" w:hAnsi="Times New Roman" w:cs="Times New Roman"/>
          <w:lang w:val="de-DE"/>
        </w:rPr>
        <w:t xml:space="preserve"> </w:t>
      </w:r>
      <w:r w:rsidRPr="009737B5">
        <w:rPr>
          <w:rFonts w:ascii="Times New Roman" w:hAnsi="Times New Roman" w:cs="Times New Roman"/>
          <w:lang w:val="de-DE"/>
        </w:rPr>
        <w:t>Jugendlichen und jungen Erwachsenen (7</w:t>
      </w:r>
      <w:r w:rsidR="0091668D" w:rsidRPr="009737B5">
        <w:rPr>
          <w:rFonts w:ascii="Times New Roman" w:hAnsi="Times New Roman" w:cs="Times New Roman"/>
          <w:lang w:val="de-DE"/>
        </w:rPr>
        <w:t> </w:t>
      </w:r>
      <w:r w:rsidRPr="009737B5">
        <w:rPr>
          <w:rFonts w:ascii="Times New Roman" w:hAnsi="Times New Roman" w:cs="Times New Roman"/>
          <w:lang w:val="de-DE"/>
        </w:rPr>
        <w:t>Monate bis 21</w:t>
      </w:r>
      <w:r w:rsidR="0091668D" w:rsidRPr="009737B5">
        <w:rPr>
          <w:rFonts w:ascii="Times New Roman" w:hAnsi="Times New Roman" w:cs="Times New Roman"/>
          <w:lang w:val="de-DE"/>
        </w:rPr>
        <w:t> </w:t>
      </w:r>
      <w:r w:rsidRPr="009737B5">
        <w:rPr>
          <w:rFonts w:ascii="Times New Roman" w:hAnsi="Times New Roman" w:cs="Times New Roman"/>
          <w:lang w:val="de-DE"/>
        </w:rPr>
        <w:t>Jahre; 5,9</w:t>
      </w:r>
      <w:r w:rsidR="00AB26B9" w:rsidRPr="009737B5">
        <w:rPr>
          <w:rFonts w:ascii="Times New Roman" w:hAnsi="Times New Roman" w:cs="Times New Roman"/>
          <w:lang w:val="de-DE"/>
        </w:rPr>
        <w:t> kg</w:t>
      </w:r>
      <w:r w:rsidRPr="009737B5">
        <w:rPr>
          <w:rFonts w:ascii="Times New Roman" w:hAnsi="Times New Roman" w:cs="Times New Roman"/>
          <w:lang w:val="de-DE"/>
        </w:rPr>
        <w:t xml:space="preserve"> bis 125</w:t>
      </w:r>
      <w:r w:rsidR="00AB26B9" w:rsidRPr="009737B5">
        <w:rPr>
          <w:rFonts w:ascii="Times New Roman" w:hAnsi="Times New Roman" w:cs="Times New Roman"/>
          <w:lang w:val="de-DE"/>
        </w:rPr>
        <w:t> kg</w:t>
      </w:r>
      <w:r w:rsidRPr="009737B5">
        <w:rPr>
          <w:rFonts w:ascii="Times New Roman" w:hAnsi="Times New Roman" w:cs="Times New Roman"/>
          <w:lang w:val="de-DE"/>
        </w:rPr>
        <w:t>) unter Verwendung eines populationspharmakokinetischen</w:t>
      </w:r>
      <w:r w:rsidR="00BD3D7E" w:rsidRPr="009737B5">
        <w:rPr>
          <w:rFonts w:ascii="Times New Roman" w:hAnsi="Times New Roman" w:cs="Times New Roman"/>
          <w:lang w:val="de-DE"/>
        </w:rPr>
        <w:t xml:space="preserve"> </w:t>
      </w:r>
      <w:r w:rsidRPr="009737B5">
        <w:rPr>
          <w:rFonts w:ascii="Times New Roman" w:hAnsi="Times New Roman" w:cs="Times New Roman"/>
          <w:lang w:val="de-DE"/>
        </w:rPr>
        <w:t>(</w:t>
      </w:r>
      <w:r w:rsidR="00BD3D7E" w:rsidRPr="009737B5">
        <w:rPr>
          <w:rFonts w:ascii="Times New Roman" w:hAnsi="Times New Roman" w:cs="Times New Roman"/>
          <w:lang w:val="de-DE"/>
        </w:rPr>
        <w:t>P</w:t>
      </w:r>
      <w:r w:rsidRPr="009737B5">
        <w:rPr>
          <w:rFonts w:ascii="Times New Roman" w:hAnsi="Times New Roman" w:cs="Times New Roman"/>
          <w:lang w:val="de-DE"/>
        </w:rPr>
        <w:t>opulationsPK)</w:t>
      </w:r>
      <w:r w:rsidR="00BD3D7E" w:rsidRPr="009737B5">
        <w:rPr>
          <w:rFonts w:ascii="Times New Roman" w:hAnsi="Times New Roman" w:cs="Times New Roman"/>
          <w:lang w:val="de-DE"/>
        </w:rPr>
        <w:t xml:space="preserve"> </w:t>
      </w:r>
      <w:r w:rsidRPr="009737B5">
        <w:rPr>
          <w:rFonts w:ascii="Times New Roman" w:hAnsi="Times New Roman" w:cs="Times New Roman"/>
          <w:lang w:val="de-DE"/>
        </w:rPr>
        <w:t>Modells ausgewertet. Die</w:t>
      </w:r>
      <w:r w:rsidR="00EF3BAF" w:rsidRPr="009737B5">
        <w:rPr>
          <w:rFonts w:ascii="Times New Roman" w:hAnsi="Times New Roman" w:cs="Times New Roman"/>
          <w:lang w:val="de-DE"/>
        </w:rPr>
        <w:t xml:space="preserve"> </w:t>
      </w:r>
      <w:r w:rsidRPr="009737B5">
        <w:rPr>
          <w:rFonts w:ascii="Times New Roman" w:hAnsi="Times New Roman" w:cs="Times New Roman"/>
          <w:lang w:val="de-DE"/>
        </w:rPr>
        <w:t xml:space="preserve">pharmakokinetischen Ergebnisse zeigen, dass die Clearance und das Verteilungsvolumen von Bevacizumab vergleichbar zwischen pädiatrischen und </w:t>
      </w:r>
      <w:r w:rsidR="00053A2B" w:rsidRPr="00053A2B">
        <w:rPr>
          <w:rFonts w:ascii="Times New Roman" w:hAnsi="Times New Roman" w:cs="Times New Roman"/>
          <w:lang w:val="de-DE"/>
        </w:rPr>
        <w:t xml:space="preserve">jungen </w:t>
      </w:r>
      <w:r w:rsidRPr="009737B5">
        <w:rPr>
          <w:rFonts w:ascii="Times New Roman" w:hAnsi="Times New Roman" w:cs="Times New Roman"/>
          <w:lang w:val="de-DE"/>
        </w:rPr>
        <w:t>erwachsenen Patienten waren, wenn sie auf das Körpergewicht normiert wurden, mit einer abnehmenden Tendenz der Exposition bei zurückgehendem Körpergewicht. Das Alter war nicht mit der Pharmakokinetik von Bevacizumab assoziiert, wenn das Körpergewicht berücksichtigt wurde.</w:t>
      </w:r>
    </w:p>
    <w:p w14:paraId="7D8C1E0F" w14:textId="77777777" w:rsidR="00010E8C" w:rsidRPr="009737B5" w:rsidRDefault="00010E8C" w:rsidP="005F4D08">
      <w:pPr>
        <w:suppressAutoHyphens/>
        <w:spacing w:after="0" w:line="240" w:lineRule="auto"/>
        <w:rPr>
          <w:rFonts w:ascii="Times New Roman" w:hAnsi="Times New Roman" w:cs="Times New Roman"/>
          <w:lang w:val="de-DE"/>
        </w:rPr>
      </w:pPr>
    </w:p>
    <w:p w14:paraId="036A279B" w14:textId="25905B1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Pharmakokinetik von Bevacizumab wurde mittels des pädiatrischen PopulationsPK-Modells bei</w:t>
      </w:r>
      <w:r w:rsidR="00EF3BAF" w:rsidRPr="009737B5">
        <w:rPr>
          <w:rFonts w:ascii="Times New Roman" w:hAnsi="Times New Roman" w:cs="Times New Roman"/>
          <w:lang w:val="de-DE"/>
        </w:rPr>
        <w:t xml:space="preserve"> </w:t>
      </w:r>
      <w:r w:rsidRPr="009737B5">
        <w:rPr>
          <w:rFonts w:ascii="Times New Roman" w:hAnsi="Times New Roman" w:cs="Times New Roman"/>
          <w:lang w:val="de-DE"/>
        </w:rPr>
        <w:t>70 Patienten in der Studie</w:t>
      </w:r>
      <w:r w:rsidR="00A23012">
        <w:rPr>
          <w:rFonts w:ascii="Times New Roman" w:hAnsi="Times New Roman" w:cs="Times New Roman"/>
          <w:lang w:val="de-DE"/>
        </w:rPr>
        <w:t> </w:t>
      </w:r>
      <w:r w:rsidRPr="009737B5">
        <w:rPr>
          <w:rFonts w:ascii="Times New Roman" w:hAnsi="Times New Roman" w:cs="Times New Roman"/>
          <w:lang w:val="de-DE"/>
        </w:rPr>
        <w:t>BO20924 (1,4</w:t>
      </w:r>
      <w:r w:rsidR="0091668D" w:rsidRPr="009737B5">
        <w:rPr>
          <w:rFonts w:ascii="Times New Roman" w:eastAsia="Microsoft Yi Baiti" w:hAnsi="Times New Roman" w:cs="Times New Roman"/>
          <w:lang w:val="de-DE"/>
        </w:rPr>
        <w:t> </w:t>
      </w:r>
      <w:r w:rsidRPr="009737B5">
        <w:rPr>
          <w:rFonts w:ascii="Times New Roman" w:hAnsi="Times New Roman" w:cs="Times New Roman"/>
          <w:lang w:val="de-DE"/>
        </w:rPr>
        <w:t>Jahre bis 17,6</w:t>
      </w:r>
      <w:r w:rsidR="0091668D" w:rsidRPr="009737B5">
        <w:rPr>
          <w:rFonts w:ascii="Times New Roman" w:hAnsi="Times New Roman" w:cs="Times New Roman"/>
          <w:lang w:val="de-DE"/>
        </w:rPr>
        <w:t> </w:t>
      </w:r>
      <w:r w:rsidRPr="009737B5">
        <w:rPr>
          <w:rFonts w:ascii="Times New Roman" w:hAnsi="Times New Roman" w:cs="Times New Roman"/>
          <w:lang w:val="de-DE"/>
        </w:rPr>
        <w:t>Jahre; 11,6</w:t>
      </w:r>
      <w:r w:rsidR="00AB26B9" w:rsidRPr="009737B5">
        <w:rPr>
          <w:rFonts w:ascii="Times New Roman" w:hAnsi="Times New Roman" w:cs="Times New Roman"/>
          <w:lang w:val="de-DE"/>
        </w:rPr>
        <w:t> kg</w:t>
      </w:r>
      <w:r w:rsidRPr="009737B5">
        <w:rPr>
          <w:rFonts w:ascii="Times New Roman" w:hAnsi="Times New Roman" w:cs="Times New Roman"/>
          <w:lang w:val="de-DE"/>
        </w:rPr>
        <w:t xml:space="preserve"> bis 77,5</w:t>
      </w:r>
      <w:r w:rsidR="00AB26B9" w:rsidRPr="009737B5">
        <w:rPr>
          <w:rFonts w:ascii="Times New Roman" w:hAnsi="Times New Roman" w:cs="Times New Roman"/>
          <w:lang w:val="de-DE"/>
        </w:rPr>
        <w:t> kg</w:t>
      </w:r>
      <w:r w:rsidRPr="009737B5">
        <w:rPr>
          <w:rFonts w:ascii="Times New Roman" w:hAnsi="Times New Roman" w:cs="Times New Roman"/>
          <w:lang w:val="de-DE"/>
        </w:rPr>
        <w:t>) und bei 59</w:t>
      </w:r>
      <w:r w:rsidR="0091668D" w:rsidRPr="009737B5">
        <w:rPr>
          <w:rFonts w:ascii="Times New Roman" w:eastAsia="Microsoft Yi Baiti" w:hAnsi="Times New Roman" w:cs="Times New Roman"/>
          <w:lang w:val="de-DE"/>
        </w:rPr>
        <w:t> </w:t>
      </w:r>
      <w:r w:rsidRPr="009737B5">
        <w:rPr>
          <w:rFonts w:ascii="Times New Roman" w:hAnsi="Times New Roman" w:cs="Times New Roman"/>
          <w:lang w:val="de-DE"/>
        </w:rPr>
        <w:t>Patienten in der Studie</w:t>
      </w:r>
      <w:r w:rsidR="00A23012">
        <w:rPr>
          <w:rFonts w:ascii="Times New Roman" w:hAnsi="Times New Roman" w:cs="Times New Roman"/>
          <w:lang w:val="de-DE"/>
        </w:rPr>
        <w:t> </w:t>
      </w:r>
      <w:r w:rsidRPr="009737B5">
        <w:rPr>
          <w:rFonts w:ascii="Times New Roman" w:hAnsi="Times New Roman" w:cs="Times New Roman"/>
          <w:lang w:val="de-DE"/>
        </w:rPr>
        <w:t>BO25041 (1</w:t>
      </w:r>
      <w:r w:rsidR="0091668D" w:rsidRPr="009737B5">
        <w:rPr>
          <w:rFonts w:ascii="Times New Roman" w:eastAsia="Microsoft Yi Baiti" w:hAnsi="Times New Roman" w:cs="Times New Roman"/>
          <w:lang w:val="de-DE"/>
        </w:rPr>
        <w:t> </w:t>
      </w:r>
      <w:r w:rsidRPr="009737B5">
        <w:rPr>
          <w:rFonts w:ascii="Times New Roman" w:hAnsi="Times New Roman" w:cs="Times New Roman"/>
          <w:lang w:val="de-DE"/>
        </w:rPr>
        <w:t>Jahr bis 17</w:t>
      </w:r>
      <w:r w:rsidR="0091668D" w:rsidRPr="009737B5">
        <w:rPr>
          <w:rFonts w:ascii="Times New Roman" w:eastAsia="Microsoft Yi Baiti" w:hAnsi="Times New Roman" w:cs="Times New Roman"/>
          <w:lang w:val="de-DE"/>
        </w:rPr>
        <w:t> </w:t>
      </w:r>
      <w:r w:rsidRPr="009737B5">
        <w:rPr>
          <w:rFonts w:ascii="Times New Roman" w:hAnsi="Times New Roman" w:cs="Times New Roman"/>
          <w:lang w:val="de-DE"/>
        </w:rPr>
        <w:t>Jahre; 11,2</w:t>
      </w:r>
      <w:r w:rsidR="00AB26B9" w:rsidRPr="009737B5">
        <w:rPr>
          <w:rFonts w:ascii="Times New Roman" w:hAnsi="Times New Roman" w:cs="Times New Roman"/>
          <w:lang w:val="de-DE"/>
        </w:rPr>
        <w:t> kg</w:t>
      </w:r>
      <w:r w:rsidRPr="009737B5">
        <w:rPr>
          <w:rFonts w:ascii="Times New Roman" w:hAnsi="Times New Roman" w:cs="Times New Roman"/>
          <w:lang w:val="de-DE"/>
        </w:rPr>
        <w:t xml:space="preserve"> bis 82,3</w:t>
      </w:r>
      <w:r w:rsidR="00AB26B9" w:rsidRPr="009737B5">
        <w:rPr>
          <w:rFonts w:ascii="Times New Roman" w:hAnsi="Times New Roman" w:cs="Times New Roman"/>
          <w:lang w:val="de-DE"/>
        </w:rPr>
        <w:t> kg</w:t>
      </w:r>
      <w:r w:rsidRPr="009737B5">
        <w:rPr>
          <w:rFonts w:ascii="Times New Roman" w:hAnsi="Times New Roman" w:cs="Times New Roman"/>
          <w:lang w:val="de-DE"/>
        </w:rPr>
        <w:t>) gut charakterisiert. In der Studie</w:t>
      </w:r>
      <w:r w:rsidR="00A23012">
        <w:rPr>
          <w:rFonts w:ascii="Times New Roman" w:hAnsi="Times New Roman" w:cs="Times New Roman"/>
          <w:lang w:val="de-DE"/>
        </w:rPr>
        <w:t> </w:t>
      </w:r>
      <w:r w:rsidRPr="009737B5">
        <w:rPr>
          <w:rFonts w:ascii="Times New Roman" w:hAnsi="Times New Roman" w:cs="Times New Roman"/>
          <w:lang w:val="de-DE"/>
        </w:rPr>
        <w:t>BO20924 war die Exposition von Bevacizumab allgemein niedriger, verglichen mit einem typischen erwachsenen Patienten unter der gleichen Dosis. In der Studie</w:t>
      </w:r>
      <w:r w:rsidR="00A23012">
        <w:rPr>
          <w:rFonts w:ascii="Times New Roman" w:hAnsi="Times New Roman" w:cs="Times New Roman"/>
          <w:lang w:val="de-DE"/>
        </w:rPr>
        <w:t> </w:t>
      </w:r>
      <w:r w:rsidRPr="009737B5">
        <w:rPr>
          <w:rFonts w:ascii="Times New Roman" w:hAnsi="Times New Roman" w:cs="Times New Roman"/>
          <w:lang w:val="de-DE"/>
        </w:rPr>
        <w:t>BO25041 war die Exposition von Bevacizumab ähnlich, verglichen mit einem typischen Erwachsenen unter der gleichen Dosis. In</w:t>
      </w:r>
      <w:r w:rsidR="00EF3BAF" w:rsidRPr="009737B5">
        <w:rPr>
          <w:rFonts w:ascii="Times New Roman" w:hAnsi="Times New Roman" w:cs="Times New Roman"/>
          <w:lang w:val="de-DE"/>
        </w:rPr>
        <w:t xml:space="preserve"> </w:t>
      </w:r>
      <w:r w:rsidRPr="009737B5">
        <w:rPr>
          <w:rFonts w:ascii="Times New Roman" w:hAnsi="Times New Roman" w:cs="Times New Roman"/>
          <w:lang w:val="de-DE"/>
        </w:rPr>
        <w:t>beiden Studien nahm die Tendenz der Exposition von Bevacizumab mit zurückgehendem Körpergewicht ab.</w:t>
      </w:r>
    </w:p>
    <w:p w14:paraId="1A7E060E" w14:textId="77777777" w:rsidR="00010E8C" w:rsidRPr="009737B5" w:rsidRDefault="00010E8C" w:rsidP="005F4D08">
      <w:pPr>
        <w:suppressAutoHyphens/>
        <w:spacing w:after="0" w:line="240" w:lineRule="auto"/>
        <w:rPr>
          <w:rFonts w:ascii="Times New Roman" w:hAnsi="Times New Roman" w:cs="Times New Roman"/>
          <w:lang w:val="de-DE"/>
        </w:rPr>
      </w:pPr>
    </w:p>
    <w:p w14:paraId="6FBB0905" w14:textId="77777777" w:rsidR="00010E8C" w:rsidRPr="009737B5" w:rsidRDefault="00EF3BAF" w:rsidP="008A7D7B">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5.3</w:t>
      </w:r>
      <w:r w:rsidR="00010E8C" w:rsidRPr="009737B5">
        <w:rPr>
          <w:rFonts w:ascii="Times New Roman" w:hAnsi="Times New Roman" w:cs="Times New Roman"/>
          <w:b/>
          <w:lang w:val="de-DE"/>
        </w:rPr>
        <w:tab/>
        <w:t>Präklinische Daten zur Sicherheit</w:t>
      </w:r>
    </w:p>
    <w:p w14:paraId="7555FF06"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7F256CE8" w14:textId="70C9F158"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Studien mit einer Dauer von bis zu 26</w:t>
      </w:r>
      <w:r w:rsidR="00A23012">
        <w:rPr>
          <w:rFonts w:ascii="Times New Roman" w:hAnsi="Times New Roman" w:cs="Times New Roman"/>
          <w:lang w:val="de-DE"/>
        </w:rPr>
        <w:t> </w:t>
      </w:r>
      <w:r w:rsidRPr="009737B5">
        <w:rPr>
          <w:rFonts w:ascii="Times New Roman" w:hAnsi="Times New Roman" w:cs="Times New Roman"/>
          <w:lang w:val="de-DE"/>
        </w:rPr>
        <w:t>Wochen bei Cynomolgus-Makaken wurden bei Jungtieren mit offenen Wachstumsfugen Epiphysendysplasien beobachtet, und zwar mit Bevacizumab</w:t>
      </w:r>
      <w:r w:rsidR="00D87A14" w:rsidRPr="009737B5">
        <w:rPr>
          <w:rFonts w:ascii="Times New Roman" w:hAnsi="Times New Roman" w:cs="Times New Roman"/>
          <w:lang w:val="de-DE"/>
        </w:rPr>
        <w:t>-</w:t>
      </w:r>
      <w:r w:rsidRPr="009737B5">
        <w:rPr>
          <w:rFonts w:ascii="Times New Roman" w:hAnsi="Times New Roman" w:cs="Times New Roman"/>
          <w:lang w:val="de-DE"/>
        </w:rPr>
        <w:t>Konzentrationen im Serum, die im Mittel unter den Werten lagen, die mit den empfohlenen humantherapeutischen Serumkonzentrationen zu erwarten sind. Beim Kaninchen hemmte Bevacizumab die Wundheilung in Dosierungen unter dem vorgeschlagenen klinischen Dosisniveau. Die Auswirkungen auf die Wundheilung waren nachweislich vollständig reversibel.</w:t>
      </w:r>
    </w:p>
    <w:p w14:paraId="59CFF77E" w14:textId="77777777" w:rsidR="00010E8C" w:rsidRPr="009737B5" w:rsidRDefault="00010E8C" w:rsidP="005F4D08">
      <w:pPr>
        <w:suppressAutoHyphens/>
        <w:spacing w:after="0" w:line="240" w:lineRule="auto"/>
        <w:rPr>
          <w:rFonts w:ascii="Times New Roman" w:hAnsi="Times New Roman" w:cs="Times New Roman"/>
          <w:lang w:val="de-DE"/>
        </w:rPr>
      </w:pPr>
    </w:p>
    <w:p w14:paraId="1A567651"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wurden keine Studien zur Beurteilung des mutagenen und karzinogenen Potenzials von Bevacizumab durchgeführt.</w:t>
      </w:r>
    </w:p>
    <w:p w14:paraId="0205B73A" w14:textId="77777777" w:rsidR="00010E8C" w:rsidRPr="009737B5" w:rsidRDefault="00010E8C" w:rsidP="005F4D08">
      <w:pPr>
        <w:suppressAutoHyphens/>
        <w:spacing w:after="0" w:line="240" w:lineRule="auto"/>
        <w:rPr>
          <w:rFonts w:ascii="Times New Roman" w:hAnsi="Times New Roman" w:cs="Times New Roman"/>
          <w:lang w:val="de-DE"/>
        </w:rPr>
      </w:pPr>
    </w:p>
    <w:p w14:paraId="3052EF95"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Es wurden keine speziellen Studien bei Tieren zur Beurteilung des Einflusses auf die Fruchtbarkeit durchgeführt. Es kann jedoch eine unerwünschte Wirkung auf die weibliche Fruchtbarkeit erwartet werden, weil in Toxizitätsstudien bei wiederholter Verabreichung bei Tieren gezeigt wurde, dass die Reifung der Ovarfollikel gehemmt wird, Gelbkörperchen reduziert sind oder ganz fehlen und daher die Ovar- und Uterusgewichte reduziert und auch die Zahl der Menstruationszyklen verringert sind.</w:t>
      </w:r>
    </w:p>
    <w:p w14:paraId="78BDF3DB" w14:textId="77777777" w:rsidR="00010E8C" w:rsidRPr="009737B5" w:rsidRDefault="00010E8C" w:rsidP="005F4D08">
      <w:pPr>
        <w:suppressAutoHyphens/>
        <w:spacing w:after="0" w:line="240" w:lineRule="auto"/>
        <w:rPr>
          <w:rFonts w:ascii="Times New Roman" w:hAnsi="Times New Roman" w:cs="Times New Roman"/>
          <w:lang w:val="de-DE"/>
        </w:rPr>
      </w:pPr>
    </w:p>
    <w:p w14:paraId="2A410967" w14:textId="4B884EDA"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Bevacizumab hat sich bei Applikation beim Kaninchen als embryotoxisch und teratogen erwiesen. Zu den beobachteten Wirkungen zählt</w:t>
      </w:r>
      <w:r w:rsidR="00227B49" w:rsidRPr="009737B5">
        <w:rPr>
          <w:rFonts w:ascii="Times New Roman" w:hAnsi="Times New Roman" w:cs="Times New Roman"/>
          <w:lang w:val="de-DE"/>
        </w:rPr>
        <w:t>en</w:t>
      </w:r>
      <w:r w:rsidRPr="009737B5">
        <w:rPr>
          <w:rFonts w:ascii="Times New Roman" w:hAnsi="Times New Roman" w:cs="Times New Roman"/>
          <w:lang w:val="de-DE"/>
        </w:rPr>
        <w:t xml:space="preserve"> die Reduzierung des Körpergewichts von Muttertieren und Feten, eine erhöhte Zahl von Fetusresorptionen und eine erhöhte Häufigkeit von spezifischen fetalen Wachstums- und Skelettmissbildungen. Unerwünschte Wirkungen auf d</w:t>
      </w:r>
      <w:r w:rsidR="001973F4">
        <w:rPr>
          <w:rFonts w:ascii="Times New Roman" w:hAnsi="Times New Roman" w:cs="Times New Roman"/>
          <w:lang w:val="de-DE"/>
        </w:rPr>
        <w:t>i</w:t>
      </w:r>
      <w:r w:rsidRPr="009737B5">
        <w:rPr>
          <w:rFonts w:ascii="Times New Roman" w:hAnsi="Times New Roman" w:cs="Times New Roman"/>
          <w:lang w:val="de-DE"/>
        </w:rPr>
        <w:t>e Feten wurden bei allen untersuchten Dosisstärken beobachtet, wobei die niedrigste Dosis zu durchschnittlichen</w:t>
      </w:r>
      <w:r w:rsidR="008A7D7B" w:rsidRPr="009737B5">
        <w:rPr>
          <w:rFonts w:ascii="Times New Roman" w:hAnsi="Times New Roman" w:cs="Times New Roman"/>
          <w:lang w:val="de-DE"/>
        </w:rPr>
        <w:t xml:space="preserve"> </w:t>
      </w:r>
      <w:r w:rsidRPr="009737B5">
        <w:rPr>
          <w:rFonts w:ascii="Times New Roman" w:hAnsi="Times New Roman" w:cs="Times New Roman"/>
          <w:lang w:val="de-DE"/>
        </w:rPr>
        <w:t>Serumkonzentrationen führte, die etwa 3-mal höher sind als bei Menschen, die alle 2</w:t>
      </w:r>
      <w:r w:rsidR="00A23012">
        <w:rPr>
          <w:rFonts w:ascii="Times New Roman" w:hAnsi="Times New Roman" w:cs="Times New Roman"/>
          <w:lang w:val="de-DE"/>
        </w:rPr>
        <w:t> </w:t>
      </w:r>
      <w:r w:rsidRPr="009737B5">
        <w:rPr>
          <w:rFonts w:ascii="Times New Roman" w:hAnsi="Times New Roman" w:cs="Times New Roman"/>
          <w:lang w:val="de-DE"/>
        </w:rPr>
        <w:t>Wochen 5</w:t>
      </w:r>
      <w:r w:rsidR="00AB26B9" w:rsidRPr="009737B5">
        <w:rPr>
          <w:rFonts w:ascii="Times New Roman" w:hAnsi="Times New Roman" w:cs="Times New Roman"/>
          <w:lang w:val="de-DE"/>
        </w:rPr>
        <w:t> mg</w:t>
      </w:r>
      <w:r w:rsidRPr="009737B5">
        <w:rPr>
          <w:rFonts w:ascii="Times New Roman" w:hAnsi="Times New Roman" w:cs="Times New Roman"/>
          <w:lang w:val="de-DE"/>
        </w:rPr>
        <w:t>/kg erhalten. Informationen zu fetalen Missbildungen, die nach der Markteinführung beobachtet wurden, stehen in Abschnitt</w:t>
      </w:r>
      <w:r w:rsidR="00E66F51" w:rsidRPr="009737B5">
        <w:rPr>
          <w:rFonts w:ascii="Times New Roman" w:hAnsi="Times New Roman" w:cs="Times New Roman"/>
          <w:lang w:val="de-DE"/>
        </w:rPr>
        <w:t>e</w:t>
      </w:r>
      <w:r w:rsidR="00227B49" w:rsidRPr="009737B5">
        <w:rPr>
          <w:rFonts w:ascii="Times New Roman" w:hAnsi="Times New Roman" w:cs="Times New Roman"/>
          <w:lang w:val="de-DE"/>
        </w:rPr>
        <w:t>n</w:t>
      </w:r>
      <w:r w:rsidR="00E66F51" w:rsidRPr="009737B5">
        <w:rPr>
          <w:rFonts w:ascii="Times New Roman" w:hAnsi="Times New Roman" w:cs="Times New Roman"/>
          <w:lang w:val="de-DE"/>
        </w:rPr>
        <w:t> </w:t>
      </w:r>
      <w:r w:rsidRPr="009737B5">
        <w:rPr>
          <w:rFonts w:ascii="Times New Roman" w:hAnsi="Times New Roman" w:cs="Times New Roman"/>
          <w:lang w:val="de-DE"/>
        </w:rPr>
        <w:t>4.6</w:t>
      </w:r>
      <w:r w:rsidR="00781DEB">
        <w:rPr>
          <w:rFonts w:ascii="Times New Roman" w:hAnsi="Times New Roman" w:cs="Times New Roman"/>
          <w:lang w:val="de-DE"/>
        </w:rPr>
        <w:t> </w:t>
      </w:r>
      <w:r w:rsidR="002F74A8">
        <w:rPr>
          <w:rFonts w:ascii="Times New Roman" w:hAnsi="Times New Roman" w:cs="Times New Roman"/>
          <w:lang w:val="de-DE"/>
        </w:rPr>
        <w:t>„Fertilität, Schwangerschaft und Stillzeit“</w:t>
      </w:r>
      <w:r w:rsidRPr="009737B5">
        <w:rPr>
          <w:rFonts w:ascii="Times New Roman" w:hAnsi="Times New Roman" w:cs="Times New Roman"/>
          <w:lang w:val="de-DE"/>
        </w:rPr>
        <w:t xml:space="preserve"> und 4.8</w:t>
      </w:r>
      <w:r w:rsidR="00781DEB">
        <w:rPr>
          <w:rFonts w:ascii="Times New Roman" w:hAnsi="Times New Roman" w:cs="Times New Roman"/>
          <w:lang w:val="de-DE"/>
        </w:rPr>
        <w:t> </w:t>
      </w:r>
      <w:r w:rsidR="002F74A8">
        <w:rPr>
          <w:rFonts w:ascii="Times New Roman" w:hAnsi="Times New Roman" w:cs="Times New Roman"/>
          <w:lang w:val="de-DE"/>
        </w:rPr>
        <w:t xml:space="preserve">„Nebenwirkungen“ </w:t>
      </w:r>
      <w:r w:rsidRPr="009737B5">
        <w:rPr>
          <w:rFonts w:ascii="Times New Roman" w:hAnsi="Times New Roman" w:cs="Times New Roman"/>
          <w:lang w:val="de-DE"/>
        </w:rPr>
        <w:t>zur Verfügung.</w:t>
      </w:r>
    </w:p>
    <w:p w14:paraId="1C127D2D" w14:textId="77777777" w:rsidR="00010E8C" w:rsidRPr="009737B5" w:rsidRDefault="00010E8C" w:rsidP="005F4D08">
      <w:pPr>
        <w:suppressAutoHyphens/>
        <w:spacing w:after="0" w:line="240" w:lineRule="auto"/>
        <w:rPr>
          <w:rFonts w:ascii="Times New Roman" w:hAnsi="Times New Roman" w:cs="Times New Roman"/>
          <w:lang w:val="de-DE"/>
        </w:rPr>
      </w:pPr>
    </w:p>
    <w:p w14:paraId="0C58E923" w14:textId="77777777" w:rsidR="00010E8C" w:rsidRPr="009737B5" w:rsidRDefault="00010E8C" w:rsidP="005F4D08">
      <w:pPr>
        <w:suppressAutoHyphens/>
        <w:spacing w:after="0" w:line="240" w:lineRule="auto"/>
        <w:rPr>
          <w:rFonts w:ascii="Times New Roman" w:hAnsi="Times New Roman" w:cs="Times New Roman"/>
          <w:lang w:val="de-DE"/>
        </w:rPr>
      </w:pPr>
    </w:p>
    <w:p w14:paraId="49F4A99F" w14:textId="77777777" w:rsidR="00010E8C" w:rsidRPr="009737B5" w:rsidRDefault="00EF3BAF" w:rsidP="008A7D7B">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lastRenderedPageBreak/>
        <w:t>6.</w:t>
      </w:r>
      <w:r w:rsidR="00010E8C" w:rsidRPr="009737B5">
        <w:rPr>
          <w:rFonts w:ascii="Times New Roman" w:hAnsi="Times New Roman" w:cs="Times New Roman"/>
          <w:b/>
          <w:lang w:val="de-DE"/>
        </w:rPr>
        <w:tab/>
        <w:t>PHARMAZEUTISCHE ANGABEN</w:t>
      </w:r>
    </w:p>
    <w:p w14:paraId="4A1C24A8"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34B73073" w14:textId="77777777" w:rsidR="00010E8C" w:rsidRPr="009737B5" w:rsidRDefault="00EF3BAF" w:rsidP="008A7D7B">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6.1</w:t>
      </w:r>
      <w:r w:rsidR="00010E8C" w:rsidRPr="009737B5">
        <w:rPr>
          <w:rFonts w:ascii="Times New Roman" w:hAnsi="Times New Roman" w:cs="Times New Roman"/>
          <w:b/>
          <w:lang w:val="de-DE"/>
        </w:rPr>
        <w:tab/>
        <w:t>Liste der sonstigen Bestandteile</w:t>
      </w:r>
    </w:p>
    <w:p w14:paraId="72CA896F"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5F076979" w14:textId="77777777" w:rsidR="00010E8C" w:rsidRPr="00E66954" w:rsidRDefault="00422446" w:rsidP="005F4D08">
      <w:pPr>
        <w:suppressAutoHyphens/>
        <w:spacing w:after="0" w:line="240" w:lineRule="auto"/>
        <w:rPr>
          <w:rFonts w:ascii="Times New Roman" w:hAnsi="Times New Roman" w:cs="Times New Roman"/>
          <w:lang w:val="en-IN"/>
        </w:rPr>
      </w:pPr>
      <w:r w:rsidRPr="009737B5">
        <w:rPr>
          <w:rFonts w:ascii="Times New Roman" w:hAnsi="Times New Roman" w:cs="Times New Roman"/>
          <w:lang w:val="de-DE"/>
        </w:rPr>
        <w:t>α</w:t>
      </w:r>
      <w:r w:rsidR="00010E8C" w:rsidRPr="00E66954">
        <w:rPr>
          <w:rFonts w:ascii="Times New Roman" w:hAnsi="Times New Roman" w:cs="Times New Roman"/>
          <w:lang w:val="en-IN"/>
        </w:rPr>
        <w:t xml:space="preserve">, </w:t>
      </w:r>
      <w:r w:rsidRPr="009737B5">
        <w:rPr>
          <w:rFonts w:ascii="Times New Roman" w:hAnsi="Times New Roman" w:cs="Times New Roman"/>
          <w:lang w:val="de-DE"/>
        </w:rPr>
        <w:t>α</w:t>
      </w:r>
      <w:r w:rsidR="00010E8C" w:rsidRPr="00E66954">
        <w:rPr>
          <w:rFonts w:ascii="Times New Roman" w:hAnsi="Times New Roman" w:cs="Times New Roman"/>
          <w:lang w:val="en-IN"/>
        </w:rPr>
        <w:t>-Trehalose</w:t>
      </w:r>
      <w:r w:rsidRPr="00E66954">
        <w:rPr>
          <w:rFonts w:ascii="Times New Roman" w:hAnsi="Times New Roman" w:cs="Times New Roman"/>
          <w:lang w:val="en-IN"/>
        </w:rPr>
        <w:t>-</w:t>
      </w:r>
      <w:r w:rsidR="00010E8C" w:rsidRPr="00E66954">
        <w:rPr>
          <w:rFonts w:ascii="Times New Roman" w:hAnsi="Times New Roman" w:cs="Times New Roman"/>
          <w:lang w:val="en-IN"/>
        </w:rPr>
        <w:t>2</w:t>
      </w:r>
      <w:r w:rsidRPr="00E66954">
        <w:rPr>
          <w:rFonts w:ascii="Times New Roman" w:hAnsi="Times New Roman" w:cs="Times New Roman"/>
          <w:lang w:val="en-IN"/>
        </w:rPr>
        <w:t>-</w:t>
      </w:r>
      <w:r w:rsidR="00010E8C" w:rsidRPr="00E66954">
        <w:rPr>
          <w:rFonts w:ascii="Times New Roman" w:hAnsi="Times New Roman" w:cs="Times New Roman"/>
          <w:lang w:val="en-IN"/>
        </w:rPr>
        <w:t>H</w:t>
      </w:r>
      <w:r w:rsidR="00010E8C" w:rsidRPr="00E66954">
        <w:rPr>
          <w:rFonts w:ascii="Times New Roman" w:hAnsi="Times New Roman" w:cs="Times New Roman"/>
          <w:vertAlign w:val="subscript"/>
          <w:lang w:val="en-IN"/>
        </w:rPr>
        <w:t>2</w:t>
      </w:r>
      <w:r w:rsidR="00010E8C" w:rsidRPr="00E66954">
        <w:rPr>
          <w:rFonts w:ascii="Times New Roman" w:hAnsi="Times New Roman" w:cs="Times New Roman"/>
          <w:lang w:val="en-IN"/>
        </w:rPr>
        <w:t>O</w:t>
      </w:r>
    </w:p>
    <w:p w14:paraId="3A66346E" w14:textId="77777777" w:rsidR="00010E8C" w:rsidRPr="008076AF" w:rsidRDefault="00010E8C" w:rsidP="005F4D08">
      <w:pPr>
        <w:suppressAutoHyphens/>
        <w:spacing w:after="0" w:line="240" w:lineRule="auto"/>
        <w:rPr>
          <w:rFonts w:ascii="Times New Roman" w:hAnsi="Times New Roman" w:cs="Times New Roman"/>
        </w:rPr>
      </w:pPr>
      <w:r w:rsidRPr="008076AF">
        <w:rPr>
          <w:rFonts w:ascii="Times New Roman" w:hAnsi="Times New Roman" w:cs="Times New Roman"/>
        </w:rPr>
        <w:t>Natriumphosphat</w:t>
      </w:r>
    </w:p>
    <w:p w14:paraId="7DF621E5" w14:textId="77777777" w:rsidR="00010E8C" w:rsidRPr="008076AF" w:rsidRDefault="00010E8C" w:rsidP="005F4D08">
      <w:pPr>
        <w:suppressAutoHyphens/>
        <w:spacing w:after="0" w:line="240" w:lineRule="auto"/>
        <w:rPr>
          <w:rFonts w:ascii="Times New Roman" w:hAnsi="Times New Roman" w:cs="Times New Roman"/>
        </w:rPr>
      </w:pPr>
      <w:r w:rsidRPr="008076AF">
        <w:rPr>
          <w:rFonts w:ascii="Times New Roman" w:hAnsi="Times New Roman" w:cs="Times New Roman"/>
        </w:rPr>
        <w:t>Polysorbat 20</w:t>
      </w:r>
    </w:p>
    <w:p w14:paraId="667F4866"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Wasser für Injektionszwecke</w:t>
      </w:r>
    </w:p>
    <w:p w14:paraId="3C0954C9" w14:textId="77777777" w:rsidR="00010E8C" w:rsidRPr="009737B5" w:rsidRDefault="00010E8C" w:rsidP="005F4D08">
      <w:pPr>
        <w:suppressAutoHyphens/>
        <w:spacing w:after="0" w:line="240" w:lineRule="auto"/>
        <w:rPr>
          <w:rFonts w:ascii="Times New Roman" w:hAnsi="Times New Roman" w:cs="Times New Roman"/>
          <w:lang w:val="de-DE"/>
        </w:rPr>
      </w:pPr>
    </w:p>
    <w:p w14:paraId="4D0673CB" w14:textId="77777777" w:rsidR="00010E8C" w:rsidRPr="009737B5" w:rsidRDefault="00EF3BAF" w:rsidP="00E95E0B">
      <w:pPr>
        <w:keepNext/>
        <w:keepLines/>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6.2</w:t>
      </w:r>
      <w:r w:rsidR="00010E8C" w:rsidRPr="009737B5">
        <w:rPr>
          <w:rFonts w:ascii="Times New Roman" w:hAnsi="Times New Roman" w:cs="Times New Roman"/>
          <w:b/>
          <w:lang w:val="de-DE"/>
        </w:rPr>
        <w:tab/>
        <w:t>Inkompatibilitäten</w:t>
      </w:r>
    </w:p>
    <w:p w14:paraId="0B95053F" w14:textId="77777777" w:rsidR="00010E8C" w:rsidRPr="009737B5" w:rsidRDefault="00010E8C" w:rsidP="00E95E0B">
      <w:pPr>
        <w:keepNext/>
        <w:keepLines/>
        <w:suppressAutoHyphens/>
        <w:spacing w:after="0" w:line="240" w:lineRule="auto"/>
        <w:rPr>
          <w:rFonts w:ascii="Times New Roman" w:hAnsi="Times New Roman" w:cs="Times New Roman"/>
          <w:lang w:val="de-DE"/>
        </w:rPr>
      </w:pPr>
    </w:p>
    <w:p w14:paraId="6EF6F4D6" w14:textId="4745D903" w:rsidR="00010E8C" w:rsidRPr="009737B5" w:rsidRDefault="00010E8C" w:rsidP="00E95E0B">
      <w:pPr>
        <w:keepNext/>
        <w:keepLines/>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Das Arzneimittel darf, außer mit den unter Abschnitt</w:t>
      </w:r>
      <w:r w:rsidR="00A23012">
        <w:rPr>
          <w:rFonts w:ascii="Times New Roman" w:hAnsi="Times New Roman" w:cs="Times New Roman"/>
          <w:lang w:val="de-DE"/>
        </w:rPr>
        <w:t> </w:t>
      </w:r>
      <w:r w:rsidRPr="009737B5">
        <w:rPr>
          <w:rFonts w:ascii="Times New Roman" w:hAnsi="Times New Roman" w:cs="Times New Roman"/>
          <w:lang w:val="de-DE"/>
        </w:rPr>
        <w:t>6.6 aufgeführten, nicht mit anderen Arzneimitteln gemischt werden.</w:t>
      </w:r>
    </w:p>
    <w:p w14:paraId="131BA35E" w14:textId="77777777" w:rsidR="00010E8C" w:rsidRPr="009737B5" w:rsidRDefault="00010E8C" w:rsidP="00E95E0B">
      <w:pPr>
        <w:keepNext/>
        <w:keepLines/>
        <w:suppressAutoHyphens/>
        <w:spacing w:after="0" w:line="240" w:lineRule="auto"/>
        <w:rPr>
          <w:rFonts w:ascii="Times New Roman" w:hAnsi="Times New Roman" w:cs="Times New Roman"/>
          <w:lang w:val="de-DE"/>
        </w:rPr>
      </w:pPr>
    </w:p>
    <w:p w14:paraId="2656F6BC"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Verdünnung mit Glucoselösungen (5</w:t>
      </w:r>
      <w:r w:rsidR="00322E40" w:rsidRPr="009737B5">
        <w:rPr>
          <w:rFonts w:ascii="Times New Roman" w:hAnsi="Times New Roman" w:cs="Times New Roman"/>
          <w:lang w:val="de-DE"/>
        </w:rPr>
        <w:t> %</w:t>
      </w:r>
      <w:r w:rsidRPr="009737B5">
        <w:rPr>
          <w:rFonts w:ascii="Times New Roman" w:hAnsi="Times New Roman" w:cs="Times New Roman"/>
          <w:lang w:val="de-DE"/>
        </w:rPr>
        <w:t>) wurde ein konzentrationsabhängiges Abbauprofil von Bevacizumab festgestellt.</w:t>
      </w:r>
    </w:p>
    <w:p w14:paraId="71445CDD" w14:textId="77777777" w:rsidR="00010E8C" w:rsidRPr="009737B5" w:rsidRDefault="00010E8C" w:rsidP="005F4D08">
      <w:pPr>
        <w:suppressAutoHyphens/>
        <w:spacing w:after="0" w:line="240" w:lineRule="auto"/>
        <w:rPr>
          <w:rFonts w:ascii="Times New Roman" w:hAnsi="Times New Roman" w:cs="Times New Roman"/>
          <w:lang w:val="de-DE"/>
        </w:rPr>
      </w:pPr>
    </w:p>
    <w:p w14:paraId="66AB90EE" w14:textId="77777777" w:rsidR="00010E8C" w:rsidRPr="009737B5" w:rsidRDefault="00EF3BAF" w:rsidP="008A7D7B">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6.3</w:t>
      </w:r>
      <w:r w:rsidR="00010E8C" w:rsidRPr="009737B5">
        <w:rPr>
          <w:rFonts w:ascii="Times New Roman" w:hAnsi="Times New Roman" w:cs="Times New Roman"/>
          <w:b/>
          <w:lang w:val="de-DE"/>
        </w:rPr>
        <w:tab/>
        <w:t>Dauer der Haltbarkeit</w:t>
      </w:r>
    </w:p>
    <w:p w14:paraId="5EE3E409"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67B0047C" w14:textId="77777777" w:rsidR="00010E8C" w:rsidRPr="009737B5" w:rsidRDefault="00010E8C" w:rsidP="008A7D7B">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Durchstechflasche (ungeöffnet)</w:t>
      </w:r>
    </w:p>
    <w:p w14:paraId="66A8F35E"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7A8D53AF" w14:textId="5DA31D6F"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2</w:t>
      </w:r>
      <w:r w:rsidR="00D5199D">
        <w:rPr>
          <w:rFonts w:ascii="Times New Roman" w:hAnsi="Times New Roman" w:cs="Times New Roman"/>
          <w:lang w:val="de-DE"/>
        </w:rPr>
        <w:t> </w:t>
      </w:r>
      <w:r w:rsidRPr="009737B5">
        <w:rPr>
          <w:rFonts w:ascii="Times New Roman" w:hAnsi="Times New Roman" w:cs="Times New Roman"/>
          <w:lang w:val="de-DE"/>
        </w:rPr>
        <w:t>Jahre</w:t>
      </w:r>
      <w:r w:rsidR="00B17C70" w:rsidRPr="009737B5">
        <w:rPr>
          <w:rFonts w:ascii="Times New Roman" w:hAnsi="Times New Roman" w:cs="Times New Roman"/>
          <w:lang w:val="de-DE"/>
        </w:rPr>
        <w:t>.</w:t>
      </w:r>
    </w:p>
    <w:p w14:paraId="1AD0480E" w14:textId="77777777" w:rsidR="00010E8C" w:rsidRPr="009737B5" w:rsidRDefault="00010E8C" w:rsidP="005F4D08">
      <w:pPr>
        <w:suppressAutoHyphens/>
        <w:spacing w:after="0" w:line="240" w:lineRule="auto"/>
        <w:rPr>
          <w:rFonts w:ascii="Times New Roman" w:hAnsi="Times New Roman" w:cs="Times New Roman"/>
          <w:lang w:val="de-DE"/>
        </w:rPr>
      </w:pPr>
    </w:p>
    <w:p w14:paraId="4368EEB8" w14:textId="77777777" w:rsidR="00010E8C" w:rsidRPr="009737B5" w:rsidRDefault="00010E8C" w:rsidP="008A7D7B">
      <w:pPr>
        <w:keepNext/>
        <w:suppressAutoHyphens/>
        <w:spacing w:after="0" w:line="240" w:lineRule="auto"/>
        <w:rPr>
          <w:rFonts w:ascii="Times New Roman" w:hAnsi="Times New Roman" w:cs="Times New Roman"/>
          <w:u w:val="single"/>
          <w:lang w:val="de-DE"/>
        </w:rPr>
      </w:pPr>
      <w:r w:rsidRPr="009737B5">
        <w:rPr>
          <w:rFonts w:ascii="Times New Roman" w:hAnsi="Times New Roman" w:cs="Times New Roman"/>
          <w:u w:val="single"/>
          <w:lang w:val="de-DE"/>
        </w:rPr>
        <w:t>Verdünntes Arzneimittel</w:t>
      </w:r>
    </w:p>
    <w:p w14:paraId="2B9AD413"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6DC69E76" w14:textId="76260914"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chemische und physikalische Anbruchstabilität wurde über </w:t>
      </w:r>
      <w:r w:rsidR="001B2020">
        <w:rPr>
          <w:rFonts w:ascii="Times New Roman" w:hAnsi="Times New Roman" w:cs="Times New Roman"/>
          <w:lang w:val="de-DE"/>
        </w:rPr>
        <w:t>35 Tage</w:t>
      </w:r>
      <w:r w:rsidRPr="009737B5">
        <w:rPr>
          <w:rFonts w:ascii="Times New Roman" w:hAnsi="Times New Roman" w:cs="Times New Roman"/>
          <w:lang w:val="de-DE"/>
        </w:rPr>
        <w:t xml:space="preserve"> bei 2</w:t>
      </w:r>
      <w:r w:rsidR="001B2020">
        <w:rPr>
          <w:rFonts w:ascii="Times New Roman" w:hAnsi="Times New Roman" w:cs="Times New Roman"/>
          <w:lang w:val="de-DE"/>
        </w:rPr>
        <w:t> </w:t>
      </w:r>
      <w:r w:rsidRPr="009737B5">
        <w:rPr>
          <w:rFonts w:ascii="Times New Roman" w:hAnsi="Times New Roman" w:cs="Times New Roman"/>
          <w:lang w:val="de-DE"/>
        </w:rPr>
        <w:t xml:space="preserve">°C bis </w:t>
      </w:r>
      <w:r w:rsidR="001B2020">
        <w:rPr>
          <w:rFonts w:ascii="Times New Roman" w:hAnsi="Times New Roman" w:cs="Times New Roman"/>
          <w:lang w:val="de-DE"/>
        </w:rPr>
        <w:t>8 </w:t>
      </w:r>
      <w:r w:rsidRPr="009737B5">
        <w:rPr>
          <w:rFonts w:ascii="Times New Roman" w:hAnsi="Times New Roman" w:cs="Times New Roman"/>
          <w:lang w:val="de-DE"/>
        </w:rPr>
        <w:t>°C</w:t>
      </w:r>
      <w:r w:rsidR="001B2020">
        <w:rPr>
          <w:rFonts w:ascii="Times New Roman" w:hAnsi="Times New Roman" w:cs="Times New Roman"/>
          <w:lang w:val="de-DE"/>
        </w:rPr>
        <w:t xml:space="preserve"> sowie weitere 48 Stunden bei Temperaturen bis 30 °C</w:t>
      </w:r>
      <w:r w:rsidRPr="009737B5">
        <w:rPr>
          <w:rFonts w:ascii="Times New Roman" w:hAnsi="Times New Roman" w:cs="Times New Roman"/>
          <w:lang w:val="de-DE"/>
        </w:rPr>
        <w:t xml:space="preserve"> in 0,9</w:t>
      </w:r>
      <w:r w:rsidR="00322E40" w:rsidRPr="009737B5">
        <w:rPr>
          <w:rFonts w:ascii="Times New Roman" w:hAnsi="Times New Roman" w:cs="Times New Roman"/>
          <w:lang w:val="de-DE"/>
        </w:rPr>
        <w:t> %</w:t>
      </w:r>
      <w:r w:rsidRPr="009737B5">
        <w:rPr>
          <w:rFonts w:ascii="Times New Roman" w:hAnsi="Times New Roman" w:cs="Times New Roman"/>
          <w:lang w:val="de-DE"/>
        </w:rPr>
        <w:t>iger (9</w:t>
      </w:r>
      <w:r w:rsidR="00AB26B9" w:rsidRPr="009737B5">
        <w:rPr>
          <w:rFonts w:ascii="Times New Roman" w:hAnsi="Times New Roman" w:cs="Times New Roman"/>
          <w:lang w:val="de-DE"/>
        </w:rPr>
        <w:t> mg</w:t>
      </w:r>
      <w:r w:rsidR="00C6251D" w:rsidRPr="009737B5">
        <w:rPr>
          <w:rFonts w:ascii="Times New Roman" w:hAnsi="Times New Roman" w:cs="Times New Roman"/>
          <w:lang w:val="de-DE"/>
        </w:rPr>
        <w:t>/ml</w:t>
      </w:r>
      <w:r w:rsidRPr="009737B5">
        <w:rPr>
          <w:rFonts w:ascii="Times New Roman" w:hAnsi="Times New Roman" w:cs="Times New Roman"/>
          <w:lang w:val="de-DE"/>
        </w:rPr>
        <w:t>) Kochsalzlösung zur Injektion nachgewiesen. Aus mikrobiologischer Sicht sollte das Produkt sofort verwendet werden. Wenn es nicht sofort verwendet wird, liegen die Lagerzeiten und Lagerbedingungen nach Anbruch in der Verantwortung des Anwenders und sollten im Normalfall</w:t>
      </w:r>
      <w:r w:rsidR="007B448F" w:rsidRPr="009737B5">
        <w:rPr>
          <w:rFonts w:ascii="Times New Roman" w:hAnsi="Times New Roman" w:cs="Times New Roman"/>
          <w:lang w:val="de-DE"/>
        </w:rPr>
        <w:t xml:space="preserve"> </w:t>
      </w:r>
      <w:r w:rsidRPr="009737B5">
        <w:rPr>
          <w:rFonts w:ascii="Times New Roman" w:hAnsi="Times New Roman" w:cs="Times New Roman"/>
          <w:lang w:val="de-DE"/>
        </w:rPr>
        <w:t>24</w:t>
      </w:r>
      <w:r w:rsidR="00A23012">
        <w:rPr>
          <w:rFonts w:ascii="Times New Roman" w:hAnsi="Times New Roman" w:cs="Times New Roman"/>
          <w:lang w:val="de-DE"/>
        </w:rPr>
        <w:t> </w:t>
      </w:r>
      <w:r w:rsidRPr="009737B5">
        <w:rPr>
          <w:rFonts w:ascii="Times New Roman" w:hAnsi="Times New Roman" w:cs="Times New Roman"/>
          <w:lang w:val="de-DE"/>
        </w:rPr>
        <w:t>Stunden bei 2</w:t>
      </w:r>
      <w:r w:rsidR="00A23012">
        <w:rPr>
          <w:rFonts w:ascii="Times New Roman" w:hAnsi="Times New Roman" w:cs="Times New Roman"/>
          <w:lang w:val="de-DE"/>
        </w:rPr>
        <w:t> </w:t>
      </w:r>
      <w:r w:rsidRPr="009737B5">
        <w:rPr>
          <w:rFonts w:ascii="Times New Roman" w:hAnsi="Times New Roman" w:cs="Times New Roman"/>
          <w:lang w:val="de-DE"/>
        </w:rPr>
        <w:t>°C bis 8</w:t>
      </w:r>
      <w:r w:rsidR="00A23012">
        <w:rPr>
          <w:rFonts w:ascii="Times New Roman" w:hAnsi="Times New Roman" w:cs="Times New Roman"/>
          <w:lang w:val="de-DE"/>
        </w:rPr>
        <w:t> </w:t>
      </w:r>
      <w:r w:rsidRPr="009737B5">
        <w:rPr>
          <w:rFonts w:ascii="Times New Roman" w:hAnsi="Times New Roman" w:cs="Times New Roman"/>
          <w:lang w:val="de-DE"/>
        </w:rPr>
        <w:t>°C nicht überschreiten, es sei denn, die Verdünnung wurde unter kontrollierten und validierten aseptischen Bedingungen hergestellt.</w:t>
      </w:r>
    </w:p>
    <w:p w14:paraId="77BA1298" w14:textId="77777777" w:rsidR="00010E8C" w:rsidRPr="009737B5" w:rsidRDefault="00010E8C" w:rsidP="005F4D08">
      <w:pPr>
        <w:suppressAutoHyphens/>
        <w:spacing w:after="0" w:line="240" w:lineRule="auto"/>
        <w:rPr>
          <w:rFonts w:ascii="Times New Roman" w:hAnsi="Times New Roman" w:cs="Times New Roman"/>
          <w:lang w:val="de-DE"/>
        </w:rPr>
      </w:pPr>
    </w:p>
    <w:p w14:paraId="386849A1" w14:textId="77777777" w:rsidR="00010E8C" w:rsidRPr="009737B5" w:rsidRDefault="007B448F" w:rsidP="008A7D7B">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6.4</w:t>
      </w:r>
      <w:r w:rsidR="00010E8C" w:rsidRPr="009737B5">
        <w:rPr>
          <w:rFonts w:ascii="Times New Roman" w:hAnsi="Times New Roman" w:cs="Times New Roman"/>
          <w:b/>
          <w:lang w:val="de-DE"/>
        </w:rPr>
        <w:tab/>
        <w:t>Besondere Vorsichtsmaßnahmen für die Aufbewahrung</w:t>
      </w:r>
    </w:p>
    <w:p w14:paraId="13DD7B6F"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32D511EA" w14:textId="4B644A6F"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Im Kühlschrank lagern (2</w:t>
      </w:r>
      <w:r w:rsidR="00A23012">
        <w:rPr>
          <w:rFonts w:ascii="Times New Roman" w:hAnsi="Times New Roman" w:cs="Times New Roman"/>
          <w:lang w:val="de-DE"/>
        </w:rPr>
        <w:t> </w:t>
      </w:r>
      <w:r w:rsidRPr="009737B5">
        <w:rPr>
          <w:rFonts w:ascii="Times New Roman" w:hAnsi="Times New Roman" w:cs="Times New Roman"/>
          <w:lang w:val="de-DE"/>
        </w:rPr>
        <w:t>°C</w:t>
      </w:r>
      <w:r w:rsidR="00A23012">
        <w:rPr>
          <w:rFonts w:ascii="Times New Roman" w:hAnsi="Times New Roman" w:cs="Times New Roman"/>
          <w:lang w:val="de-DE"/>
        </w:rPr>
        <w:t> – </w:t>
      </w:r>
      <w:r w:rsidRPr="009737B5">
        <w:rPr>
          <w:rFonts w:ascii="Times New Roman" w:hAnsi="Times New Roman" w:cs="Times New Roman"/>
          <w:lang w:val="de-DE"/>
        </w:rPr>
        <w:t>8</w:t>
      </w:r>
      <w:r w:rsidR="00A23012">
        <w:rPr>
          <w:rFonts w:ascii="Times New Roman" w:hAnsi="Times New Roman" w:cs="Times New Roman"/>
          <w:lang w:val="de-DE"/>
        </w:rPr>
        <w:t> </w:t>
      </w:r>
      <w:r w:rsidRPr="009737B5">
        <w:rPr>
          <w:rFonts w:ascii="Times New Roman" w:hAnsi="Times New Roman" w:cs="Times New Roman"/>
          <w:lang w:val="de-DE"/>
        </w:rPr>
        <w:t>°C).</w:t>
      </w:r>
    </w:p>
    <w:p w14:paraId="331D0783"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Nicht einfrieren.</w:t>
      </w:r>
    </w:p>
    <w:p w14:paraId="7BB60DB2"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Durchstechflasche im Umkarton aufbewahren, um den Inhalt vor Licht zu schützen.</w:t>
      </w:r>
    </w:p>
    <w:p w14:paraId="12384F17" w14:textId="77777777" w:rsidR="00010E8C" w:rsidRPr="009737B5" w:rsidRDefault="00010E8C" w:rsidP="005F4D08">
      <w:pPr>
        <w:suppressAutoHyphens/>
        <w:spacing w:after="0" w:line="240" w:lineRule="auto"/>
        <w:rPr>
          <w:rFonts w:ascii="Times New Roman" w:hAnsi="Times New Roman" w:cs="Times New Roman"/>
          <w:lang w:val="de-DE"/>
        </w:rPr>
      </w:pPr>
    </w:p>
    <w:p w14:paraId="153EEEB7" w14:textId="61885F6F"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Aufbewahrungsbedingungen nach Verdünnung des Arzneimittels, siehe Abschnitt</w:t>
      </w:r>
      <w:r w:rsidR="00A23012">
        <w:rPr>
          <w:rFonts w:ascii="Times New Roman" w:hAnsi="Times New Roman" w:cs="Times New Roman"/>
          <w:lang w:val="de-DE"/>
        </w:rPr>
        <w:t> </w:t>
      </w:r>
      <w:r w:rsidRPr="009737B5">
        <w:rPr>
          <w:rFonts w:ascii="Times New Roman" w:hAnsi="Times New Roman" w:cs="Times New Roman"/>
          <w:lang w:val="de-DE"/>
        </w:rPr>
        <w:t>6.3.</w:t>
      </w:r>
    </w:p>
    <w:p w14:paraId="2A588F4A" w14:textId="77777777" w:rsidR="00010E8C" w:rsidRPr="009737B5" w:rsidRDefault="00010E8C" w:rsidP="005F4D08">
      <w:pPr>
        <w:suppressAutoHyphens/>
        <w:spacing w:after="0" w:line="240" w:lineRule="auto"/>
        <w:rPr>
          <w:rFonts w:ascii="Times New Roman" w:hAnsi="Times New Roman" w:cs="Times New Roman"/>
          <w:lang w:val="de-DE"/>
        </w:rPr>
      </w:pPr>
    </w:p>
    <w:p w14:paraId="227DD530" w14:textId="77777777" w:rsidR="00010E8C" w:rsidRPr="009737B5" w:rsidRDefault="007B448F" w:rsidP="008A7D7B">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6.5</w:t>
      </w:r>
      <w:r w:rsidR="00010E8C" w:rsidRPr="009737B5">
        <w:rPr>
          <w:rFonts w:ascii="Times New Roman" w:hAnsi="Times New Roman" w:cs="Times New Roman"/>
          <w:b/>
          <w:lang w:val="de-DE"/>
        </w:rPr>
        <w:tab/>
        <w:t>Art und Inhalt des Behältnisses</w:t>
      </w:r>
    </w:p>
    <w:p w14:paraId="50685AF8"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4E76AF57" w14:textId="47C220BB"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4</w:t>
      </w:r>
      <w:r w:rsidR="00AB26B9" w:rsidRPr="009737B5">
        <w:rPr>
          <w:rFonts w:ascii="Times New Roman" w:hAnsi="Times New Roman" w:cs="Times New Roman"/>
          <w:lang w:val="de-DE"/>
        </w:rPr>
        <w:t> ml</w:t>
      </w:r>
      <w:r w:rsidRPr="009737B5">
        <w:rPr>
          <w:rFonts w:ascii="Times New Roman" w:hAnsi="Times New Roman" w:cs="Times New Roman"/>
          <w:lang w:val="de-DE"/>
        </w:rPr>
        <w:t xml:space="preserve"> Lösung in einer Durchstechflasche (Glasart</w:t>
      </w:r>
      <w:r w:rsidR="00A23012">
        <w:rPr>
          <w:rFonts w:ascii="Times New Roman" w:hAnsi="Times New Roman" w:cs="Times New Roman"/>
          <w:lang w:val="de-DE"/>
        </w:rPr>
        <w:t> </w:t>
      </w:r>
      <w:r w:rsidRPr="009737B5">
        <w:rPr>
          <w:rFonts w:ascii="Times New Roman" w:hAnsi="Times New Roman" w:cs="Times New Roman"/>
          <w:lang w:val="de-DE"/>
        </w:rPr>
        <w:t>I) mit Stopfen (Butylgummi). Eine Durchstechflasche enthält 100</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 Bevacizumab.</w:t>
      </w:r>
    </w:p>
    <w:p w14:paraId="3A316EE1" w14:textId="7D6E85FD"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16</w:t>
      </w:r>
      <w:r w:rsidR="00AB26B9" w:rsidRPr="009737B5">
        <w:rPr>
          <w:rFonts w:ascii="Times New Roman" w:hAnsi="Times New Roman" w:cs="Times New Roman"/>
          <w:lang w:val="de-DE"/>
        </w:rPr>
        <w:t> ml</w:t>
      </w:r>
      <w:r w:rsidRPr="009737B5">
        <w:rPr>
          <w:rFonts w:ascii="Times New Roman" w:hAnsi="Times New Roman" w:cs="Times New Roman"/>
          <w:lang w:val="de-DE"/>
        </w:rPr>
        <w:t xml:space="preserve"> Lösung in einer Durchstechflasche (Glasart</w:t>
      </w:r>
      <w:r w:rsidR="00A23012">
        <w:rPr>
          <w:rFonts w:ascii="Times New Roman" w:hAnsi="Times New Roman" w:cs="Times New Roman"/>
          <w:lang w:val="de-DE"/>
        </w:rPr>
        <w:t> </w:t>
      </w:r>
      <w:r w:rsidRPr="009737B5">
        <w:rPr>
          <w:rFonts w:ascii="Times New Roman" w:hAnsi="Times New Roman" w:cs="Times New Roman"/>
          <w:lang w:val="de-DE"/>
        </w:rPr>
        <w:t>I) mit Stopfen (Butylgummi). Eine Durchstechflasche enthält 400</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 Bevacizumab.</w:t>
      </w:r>
    </w:p>
    <w:p w14:paraId="15777227" w14:textId="77777777" w:rsidR="00010E8C" w:rsidRPr="009737B5" w:rsidRDefault="00010E8C" w:rsidP="005F4D08">
      <w:pPr>
        <w:suppressAutoHyphens/>
        <w:spacing w:after="0" w:line="240" w:lineRule="auto"/>
        <w:rPr>
          <w:rFonts w:ascii="Times New Roman" w:hAnsi="Times New Roman" w:cs="Times New Roman"/>
          <w:lang w:val="de-DE"/>
        </w:rPr>
      </w:pPr>
    </w:p>
    <w:p w14:paraId="2262EF6D"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Packung mit einer Durchstechflasche.</w:t>
      </w:r>
    </w:p>
    <w:p w14:paraId="4887F759" w14:textId="77777777" w:rsidR="00010E8C" w:rsidRPr="009737B5" w:rsidRDefault="00010E8C" w:rsidP="005F4D08">
      <w:pPr>
        <w:suppressAutoHyphens/>
        <w:spacing w:after="0" w:line="240" w:lineRule="auto"/>
        <w:rPr>
          <w:rFonts w:ascii="Times New Roman" w:hAnsi="Times New Roman" w:cs="Times New Roman"/>
          <w:lang w:val="de-DE"/>
        </w:rPr>
      </w:pPr>
    </w:p>
    <w:p w14:paraId="2328E780" w14:textId="77777777" w:rsidR="00010E8C" w:rsidRPr="009737B5" w:rsidRDefault="007B448F" w:rsidP="008A7D7B">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6.6</w:t>
      </w:r>
      <w:r w:rsidR="00010E8C" w:rsidRPr="009737B5">
        <w:rPr>
          <w:rFonts w:ascii="Times New Roman" w:hAnsi="Times New Roman" w:cs="Times New Roman"/>
          <w:b/>
          <w:lang w:val="de-DE"/>
        </w:rPr>
        <w:tab/>
        <w:t>Besondere Vorsichtsmaßnahmen für die Beseitigung und sonstige Hinweise zur Handhabung</w:t>
      </w:r>
    </w:p>
    <w:p w14:paraId="7345EEFE"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77592428" w14:textId="7C9CAB40" w:rsidR="00BC44E1" w:rsidRDefault="00BC44E1" w:rsidP="005F4D08">
      <w:pPr>
        <w:suppressAutoHyphens/>
        <w:spacing w:after="0" w:line="240" w:lineRule="auto"/>
        <w:rPr>
          <w:rFonts w:ascii="Times New Roman" w:hAnsi="Times New Roman" w:cs="Times New Roman"/>
          <w:lang w:val="de-DE"/>
        </w:rPr>
      </w:pPr>
      <w:r w:rsidRPr="00BC44E1">
        <w:rPr>
          <w:rFonts w:ascii="Times New Roman" w:hAnsi="Times New Roman" w:cs="Times New Roman"/>
          <w:lang w:val="de-DE"/>
        </w:rPr>
        <w:t>Durchstechflasche nicht schütteln.</w:t>
      </w:r>
    </w:p>
    <w:p w14:paraId="2C793DEB" w14:textId="77777777" w:rsidR="00BC44E1" w:rsidRDefault="00BC44E1" w:rsidP="005F4D08">
      <w:pPr>
        <w:suppressAutoHyphens/>
        <w:spacing w:after="0" w:line="240" w:lineRule="auto"/>
        <w:rPr>
          <w:rFonts w:ascii="Times New Roman" w:hAnsi="Times New Roman" w:cs="Times New Roman"/>
          <w:lang w:val="de-DE"/>
        </w:rPr>
      </w:pPr>
    </w:p>
    <w:p w14:paraId="5CEE69C7" w14:textId="694C3AD0" w:rsidR="00010E8C"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lastRenderedPageBreak/>
        <w:t>MVASI</w:t>
      </w:r>
      <w:r w:rsidR="00E66F51" w:rsidRPr="009737B5">
        <w:rPr>
          <w:rFonts w:ascii="Times New Roman" w:hAnsi="Times New Roman" w:cs="Times New Roman"/>
          <w:lang w:val="de-DE"/>
        </w:rPr>
        <w:t xml:space="preserve"> </w:t>
      </w:r>
      <w:r w:rsidR="00010E8C" w:rsidRPr="009737B5">
        <w:rPr>
          <w:rFonts w:ascii="Times New Roman" w:hAnsi="Times New Roman" w:cs="Times New Roman"/>
          <w:lang w:val="de-DE"/>
        </w:rPr>
        <w:t>ist durch entsprechend ausgebildetes Personal unter aseptischen Bedingungen zuzubereiten, um zu gewährleisten, dass die zubereitete Lösung steril bleibt.</w:t>
      </w:r>
      <w:r w:rsidR="001E64E5">
        <w:rPr>
          <w:rFonts w:ascii="Times New Roman" w:hAnsi="Times New Roman" w:cs="Times New Roman"/>
          <w:lang w:val="de-DE"/>
        </w:rPr>
        <w:t xml:space="preserve"> Zur Zubereitung von MVASI sind eine sterile Nadel und Spritze zu verwenden.</w:t>
      </w:r>
    </w:p>
    <w:p w14:paraId="415CD986" w14:textId="77777777" w:rsidR="00010E8C" w:rsidRPr="009737B5" w:rsidRDefault="00010E8C" w:rsidP="005F4D08">
      <w:pPr>
        <w:suppressAutoHyphens/>
        <w:spacing w:after="0" w:line="240" w:lineRule="auto"/>
        <w:rPr>
          <w:rFonts w:ascii="Times New Roman" w:hAnsi="Times New Roman" w:cs="Times New Roman"/>
          <w:lang w:val="de-DE"/>
        </w:rPr>
      </w:pPr>
    </w:p>
    <w:p w14:paraId="2211C88B" w14:textId="27B3855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erforderliche Menge Bevacizumab ist zu entnehmen und mit 0,9</w:t>
      </w:r>
      <w:r w:rsidR="00322E40" w:rsidRPr="009737B5">
        <w:rPr>
          <w:rFonts w:ascii="Times New Roman" w:hAnsi="Times New Roman" w:cs="Times New Roman"/>
          <w:lang w:val="de-DE"/>
        </w:rPr>
        <w:t> %</w:t>
      </w:r>
      <w:r w:rsidRPr="009737B5">
        <w:rPr>
          <w:rFonts w:ascii="Times New Roman" w:hAnsi="Times New Roman" w:cs="Times New Roman"/>
          <w:lang w:val="de-DE"/>
        </w:rPr>
        <w:t>iger (9</w:t>
      </w:r>
      <w:r w:rsidR="00AB26B9" w:rsidRPr="009737B5">
        <w:rPr>
          <w:rFonts w:ascii="Times New Roman" w:hAnsi="Times New Roman" w:cs="Times New Roman"/>
          <w:lang w:val="de-DE"/>
        </w:rPr>
        <w:t> mg</w:t>
      </w:r>
      <w:r w:rsidR="00C6251D" w:rsidRPr="009737B5">
        <w:rPr>
          <w:rFonts w:ascii="Times New Roman" w:hAnsi="Times New Roman" w:cs="Times New Roman"/>
          <w:lang w:val="de-DE"/>
        </w:rPr>
        <w:t>/ml</w:t>
      </w:r>
      <w:r w:rsidRPr="009737B5">
        <w:rPr>
          <w:rFonts w:ascii="Times New Roman" w:hAnsi="Times New Roman" w:cs="Times New Roman"/>
          <w:lang w:val="de-DE"/>
        </w:rPr>
        <w:t>) Kochsalzlösung zur Injektion auf das gewünschte Applikationsvolumen zu verdünnen. Die Konzentration der resultierenden Bevacizumab-Lösung sollte im Bereich 1,4</w:t>
      </w:r>
      <w:r w:rsidR="00AB26B9" w:rsidRPr="009737B5">
        <w:rPr>
          <w:rFonts w:ascii="Times New Roman" w:hAnsi="Times New Roman" w:cs="Times New Roman"/>
          <w:lang w:val="de-DE"/>
        </w:rPr>
        <w:t> mg</w:t>
      </w:r>
      <w:r w:rsidR="00C6251D" w:rsidRPr="009737B5">
        <w:rPr>
          <w:rFonts w:ascii="Times New Roman" w:hAnsi="Times New Roman" w:cs="Times New Roman"/>
          <w:lang w:val="de-DE"/>
        </w:rPr>
        <w:t>/ml</w:t>
      </w:r>
      <w:r w:rsidRPr="009737B5">
        <w:rPr>
          <w:rFonts w:ascii="Times New Roman" w:hAnsi="Times New Roman" w:cs="Times New Roman"/>
          <w:lang w:val="de-DE"/>
        </w:rPr>
        <w:t xml:space="preserve"> bis 16,5</w:t>
      </w:r>
      <w:r w:rsidR="00AB26B9" w:rsidRPr="009737B5">
        <w:rPr>
          <w:rFonts w:ascii="Times New Roman" w:hAnsi="Times New Roman" w:cs="Times New Roman"/>
          <w:lang w:val="de-DE"/>
        </w:rPr>
        <w:t> mg</w:t>
      </w:r>
      <w:r w:rsidR="00C6251D" w:rsidRPr="009737B5">
        <w:rPr>
          <w:rFonts w:ascii="Times New Roman" w:hAnsi="Times New Roman" w:cs="Times New Roman"/>
          <w:lang w:val="de-DE"/>
        </w:rPr>
        <w:t>/ml</w:t>
      </w:r>
      <w:r w:rsidRPr="009737B5">
        <w:rPr>
          <w:rFonts w:ascii="Times New Roman" w:hAnsi="Times New Roman" w:cs="Times New Roman"/>
          <w:lang w:val="de-DE"/>
        </w:rPr>
        <w:t xml:space="preserve"> liegen. In den meisten Fällen kann die erforderliche Menge an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mit Kochsalzinjektionslösung</w:t>
      </w:r>
      <w:r w:rsidR="00CE1CB1">
        <w:rPr>
          <w:rFonts w:ascii="Times New Roman" w:hAnsi="Times New Roman" w:cs="Times New Roman"/>
          <w:lang w:val="de-DE"/>
        </w:rPr>
        <w:t xml:space="preserve"> 9 mg/ml (0,9 %)</w:t>
      </w:r>
      <w:r w:rsidRPr="009737B5">
        <w:rPr>
          <w:rFonts w:ascii="Times New Roman" w:hAnsi="Times New Roman" w:cs="Times New Roman"/>
          <w:lang w:val="de-DE"/>
        </w:rPr>
        <w:t xml:space="preserve"> auf ein Gesamtvolumen von 100</w:t>
      </w:r>
      <w:r w:rsidR="00AB26B9" w:rsidRPr="009737B5">
        <w:rPr>
          <w:rFonts w:ascii="Times New Roman" w:hAnsi="Times New Roman" w:cs="Times New Roman"/>
          <w:lang w:val="de-DE"/>
        </w:rPr>
        <w:t> ml</w:t>
      </w:r>
      <w:r w:rsidRPr="009737B5">
        <w:rPr>
          <w:rFonts w:ascii="Times New Roman" w:hAnsi="Times New Roman" w:cs="Times New Roman"/>
          <w:lang w:val="de-DE"/>
        </w:rPr>
        <w:t xml:space="preserve"> verdünnt werden.</w:t>
      </w:r>
    </w:p>
    <w:p w14:paraId="1F472E53" w14:textId="77777777" w:rsidR="00010E8C" w:rsidRPr="009737B5" w:rsidRDefault="00010E8C" w:rsidP="005F4D08">
      <w:pPr>
        <w:suppressAutoHyphens/>
        <w:spacing w:after="0" w:line="240" w:lineRule="auto"/>
        <w:rPr>
          <w:rFonts w:ascii="Times New Roman" w:hAnsi="Times New Roman" w:cs="Times New Roman"/>
          <w:lang w:val="de-DE"/>
        </w:rPr>
      </w:pPr>
    </w:p>
    <w:p w14:paraId="08C8F7FA"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Arzneimittel für die parenterale Anwendung sind vor Applikation optisch auf Schwebstoffe und Verfärbungen zu überprüfen.</w:t>
      </w:r>
    </w:p>
    <w:p w14:paraId="20DDF2C9" w14:textId="77777777" w:rsidR="00010E8C" w:rsidRPr="009737B5" w:rsidRDefault="00010E8C" w:rsidP="005F4D08">
      <w:pPr>
        <w:suppressAutoHyphens/>
        <w:spacing w:after="0" w:line="240" w:lineRule="auto"/>
        <w:rPr>
          <w:rFonts w:ascii="Times New Roman" w:hAnsi="Times New Roman" w:cs="Times New Roman"/>
          <w:lang w:val="de-DE"/>
        </w:rPr>
      </w:pPr>
    </w:p>
    <w:p w14:paraId="7DB7CF00" w14:textId="77777777" w:rsidR="00010E8C"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Es wurden keine Inkompatibilitäten zwischen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und Polyvinylchlorid- oder Polyolefin-Beuteln oder Infusions-Sets beobachtet.</w:t>
      </w:r>
    </w:p>
    <w:p w14:paraId="0F8D25DE" w14:textId="77777777" w:rsidR="00010E8C" w:rsidRPr="009737B5" w:rsidRDefault="00010E8C" w:rsidP="005F4D08">
      <w:pPr>
        <w:suppressAutoHyphens/>
        <w:spacing w:after="0" w:line="240" w:lineRule="auto"/>
        <w:rPr>
          <w:rFonts w:ascii="Times New Roman" w:hAnsi="Times New Roman" w:cs="Times New Roman"/>
          <w:lang w:val="de-DE"/>
        </w:rPr>
      </w:pPr>
    </w:p>
    <w:p w14:paraId="34F27AA9" w14:textId="77777777" w:rsidR="00010E8C"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010E8C" w:rsidRPr="009737B5">
        <w:rPr>
          <w:rFonts w:ascii="Times New Roman" w:hAnsi="Times New Roman" w:cs="Times New Roman"/>
          <w:lang w:val="de-DE"/>
        </w:rPr>
        <w:t xml:space="preserve"> ist zur einmaligen Anwendung bestimmt, da das Produkt keine Konservierungsmittel enthält. Nicht verwendetes Arzneimittel oder Abfallmaterial ist entsprechend den nationalen Anforderungen zu beseitigen.</w:t>
      </w:r>
    </w:p>
    <w:p w14:paraId="55586409" w14:textId="77777777" w:rsidR="00010E8C" w:rsidRPr="009737B5" w:rsidRDefault="00010E8C" w:rsidP="005F4D08">
      <w:pPr>
        <w:suppressAutoHyphens/>
        <w:spacing w:after="0" w:line="240" w:lineRule="auto"/>
        <w:rPr>
          <w:rFonts w:ascii="Times New Roman" w:hAnsi="Times New Roman" w:cs="Times New Roman"/>
          <w:lang w:val="de-DE"/>
        </w:rPr>
      </w:pPr>
    </w:p>
    <w:p w14:paraId="3B02816A" w14:textId="77777777" w:rsidR="00010E8C" w:rsidRPr="009737B5" w:rsidRDefault="00010E8C" w:rsidP="005F4D08">
      <w:pPr>
        <w:suppressAutoHyphens/>
        <w:spacing w:after="0" w:line="240" w:lineRule="auto"/>
        <w:rPr>
          <w:rFonts w:ascii="Times New Roman" w:hAnsi="Times New Roman" w:cs="Times New Roman"/>
          <w:lang w:val="de-DE"/>
        </w:rPr>
      </w:pPr>
    </w:p>
    <w:p w14:paraId="6A2B98AC" w14:textId="77777777" w:rsidR="00010E8C" w:rsidRPr="009737B5" w:rsidRDefault="007B448F" w:rsidP="008A7D7B">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7.</w:t>
      </w:r>
      <w:r w:rsidR="00010E8C" w:rsidRPr="009737B5">
        <w:rPr>
          <w:rFonts w:ascii="Times New Roman" w:hAnsi="Times New Roman" w:cs="Times New Roman"/>
          <w:b/>
          <w:lang w:val="de-DE"/>
        </w:rPr>
        <w:tab/>
        <w:t>INHABER DER ZULASSUNG</w:t>
      </w:r>
    </w:p>
    <w:p w14:paraId="258CDE2B"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4CD82FD4" w14:textId="77777777" w:rsidR="00181788" w:rsidRPr="001661A9" w:rsidRDefault="00181788" w:rsidP="00122B74">
      <w:pPr>
        <w:keepNext/>
        <w:spacing w:after="0" w:line="240" w:lineRule="auto"/>
        <w:rPr>
          <w:rFonts w:ascii="Times New Roman" w:hAnsi="Times New Roman" w:cs="Times New Roman"/>
          <w:lang w:val="de-DE"/>
        </w:rPr>
      </w:pPr>
      <w:r w:rsidRPr="001661A9">
        <w:rPr>
          <w:rFonts w:ascii="Times New Roman" w:hAnsi="Times New Roman" w:cs="Times New Roman"/>
          <w:lang w:val="de-DE"/>
        </w:rPr>
        <w:t>Amgen Technology (Ireland) UC,</w:t>
      </w:r>
    </w:p>
    <w:p w14:paraId="1CAFA5B8" w14:textId="77777777" w:rsidR="00181788" w:rsidRPr="00122B74" w:rsidRDefault="00181788" w:rsidP="00122B74">
      <w:pPr>
        <w:keepNext/>
        <w:spacing w:after="0" w:line="240" w:lineRule="auto"/>
        <w:rPr>
          <w:rFonts w:ascii="Times New Roman" w:hAnsi="Times New Roman" w:cs="Times New Roman"/>
        </w:rPr>
      </w:pPr>
      <w:r w:rsidRPr="00122B74">
        <w:rPr>
          <w:rFonts w:ascii="Times New Roman" w:hAnsi="Times New Roman" w:cs="Times New Roman"/>
        </w:rPr>
        <w:t>Pottery Road,</w:t>
      </w:r>
    </w:p>
    <w:p w14:paraId="1975452F" w14:textId="77777777" w:rsidR="00181788" w:rsidRPr="00122B74" w:rsidRDefault="00181788" w:rsidP="00122B74">
      <w:pPr>
        <w:keepNext/>
        <w:spacing w:after="0" w:line="240" w:lineRule="auto"/>
        <w:rPr>
          <w:rFonts w:ascii="Times New Roman" w:hAnsi="Times New Roman" w:cs="Times New Roman"/>
        </w:rPr>
      </w:pPr>
      <w:r w:rsidRPr="00122B74">
        <w:rPr>
          <w:rFonts w:ascii="Times New Roman" w:hAnsi="Times New Roman" w:cs="Times New Roman"/>
        </w:rPr>
        <w:t>Dun Laoghaire,</w:t>
      </w:r>
    </w:p>
    <w:p w14:paraId="42EBDE89" w14:textId="77777777" w:rsidR="00181788" w:rsidRPr="00122B74" w:rsidRDefault="00181788" w:rsidP="00122B74">
      <w:pPr>
        <w:keepNext/>
        <w:spacing w:after="0" w:line="240" w:lineRule="auto"/>
        <w:rPr>
          <w:rFonts w:ascii="Times New Roman" w:hAnsi="Times New Roman" w:cs="Times New Roman"/>
        </w:rPr>
      </w:pPr>
      <w:r w:rsidRPr="00122B74">
        <w:rPr>
          <w:rFonts w:ascii="Times New Roman" w:hAnsi="Times New Roman" w:cs="Times New Roman"/>
        </w:rPr>
        <w:t>Co. Dublin,</w:t>
      </w:r>
    </w:p>
    <w:p w14:paraId="743BEE63" w14:textId="2E8216B6" w:rsidR="00E66F51" w:rsidRPr="009737B5" w:rsidRDefault="00181788">
      <w:pPr>
        <w:suppressAutoHyphens/>
        <w:spacing w:after="0" w:line="240" w:lineRule="auto"/>
        <w:rPr>
          <w:rFonts w:ascii="Times New Roman" w:hAnsi="Times New Roman" w:cs="Times New Roman"/>
          <w:lang w:val="de-DE"/>
        </w:rPr>
      </w:pPr>
      <w:r w:rsidRPr="00181788">
        <w:rPr>
          <w:rFonts w:ascii="Times New Roman" w:eastAsia="Times New Roman" w:hAnsi="Times New Roman" w:cs="Times New Roman"/>
          <w:color w:val="000000"/>
          <w:lang w:val="de-DE"/>
        </w:rPr>
        <w:t>Irland</w:t>
      </w:r>
    </w:p>
    <w:p w14:paraId="3A35504A" w14:textId="77777777" w:rsidR="00010E8C" w:rsidRPr="009737B5" w:rsidRDefault="00010E8C" w:rsidP="005F4D08">
      <w:pPr>
        <w:suppressAutoHyphens/>
        <w:spacing w:after="0" w:line="240" w:lineRule="auto"/>
        <w:rPr>
          <w:rFonts w:ascii="Times New Roman" w:hAnsi="Times New Roman" w:cs="Times New Roman"/>
          <w:lang w:val="de-DE"/>
        </w:rPr>
      </w:pPr>
    </w:p>
    <w:p w14:paraId="2A55F855" w14:textId="77777777" w:rsidR="00010E8C" w:rsidRPr="009737B5" w:rsidRDefault="00010E8C" w:rsidP="005F4D08">
      <w:pPr>
        <w:suppressAutoHyphens/>
        <w:spacing w:after="0" w:line="240" w:lineRule="auto"/>
        <w:rPr>
          <w:rFonts w:ascii="Times New Roman" w:hAnsi="Times New Roman" w:cs="Times New Roman"/>
          <w:lang w:val="de-DE"/>
        </w:rPr>
      </w:pPr>
    </w:p>
    <w:p w14:paraId="3F24995D" w14:textId="77777777" w:rsidR="00010E8C" w:rsidRPr="009737B5" w:rsidRDefault="007B448F" w:rsidP="008A7D7B">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8.</w:t>
      </w:r>
      <w:r w:rsidR="00010E8C" w:rsidRPr="009737B5">
        <w:rPr>
          <w:rFonts w:ascii="Times New Roman" w:hAnsi="Times New Roman" w:cs="Times New Roman"/>
          <w:b/>
          <w:lang w:val="de-DE"/>
        </w:rPr>
        <w:tab/>
        <w:t>ZULASSUNGSNUMMER(N)</w:t>
      </w:r>
    </w:p>
    <w:p w14:paraId="7A1C5F5F"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2D83B081" w14:textId="77777777" w:rsidR="00604365" w:rsidRPr="009737B5" w:rsidRDefault="00604365" w:rsidP="000B6CC4">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EU/1/17/1246/001</w:t>
      </w:r>
    </w:p>
    <w:p w14:paraId="30171B68" w14:textId="77777777" w:rsidR="00010E8C" w:rsidRPr="009737B5" w:rsidRDefault="00604365"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EU/1/17/1246/002</w:t>
      </w:r>
    </w:p>
    <w:p w14:paraId="018336C2" w14:textId="77777777" w:rsidR="00010E8C" w:rsidRPr="009737B5" w:rsidRDefault="00010E8C" w:rsidP="005F4D08">
      <w:pPr>
        <w:suppressAutoHyphens/>
        <w:spacing w:after="0" w:line="240" w:lineRule="auto"/>
        <w:rPr>
          <w:rFonts w:ascii="Times New Roman" w:hAnsi="Times New Roman" w:cs="Times New Roman"/>
          <w:lang w:val="de-DE"/>
        </w:rPr>
      </w:pPr>
    </w:p>
    <w:p w14:paraId="21D85904" w14:textId="77777777" w:rsidR="00010E8C" w:rsidRPr="009737B5" w:rsidRDefault="00010E8C" w:rsidP="005F4D08">
      <w:pPr>
        <w:suppressAutoHyphens/>
        <w:spacing w:after="0" w:line="240" w:lineRule="auto"/>
        <w:rPr>
          <w:rFonts w:ascii="Times New Roman" w:hAnsi="Times New Roman" w:cs="Times New Roman"/>
          <w:lang w:val="de-DE"/>
        </w:rPr>
      </w:pPr>
    </w:p>
    <w:p w14:paraId="03DBAC33" w14:textId="77777777" w:rsidR="00010E8C" w:rsidRPr="009737B5" w:rsidRDefault="007B448F" w:rsidP="008A7D7B">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9.</w:t>
      </w:r>
      <w:r w:rsidR="00010E8C" w:rsidRPr="009737B5">
        <w:rPr>
          <w:rFonts w:ascii="Times New Roman" w:hAnsi="Times New Roman" w:cs="Times New Roman"/>
          <w:b/>
          <w:lang w:val="de-DE"/>
        </w:rPr>
        <w:tab/>
        <w:t>DATUM DER ERTEILUNG DER ZULASSUNG/VERLÄNGERUNG DER ZULASSUNG</w:t>
      </w:r>
    </w:p>
    <w:p w14:paraId="1D69D2EB"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7FCD4DE8" w14:textId="141735DF" w:rsidR="00010E8C" w:rsidRPr="009737B5" w:rsidRDefault="00010E8C">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Datum der Erteilung der Zulassung: </w:t>
      </w:r>
      <w:r w:rsidR="00F8323C" w:rsidRPr="00F8323C">
        <w:rPr>
          <w:rFonts w:ascii="Times New Roman" w:hAnsi="Times New Roman" w:cs="Times New Roman"/>
          <w:lang w:val="de-DE"/>
        </w:rPr>
        <w:t>1</w:t>
      </w:r>
      <w:r w:rsidR="00F8323C">
        <w:rPr>
          <w:rFonts w:ascii="Times New Roman" w:hAnsi="Times New Roman" w:cs="Times New Roman"/>
          <w:lang w:val="de-DE"/>
        </w:rPr>
        <w:t>5</w:t>
      </w:r>
      <w:r w:rsidR="00F8323C" w:rsidRPr="00F8323C">
        <w:rPr>
          <w:rFonts w:ascii="Times New Roman" w:hAnsi="Times New Roman" w:cs="Times New Roman"/>
          <w:lang w:val="de-DE"/>
        </w:rPr>
        <w:t>.</w:t>
      </w:r>
      <w:r w:rsidR="00A23012">
        <w:rPr>
          <w:rFonts w:ascii="Times New Roman" w:hAnsi="Times New Roman" w:cs="Times New Roman"/>
          <w:lang w:val="de-DE"/>
        </w:rPr>
        <w:t> </w:t>
      </w:r>
      <w:r w:rsidR="00F8323C" w:rsidRPr="00F8323C">
        <w:rPr>
          <w:rFonts w:ascii="Times New Roman" w:hAnsi="Times New Roman" w:cs="Times New Roman"/>
          <w:lang w:val="de-DE"/>
        </w:rPr>
        <w:t>Januar 201</w:t>
      </w:r>
      <w:r w:rsidR="00F8323C">
        <w:rPr>
          <w:rFonts w:ascii="Times New Roman" w:hAnsi="Times New Roman" w:cs="Times New Roman"/>
          <w:lang w:val="de-DE"/>
        </w:rPr>
        <w:t>8</w:t>
      </w:r>
    </w:p>
    <w:p w14:paraId="0232BF40" w14:textId="4E305537" w:rsidR="00010E8C" w:rsidRDefault="00CE1CB1" w:rsidP="005F4D08">
      <w:pPr>
        <w:suppressAutoHyphens/>
        <w:spacing w:after="0" w:line="240" w:lineRule="auto"/>
        <w:rPr>
          <w:rFonts w:ascii="Times New Roman" w:hAnsi="Times New Roman" w:cs="Times New Roman"/>
          <w:lang w:val="de-DE"/>
        </w:rPr>
      </w:pPr>
      <w:r w:rsidRPr="00CE1CB1">
        <w:rPr>
          <w:rFonts w:ascii="Times New Roman" w:hAnsi="Times New Roman" w:cs="Times New Roman"/>
          <w:lang w:val="de-DE"/>
        </w:rPr>
        <w:t>Datum der letzten Verlängerung der Zulassung:</w:t>
      </w:r>
      <w:r w:rsidR="00537F24">
        <w:rPr>
          <w:rFonts w:ascii="Times New Roman" w:hAnsi="Times New Roman" w:cs="Times New Roman"/>
          <w:lang w:val="de-DE"/>
        </w:rPr>
        <w:t xml:space="preserve"> 21. September 2022</w:t>
      </w:r>
    </w:p>
    <w:p w14:paraId="3E3AD18E" w14:textId="77777777" w:rsidR="00CE1CB1" w:rsidRPr="00CE1CB1" w:rsidRDefault="00CE1CB1" w:rsidP="005F4D08">
      <w:pPr>
        <w:suppressAutoHyphens/>
        <w:spacing w:after="0" w:line="240" w:lineRule="auto"/>
        <w:rPr>
          <w:rFonts w:ascii="Times New Roman" w:hAnsi="Times New Roman" w:cs="Times New Roman"/>
          <w:lang w:val="de-DE"/>
        </w:rPr>
      </w:pPr>
    </w:p>
    <w:p w14:paraId="6FDF9CCA" w14:textId="77777777" w:rsidR="00010E8C" w:rsidRPr="009737B5" w:rsidRDefault="00010E8C" w:rsidP="005F4D08">
      <w:pPr>
        <w:suppressAutoHyphens/>
        <w:spacing w:after="0" w:line="240" w:lineRule="auto"/>
        <w:rPr>
          <w:rFonts w:ascii="Times New Roman" w:hAnsi="Times New Roman" w:cs="Times New Roman"/>
          <w:lang w:val="de-DE"/>
        </w:rPr>
      </w:pPr>
    </w:p>
    <w:p w14:paraId="708EE778" w14:textId="77777777" w:rsidR="00010E8C" w:rsidRPr="009737B5" w:rsidRDefault="007B448F" w:rsidP="008A7D7B">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10.</w:t>
      </w:r>
      <w:r w:rsidR="00010E8C" w:rsidRPr="009737B5">
        <w:rPr>
          <w:rFonts w:ascii="Times New Roman" w:hAnsi="Times New Roman" w:cs="Times New Roman"/>
          <w:b/>
          <w:lang w:val="de-DE"/>
        </w:rPr>
        <w:tab/>
        <w:t>STAND DER INFORMATION</w:t>
      </w:r>
    </w:p>
    <w:p w14:paraId="3552E1B4" w14:textId="77777777" w:rsidR="00010E8C" w:rsidRPr="009737B5" w:rsidRDefault="00010E8C" w:rsidP="008A7D7B">
      <w:pPr>
        <w:keepNext/>
        <w:suppressAutoHyphens/>
        <w:spacing w:after="0" w:line="240" w:lineRule="auto"/>
        <w:rPr>
          <w:rFonts w:ascii="Times New Roman" w:hAnsi="Times New Roman" w:cs="Times New Roman"/>
          <w:lang w:val="de-DE"/>
        </w:rPr>
      </w:pPr>
    </w:p>
    <w:p w14:paraId="2B94B56B" w14:textId="77777777" w:rsidR="00F8323C" w:rsidRDefault="00F8323C" w:rsidP="005F4D08">
      <w:pPr>
        <w:suppressAutoHyphens/>
        <w:spacing w:after="0" w:line="240" w:lineRule="auto"/>
        <w:rPr>
          <w:rFonts w:ascii="Times New Roman" w:hAnsi="Times New Roman" w:cs="Times New Roman"/>
          <w:lang w:val="de-DE"/>
        </w:rPr>
      </w:pPr>
    </w:p>
    <w:p w14:paraId="117849AA" w14:textId="77777777" w:rsidR="00F8323C" w:rsidRDefault="00F8323C" w:rsidP="005F4D08">
      <w:pPr>
        <w:suppressAutoHyphens/>
        <w:spacing w:after="0" w:line="240" w:lineRule="auto"/>
        <w:rPr>
          <w:rFonts w:ascii="Times New Roman" w:hAnsi="Times New Roman" w:cs="Times New Roman"/>
          <w:lang w:val="de-DE"/>
        </w:rPr>
      </w:pPr>
    </w:p>
    <w:p w14:paraId="47A97AA6" w14:textId="1C234E1C" w:rsidR="00F93690" w:rsidRPr="009737B5" w:rsidRDefault="00010E8C"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Ausführliche Informationen zu diesem Arzneimittel sind auf den Internetseiten der Europäischen </w:t>
      </w:r>
      <w:r w:rsidR="002E008A" w:rsidRPr="009737B5">
        <w:rPr>
          <w:rFonts w:ascii="Times New Roman" w:eastAsia="Times New Roman" w:hAnsi="Times New Roman" w:cs="Times New Roman"/>
          <w:szCs w:val="20"/>
          <w:lang w:val="de-DE" w:eastAsia="de-DE" w:bidi="de-DE"/>
        </w:rPr>
        <w:t xml:space="preserve">Arzneimittel-Agentur </w:t>
      </w:r>
      <w:hyperlink r:id="rId11" w:history="1">
        <w:r w:rsidR="002E008A" w:rsidRPr="009737B5">
          <w:rPr>
            <w:rFonts w:ascii="Times New Roman" w:eastAsia="Times New Roman" w:hAnsi="Times New Roman" w:cs="Times New Roman"/>
            <w:noProof/>
            <w:color w:val="0000FF"/>
            <w:szCs w:val="20"/>
            <w:u w:val="single"/>
            <w:lang w:val="de-DE" w:eastAsia="de-DE" w:bidi="de-DE"/>
          </w:rPr>
          <w:t>http://www.ema.europa.eu</w:t>
        </w:r>
      </w:hyperlink>
      <w:r w:rsidRPr="009737B5">
        <w:rPr>
          <w:rFonts w:ascii="Times New Roman" w:hAnsi="Times New Roman" w:cs="Times New Roman"/>
          <w:lang w:val="de-DE"/>
        </w:rPr>
        <w:t xml:space="preserve"> verfügbar.</w:t>
      </w:r>
    </w:p>
    <w:p w14:paraId="4BD31E5A" w14:textId="77777777" w:rsidR="00F93690" w:rsidRPr="009737B5" w:rsidRDefault="00F93690">
      <w:pPr>
        <w:rPr>
          <w:rFonts w:ascii="Times New Roman" w:hAnsi="Times New Roman" w:cs="Times New Roman"/>
          <w:lang w:val="de-DE"/>
        </w:rPr>
      </w:pPr>
      <w:r w:rsidRPr="009737B5">
        <w:rPr>
          <w:rFonts w:ascii="Times New Roman" w:hAnsi="Times New Roman" w:cs="Times New Roman"/>
          <w:lang w:val="de-DE"/>
        </w:rPr>
        <w:br w:type="page"/>
      </w:r>
    </w:p>
    <w:p w14:paraId="7D4039AF" w14:textId="77777777" w:rsidR="00F93690" w:rsidRPr="009737B5" w:rsidRDefault="00F93690" w:rsidP="00F93690">
      <w:pPr>
        <w:numPr>
          <w:ilvl w:val="12"/>
          <w:numId w:val="0"/>
        </w:numPr>
        <w:tabs>
          <w:tab w:val="left" w:pos="567"/>
        </w:tabs>
        <w:spacing w:after="0" w:line="240" w:lineRule="auto"/>
        <w:ind w:right="-2"/>
        <w:rPr>
          <w:rFonts w:ascii="Times New Roman" w:eastAsia="Times New Roman" w:hAnsi="Times New Roman" w:cs="Times New Roman"/>
          <w:noProof/>
          <w:lang w:val="de-DE" w:eastAsia="de-DE" w:bidi="de-DE"/>
        </w:rPr>
      </w:pPr>
    </w:p>
    <w:p w14:paraId="23F1EA5C" w14:textId="77777777" w:rsidR="00F93690" w:rsidRPr="009737B5" w:rsidRDefault="00F93690" w:rsidP="00F93690">
      <w:pPr>
        <w:tabs>
          <w:tab w:val="left" w:pos="567"/>
        </w:tabs>
        <w:spacing w:after="0" w:line="240" w:lineRule="auto"/>
        <w:rPr>
          <w:rFonts w:ascii="Times New Roman" w:eastAsia="Times New Roman" w:hAnsi="Times New Roman" w:cs="Times New Roman"/>
          <w:noProof/>
          <w:lang w:val="de-DE" w:eastAsia="de-DE" w:bidi="de-DE"/>
        </w:rPr>
      </w:pPr>
    </w:p>
    <w:p w14:paraId="12B88199"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4B508A92"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6BE0E185"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2D38AD65"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7260BBC1"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040FC092"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6B5B526A"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2975A13F"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20B7C7BA"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4575FC3E"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5A5AAFE9"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641B723B"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0BFA338E"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18987434"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2BAEA969"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66A5F5A9"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07CE5068"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10EF4A80"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4709C420"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201FFFE4" w14:textId="77777777" w:rsidR="00F93690" w:rsidRPr="009737B5" w:rsidRDefault="00F93690" w:rsidP="00287540">
      <w:pPr>
        <w:tabs>
          <w:tab w:val="left" w:pos="567"/>
        </w:tabs>
        <w:spacing w:after="0" w:line="240" w:lineRule="auto"/>
        <w:rPr>
          <w:rFonts w:ascii="Times New Roman" w:eastAsia="Times New Roman" w:hAnsi="Times New Roman" w:cs="Times New Roman"/>
          <w:b/>
          <w:szCs w:val="20"/>
          <w:lang w:val="de-DE" w:eastAsia="de-DE" w:bidi="de-DE"/>
        </w:rPr>
      </w:pPr>
    </w:p>
    <w:p w14:paraId="06A8928B" w14:textId="77777777" w:rsidR="00F93690" w:rsidRPr="009737B5" w:rsidRDefault="00F93690" w:rsidP="00F93690">
      <w:pPr>
        <w:tabs>
          <w:tab w:val="left" w:pos="567"/>
        </w:tabs>
        <w:spacing w:after="0" w:line="240" w:lineRule="auto"/>
        <w:jc w:val="center"/>
        <w:rPr>
          <w:rFonts w:ascii="Times New Roman" w:eastAsia="Times New Roman" w:hAnsi="Times New Roman" w:cs="Times New Roman"/>
          <w:szCs w:val="20"/>
          <w:lang w:val="de-DE" w:eastAsia="de-DE" w:bidi="de-DE"/>
        </w:rPr>
      </w:pPr>
      <w:r w:rsidRPr="009737B5">
        <w:rPr>
          <w:rFonts w:ascii="Times New Roman" w:eastAsia="Times New Roman" w:hAnsi="Times New Roman" w:cs="Times New Roman"/>
          <w:b/>
          <w:szCs w:val="20"/>
          <w:lang w:val="de-DE" w:eastAsia="de-DE" w:bidi="de-DE"/>
        </w:rPr>
        <w:t>ANHANG II</w:t>
      </w:r>
    </w:p>
    <w:p w14:paraId="0C0A8144" w14:textId="77777777" w:rsidR="00F93690" w:rsidRPr="009737B5" w:rsidRDefault="00F93690" w:rsidP="00F93690">
      <w:pPr>
        <w:tabs>
          <w:tab w:val="left" w:pos="567"/>
        </w:tabs>
        <w:spacing w:after="0" w:line="240" w:lineRule="auto"/>
        <w:ind w:right="1416"/>
        <w:rPr>
          <w:rFonts w:ascii="Times New Roman" w:eastAsia="Times New Roman" w:hAnsi="Times New Roman" w:cs="Times New Roman"/>
          <w:szCs w:val="20"/>
          <w:lang w:val="de-DE" w:eastAsia="de-DE" w:bidi="de-DE"/>
        </w:rPr>
      </w:pPr>
    </w:p>
    <w:p w14:paraId="0A0DCBF9" w14:textId="77777777" w:rsidR="00F93690" w:rsidRPr="009737B5" w:rsidRDefault="00F93690" w:rsidP="00F93690">
      <w:pPr>
        <w:numPr>
          <w:ilvl w:val="0"/>
          <w:numId w:val="11"/>
        </w:numPr>
        <w:tabs>
          <w:tab w:val="left" w:pos="567"/>
          <w:tab w:val="left" w:pos="1701"/>
        </w:tabs>
        <w:spacing w:after="0" w:line="240" w:lineRule="auto"/>
        <w:ind w:right="1418"/>
        <w:rPr>
          <w:rFonts w:ascii="Times New Roman" w:eastAsia="Times New Roman" w:hAnsi="Times New Roman" w:cs="Times New Roman"/>
          <w:b/>
          <w:szCs w:val="20"/>
          <w:lang w:val="de-DE" w:eastAsia="de-DE" w:bidi="de-DE"/>
        </w:rPr>
      </w:pPr>
      <w:r w:rsidRPr="009737B5">
        <w:rPr>
          <w:rFonts w:ascii="Times New Roman" w:eastAsia="Times New Roman" w:hAnsi="Times New Roman" w:cs="Times New Roman"/>
          <w:b/>
          <w:szCs w:val="20"/>
          <w:lang w:val="de-DE" w:eastAsia="de-DE" w:bidi="de-DE"/>
        </w:rPr>
        <w:t>HERSTELLER DES WIRKSTOFFS BIOLOGISCHEN URSPRUNGS UND HERSTELLER, DIE FÜR DIE CHARGENFREIGABE VERANTWORTLICH SIND</w:t>
      </w:r>
    </w:p>
    <w:p w14:paraId="4E56C0C2" w14:textId="77777777" w:rsidR="00F93690" w:rsidRPr="009737B5" w:rsidRDefault="00F93690" w:rsidP="00F93690">
      <w:pPr>
        <w:tabs>
          <w:tab w:val="left" w:pos="567"/>
        </w:tabs>
        <w:spacing w:after="0" w:line="240" w:lineRule="auto"/>
        <w:ind w:left="567" w:hanging="1701"/>
        <w:rPr>
          <w:rFonts w:ascii="Times New Roman" w:eastAsia="Times New Roman" w:hAnsi="Times New Roman" w:cs="Times New Roman"/>
          <w:szCs w:val="20"/>
          <w:lang w:val="de-DE" w:eastAsia="de-DE" w:bidi="de-DE"/>
        </w:rPr>
      </w:pPr>
    </w:p>
    <w:p w14:paraId="712DC03E" w14:textId="77777777" w:rsidR="00F93690" w:rsidRPr="009737B5" w:rsidRDefault="00F93690" w:rsidP="00F93690">
      <w:pPr>
        <w:numPr>
          <w:ilvl w:val="0"/>
          <w:numId w:val="11"/>
        </w:numPr>
        <w:tabs>
          <w:tab w:val="left" w:pos="567"/>
          <w:tab w:val="left" w:pos="1701"/>
        </w:tabs>
        <w:spacing w:after="0" w:line="240" w:lineRule="auto"/>
        <w:ind w:right="1418"/>
        <w:rPr>
          <w:rFonts w:ascii="Times New Roman" w:eastAsia="Times New Roman" w:hAnsi="Times New Roman" w:cs="Times New Roman"/>
          <w:b/>
          <w:szCs w:val="20"/>
          <w:lang w:val="de-DE" w:eastAsia="de-DE" w:bidi="de-DE"/>
        </w:rPr>
      </w:pPr>
      <w:r w:rsidRPr="009737B5">
        <w:rPr>
          <w:rFonts w:ascii="Times New Roman" w:eastAsia="Times New Roman" w:hAnsi="Times New Roman" w:cs="Times New Roman"/>
          <w:b/>
          <w:szCs w:val="20"/>
          <w:lang w:val="de-DE" w:eastAsia="de-DE" w:bidi="de-DE"/>
        </w:rPr>
        <w:t>BEDINGUNGEN ODER EINSCHRÄNKUNGEN FÜR DIE ABGABE UND DEN GEBRAUCH</w:t>
      </w:r>
    </w:p>
    <w:p w14:paraId="03350EB3" w14:textId="77777777" w:rsidR="00F93690" w:rsidRPr="009737B5" w:rsidRDefault="00F93690" w:rsidP="00F93690">
      <w:pPr>
        <w:tabs>
          <w:tab w:val="left" w:pos="567"/>
        </w:tabs>
        <w:spacing w:after="0" w:line="240" w:lineRule="auto"/>
        <w:ind w:left="567" w:hanging="567"/>
        <w:rPr>
          <w:rFonts w:ascii="Times New Roman" w:eastAsia="Times New Roman" w:hAnsi="Times New Roman" w:cs="Times New Roman"/>
          <w:szCs w:val="20"/>
          <w:lang w:val="de-DE" w:eastAsia="de-DE" w:bidi="de-DE"/>
        </w:rPr>
      </w:pPr>
    </w:p>
    <w:p w14:paraId="2581AC64" w14:textId="77777777" w:rsidR="00F93690" w:rsidRPr="009737B5" w:rsidRDefault="00F93690" w:rsidP="00F93690">
      <w:pPr>
        <w:numPr>
          <w:ilvl w:val="0"/>
          <w:numId w:val="11"/>
        </w:numPr>
        <w:tabs>
          <w:tab w:val="left" w:pos="567"/>
          <w:tab w:val="left" w:pos="1701"/>
        </w:tabs>
        <w:spacing w:after="0" w:line="240" w:lineRule="auto"/>
        <w:ind w:right="1418"/>
        <w:rPr>
          <w:rFonts w:ascii="Times New Roman" w:eastAsia="Times New Roman" w:hAnsi="Times New Roman" w:cs="Times New Roman"/>
          <w:b/>
          <w:szCs w:val="20"/>
          <w:lang w:val="de-DE" w:eastAsia="de-DE" w:bidi="de-DE"/>
        </w:rPr>
      </w:pPr>
      <w:r w:rsidRPr="009737B5">
        <w:rPr>
          <w:rFonts w:ascii="Times New Roman" w:eastAsia="Times New Roman" w:hAnsi="Times New Roman" w:cs="Times New Roman"/>
          <w:b/>
          <w:szCs w:val="20"/>
          <w:lang w:val="de-DE" w:eastAsia="de-DE" w:bidi="de-DE"/>
        </w:rPr>
        <w:t>SONSTIGE BEDINGUNGEN UND AUFLAGEN DER GENEHMIGUNG FÜR DAS INVERKEHRBRINGEN</w:t>
      </w:r>
    </w:p>
    <w:p w14:paraId="7ABF371E" w14:textId="77777777" w:rsidR="00F93690" w:rsidRPr="009737B5" w:rsidRDefault="00F93690" w:rsidP="00F93690">
      <w:pPr>
        <w:tabs>
          <w:tab w:val="left" w:pos="567"/>
        </w:tabs>
        <w:spacing w:after="0" w:line="240" w:lineRule="auto"/>
        <w:ind w:right="1558"/>
        <w:rPr>
          <w:rFonts w:ascii="Times New Roman" w:eastAsia="Times New Roman" w:hAnsi="Times New Roman" w:cs="Times New Roman"/>
          <w:b/>
          <w:szCs w:val="20"/>
          <w:lang w:val="de-DE" w:eastAsia="de-DE" w:bidi="de-DE"/>
        </w:rPr>
      </w:pPr>
    </w:p>
    <w:p w14:paraId="14B272FC" w14:textId="77777777" w:rsidR="00F93690" w:rsidRPr="009737B5" w:rsidRDefault="00F93690" w:rsidP="00F93690">
      <w:pPr>
        <w:numPr>
          <w:ilvl w:val="0"/>
          <w:numId w:val="11"/>
        </w:numPr>
        <w:tabs>
          <w:tab w:val="left" w:pos="567"/>
          <w:tab w:val="left" w:pos="1701"/>
        </w:tabs>
        <w:spacing w:after="0" w:line="240" w:lineRule="auto"/>
        <w:ind w:right="1418"/>
        <w:rPr>
          <w:rFonts w:ascii="Times New Roman" w:eastAsia="Times New Roman" w:hAnsi="Times New Roman" w:cs="Times New Roman"/>
          <w:b/>
          <w:szCs w:val="20"/>
          <w:lang w:val="de-DE" w:eastAsia="de-DE" w:bidi="de-DE"/>
        </w:rPr>
      </w:pPr>
      <w:r w:rsidRPr="009737B5">
        <w:rPr>
          <w:rFonts w:ascii="Times New Roman" w:eastAsia="Times New Roman" w:hAnsi="Times New Roman" w:cs="Times New Roman"/>
          <w:b/>
          <w:caps/>
          <w:szCs w:val="20"/>
          <w:lang w:val="de-DE" w:eastAsia="de-DE" w:bidi="de-DE"/>
        </w:rPr>
        <w:t>BEDINGUNGEN ODER EINSCHRÄNKUNGEN FÜR DIE SICHERE UND WIRKSAME ANWENDUNG DES ARZNEIMITTELS</w:t>
      </w:r>
    </w:p>
    <w:p w14:paraId="1CF1F568" w14:textId="77777777" w:rsidR="00F93690" w:rsidRPr="009737B5" w:rsidRDefault="00F93690" w:rsidP="00A45456">
      <w:pPr>
        <w:pStyle w:val="TitleB"/>
      </w:pPr>
      <w:r w:rsidRPr="009737B5">
        <w:br w:type="page"/>
      </w:r>
      <w:r w:rsidRPr="009737B5">
        <w:lastRenderedPageBreak/>
        <w:t>HERSTELLER DES WIRKSTOFFS BIOLOGISCHEN URSPRUNGS UND HERSTELLER, DIE FÜR DIE CHARGENFREIGABE VERANTWORTLICH SIND</w:t>
      </w:r>
    </w:p>
    <w:p w14:paraId="096051AE" w14:textId="77777777" w:rsidR="00F93690" w:rsidRPr="009737B5" w:rsidRDefault="00F93690" w:rsidP="00F93690">
      <w:pPr>
        <w:keepNext/>
        <w:tabs>
          <w:tab w:val="left" w:pos="567"/>
        </w:tabs>
        <w:spacing w:after="0" w:line="240" w:lineRule="auto"/>
        <w:ind w:right="1416"/>
        <w:rPr>
          <w:rFonts w:ascii="Times New Roman" w:eastAsia="Times New Roman" w:hAnsi="Times New Roman" w:cs="Times New Roman"/>
          <w:szCs w:val="20"/>
          <w:lang w:val="de-DE" w:eastAsia="de-DE" w:bidi="de-DE"/>
        </w:rPr>
      </w:pPr>
    </w:p>
    <w:p w14:paraId="4F2A2AD8" w14:textId="094448EE" w:rsidR="00F93690" w:rsidRPr="009737B5" w:rsidRDefault="00F93690" w:rsidP="00F93690">
      <w:pPr>
        <w:tabs>
          <w:tab w:val="left" w:pos="567"/>
        </w:tabs>
        <w:spacing w:after="0" w:line="240" w:lineRule="auto"/>
        <w:outlineLvl w:val="0"/>
        <w:rPr>
          <w:rFonts w:ascii="Times New Roman" w:eastAsia="Times New Roman" w:hAnsi="Times New Roman" w:cs="Times New Roman"/>
          <w:szCs w:val="20"/>
          <w:u w:val="single"/>
          <w:lang w:val="de-DE" w:eastAsia="de-DE" w:bidi="de-DE"/>
        </w:rPr>
      </w:pPr>
      <w:r w:rsidRPr="009737B5">
        <w:rPr>
          <w:rFonts w:ascii="Times New Roman" w:eastAsia="Times New Roman" w:hAnsi="Times New Roman" w:cs="Times New Roman"/>
          <w:szCs w:val="20"/>
          <w:u w:val="single"/>
          <w:lang w:val="de-DE" w:eastAsia="de-DE" w:bidi="de-DE"/>
        </w:rPr>
        <w:t>Name und Anschrift de</w:t>
      </w:r>
      <w:r w:rsidR="002F74A8">
        <w:rPr>
          <w:rFonts w:ascii="Times New Roman" w:eastAsia="Times New Roman" w:hAnsi="Times New Roman" w:cs="Times New Roman"/>
          <w:szCs w:val="20"/>
          <w:u w:val="single"/>
          <w:lang w:val="de-DE" w:eastAsia="de-DE" w:bidi="de-DE"/>
        </w:rPr>
        <w:t>r</w:t>
      </w:r>
      <w:r w:rsidRPr="009737B5">
        <w:rPr>
          <w:rFonts w:ascii="Times New Roman" w:eastAsia="Times New Roman" w:hAnsi="Times New Roman" w:cs="Times New Roman"/>
          <w:szCs w:val="20"/>
          <w:u w:val="single"/>
          <w:lang w:val="de-DE" w:eastAsia="de-DE" w:bidi="de-DE"/>
        </w:rPr>
        <w:t xml:space="preserve"> Hersteller des Wirkstoffs biologischen Ursprungs</w:t>
      </w:r>
    </w:p>
    <w:p w14:paraId="1FBA87DF" w14:textId="77777777" w:rsidR="00604365" w:rsidRPr="009737B5" w:rsidRDefault="00604365" w:rsidP="00604365">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lang w:val="en-GB"/>
        </w:rPr>
      </w:pPr>
      <w:r w:rsidRPr="009737B5">
        <w:rPr>
          <w:rFonts w:ascii="Times New Roman" w:eastAsia="Times New Roman" w:hAnsi="Times New Roman" w:cs="Times New Roman"/>
          <w:color w:val="000000"/>
          <w:lang w:val="en-GB"/>
        </w:rPr>
        <w:t>Amgen Inc</w:t>
      </w:r>
    </w:p>
    <w:p w14:paraId="51FB42F6" w14:textId="77777777" w:rsidR="00604365" w:rsidRPr="009737B5" w:rsidRDefault="00604365" w:rsidP="00604365">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lang w:val="en-GB"/>
        </w:rPr>
      </w:pPr>
      <w:r w:rsidRPr="009737B5">
        <w:rPr>
          <w:rFonts w:ascii="Times New Roman" w:eastAsia="Times New Roman" w:hAnsi="Times New Roman" w:cs="Times New Roman"/>
          <w:color w:val="000000"/>
          <w:lang w:val="en-GB"/>
        </w:rPr>
        <w:t>1 Amgen Center Drive</w:t>
      </w:r>
    </w:p>
    <w:p w14:paraId="17E037FC" w14:textId="77777777" w:rsidR="00604365" w:rsidRPr="00EE3C68" w:rsidRDefault="00604365" w:rsidP="00604365">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rPr>
      </w:pPr>
      <w:r w:rsidRPr="00EE3C68">
        <w:rPr>
          <w:rFonts w:ascii="Times New Roman" w:eastAsia="Times New Roman" w:hAnsi="Times New Roman" w:cs="Times New Roman"/>
          <w:color w:val="000000"/>
        </w:rPr>
        <w:t>91320 Thousand Oaks</w:t>
      </w:r>
    </w:p>
    <w:p w14:paraId="1FBEB8C0" w14:textId="77777777" w:rsidR="006F1C42" w:rsidRPr="00EE3C68" w:rsidRDefault="006F1C42" w:rsidP="006F1C42">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rPr>
      </w:pPr>
      <w:r w:rsidRPr="00EE3C68">
        <w:rPr>
          <w:rFonts w:ascii="Times New Roman" w:eastAsia="Times New Roman" w:hAnsi="Times New Roman" w:cs="Times New Roman"/>
          <w:color w:val="000000"/>
        </w:rPr>
        <w:t>California</w:t>
      </w:r>
    </w:p>
    <w:p w14:paraId="0FD08236" w14:textId="77777777" w:rsidR="00604365" w:rsidRPr="00707280" w:rsidRDefault="00604365" w:rsidP="00604365">
      <w:pPr>
        <w:widowControl w:val="0"/>
        <w:tabs>
          <w:tab w:val="left" w:pos="567"/>
        </w:tabs>
        <w:autoSpaceDE w:val="0"/>
        <w:autoSpaceDN w:val="0"/>
        <w:adjustRightInd w:val="0"/>
        <w:spacing w:after="0" w:line="240" w:lineRule="auto"/>
        <w:rPr>
          <w:rFonts w:ascii="Times New Roman" w:eastAsia="Times New Roman" w:hAnsi="Times New Roman" w:cs="Times New Roman"/>
          <w:lang w:val="de-DE"/>
        </w:rPr>
      </w:pPr>
      <w:r w:rsidRPr="00707280">
        <w:rPr>
          <w:rFonts w:ascii="Times New Roman" w:eastAsia="Times New Roman" w:hAnsi="Times New Roman" w:cs="Times New Roman"/>
          <w:lang w:val="de-DE"/>
        </w:rPr>
        <w:t>VEREINIGTE STAATEN</w:t>
      </w:r>
    </w:p>
    <w:p w14:paraId="4D2005EB" w14:textId="241D8224" w:rsidR="00F93690" w:rsidRPr="00707280"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01F50457" w14:textId="77777777" w:rsidR="00AE1D76" w:rsidRPr="00707280" w:rsidRDefault="00AE1D76" w:rsidP="00AE1D76">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lang w:val="de-DE"/>
        </w:rPr>
      </w:pPr>
      <w:r w:rsidRPr="00707280">
        <w:rPr>
          <w:rFonts w:ascii="Times New Roman" w:eastAsia="Times New Roman" w:hAnsi="Times New Roman" w:cs="Times New Roman"/>
          <w:color w:val="000000"/>
          <w:lang w:val="de-DE"/>
        </w:rPr>
        <w:t>Immunex Rhode Island Corporation</w:t>
      </w:r>
    </w:p>
    <w:p w14:paraId="2FB42060" w14:textId="77777777" w:rsidR="00AE1D76" w:rsidRPr="00707280" w:rsidRDefault="00AE1D76" w:rsidP="00AE1D76">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lang w:val="de-DE"/>
        </w:rPr>
      </w:pPr>
      <w:r w:rsidRPr="00707280">
        <w:rPr>
          <w:rFonts w:ascii="Times New Roman" w:eastAsia="Times New Roman" w:hAnsi="Times New Roman" w:cs="Times New Roman"/>
          <w:color w:val="000000"/>
          <w:lang w:val="de-DE"/>
        </w:rPr>
        <w:t>40 Technology Way</w:t>
      </w:r>
    </w:p>
    <w:p w14:paraId="2C4AC125" w14:textId="77777777" w:rsidR="00AE1D76" w:rsidRPr="00AE1D76" w:rsidRDefault="00AE1D76" w:rsidP="00AE1D76">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lang w:val="de-DE"/>
        </w:rPr>
      </w:pPr>
      <w:r w:rsidRPr="00AE1D76">
        <w:rPr>
          <w:rFonts w:ascii="Times New Roman" w:eastAsia="Times New Roman" w:hAnsi="Times New Roman" w:cs="Times New Roman"/>
          <w:color w:val="000000"/>
          <w:lang w:val="de-DE"/>
        </w:rPr>
        <w:t>West Greenwich</w:t>
      </w:r>
    </w:p>
    <w:p w14:paraId="1B165AB9" w14:textId="1F523418" w:rsidR="00AE1D76" w:rsidRPr="00AE1D76" w:rsidRDefault="00AE1D76" w:rsidP="00AE1D76">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lang w:val="de-DE"/>
        </w:rPr>
      </w:pPr>
      <w:r w:rsidRPr="00AE1D76">
        <w:rPr>
          <w:rFonts w:ascii="Times New Roman" w:eastAsia="Times New Roman" w:hAnsi="Times New Roman" w:cs="Times New Roman"/>
          <w:color w:val="000000"/>
          <w:lang w:val="de-DE"/>
        </w:rPr>
        <w:t>Rhode Island, 02817</w:t>
      </w:r>
    </w:p>
    <w:p w14:paraId="2FA534FE" w14:textId="1EFA7EF4" w:rsidR="00AE1D76" w:rsidRPr="00AE1D76" w:rsidRDefault="00AE1D76" w:rsidP="00AE1D76">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lang w:val="de-DE"/>
        </w:rPr>
      </w:pPr>
      <w:r w:rsidRPr="00AE1D76">
        <w:rPr>
          <w:rFonts w:ascii="Times New Roman" w:eastAsia="Times New Roman" w:hAnsi="Times New Roman" w:cs="Times New Roman"/>
          <w:color w:val="000000"/>
          <w:lang w:val="de-DE"/>
        </w:rPr>
        <w:t>Vereinigte Staaten</w:t>
      </w:r>
    </w:p>
    <w:p w14:paraId="3404C723" w14:textId="77777777" w:rsidR="00AE1D76" w:rsidRPr="009737B5" w:rsidRDefault="00AE1D76" w:rsidP="00AE1D76">
      <w:pPr>
        <w:tabs>
          <w:tab w:val="left" w:pos="567"/>
        </w:tabs>
        <w:spacing w:after="0" w:line="240" w:lineRule="auto"/>
        <w:rPr>
          <w:rFonts w:ascii="Times New Roman" w:eastAsia="Times New Roman" w:hAnsi="Times New Roman" w:cs="Times New Roman"/>
          <w:szCs w:val="20"/>
          <w:lang w:val="de-DE" w:eastAsia="de-DE" w:bidi="de-DE"/>
        </w:rPr>
      </w:pPr>
    </w:p>
    <w:p w14:paraId="608FD9F7" w14:textId="77777777" w:rsidR="00F93690" w:rsidRPr="009737B5" w:rsidRDefault="00F93690" w:rsidP="00F93690">
      <w:pPr>
        <w:tabs>
          <w:tab w:val="left" w:pos="567"/>
        </w:tabs>
        <w:spacing w:after="0" w:line="240" w:lineRule="auto"/>
        <w:outlineLvl w:val="0"/>
        <w:rPr>
          <w:rFonts w:ascii="Times New Roman" w:eastAsia="Times New Roman" w:hAnsi="Times New Roman" w:cs="Times New Roman"/>
          <w:szCs w:val="20"/>
          <w:lang w:val="de-DE" w:eastAsia="de-DE" w:bidi="de-DE"/>
        </w:rPr>
      </w:pPr>
      <w:r w:rsidRPr="009737B5">
        <w:rPr>
          <w:rFonts w:ascii="Times New Roman" w:eastAsia="Times New Roman" w:hAnsi="Times New Roman" w:cs="Times New Roman"/>
          <w:szCs w:val="20"/>
          <w:u w:val="single"/>
          <w:lang w:val="de-DE" w:eastAsia="de-DE" w:bidi="de-DE"/>
        </w:rPr>
        <w:t xml:space="preserve">Name und Anschrift der Hersteller, </w:t>
      </w:r>
      <w:r w:rsidR="00604365" w:rsidRPr="009737B5">
        <w:rPr>
          <w:rFonts w:ascii="Times New Roman" w:eastAsia="Times New Roman" w:hAnsi="Times New Roman" w:cs="Times New Roman"/>
          <w:szCs w:val="20"/>
          <w:u w:val="single"/>
          <w:lang w:val="de-DE" w:eastAsia="de-DE" w:bidi="de-DE"/>
        </w:rPr>
        <w:t>die</w:t>
      </w:r>
      <w:r w:rsidRPr="009737B5">
        <w:rPr>
          <w:rFonts w:ascii="Times New Roman" w:eastAsia="Times New Roman" w:hAnsi="Times New Roman" w:cs="Times New Roman"/>
          <w:szCs w:val="20"/>
          <w:u w:val="single"/>
          <w:lang w:val="de-DE" w:eastAsia="de-DE" w:bidi="de-DE"/>
        </w:rPr>
        <w:t xml:space="preserve"> für die Chargenfreigabe verantwortlich sind</w:t>
      </w:r>
    </w:p>
    <w:p w14:paraId="2CCF6E88" w14:textId="21BB38B8" w:rsidR="00604365" w:rsidRPr="001661A9" w:rsidRDefault="00604365" w:rsidP="00604365">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rPr>
      </w:pPr>
      <w:r w:rsidRPr="001661A9">
        <w:rPr>
          <w:rFonts w:ascii="Times New Roman" w:eastAsia="Times New Roman" w:hAnsi="Times New Roman" w:cs="Times New Roman"/>
          <w:color w:val="000000"/>
        </w:rPr>
        <w:t xml:space="preserve">Amgen Technology </w:t>
      </w:r>
      <w:r w:rsidR="00122B74" w:rsidRPr="001661A9">
        <w:rPr>
          <w:rFonts w:ascii="Times New Roman" w:eastAsia="Times New Roman" w:hAnsi="Times New Roman" w:cs="Times New Roman"/>
          <w:color w:val="000000"/>
        </w:rPr>
        <w:t>(</w:t>
      </w:r>
      <w:r w:rsidRPr="001661A9">
        <w:rPr>
          <w:rFonts w:ascii="Times New Roman" w:eastAsia="Times New Roman" w:hAnsi="Times New Roman" w:cs="Times New Roman"/>
          <w:color w:val="000000"/>
        </w:rPr>
        <w:t>Ireland</w:t>
      </w:r>
      <w:r w:rsidR="00122B74" w:rsidRPr="001661A9">
        <w:rPr>
          <w:rFonts w:ascii="Times New Roman" w:eastAsia="Times New Roman" w:hAnsi="Times New Roman" w:cs="Times New Roman"/>
          <w:color w:val="000000"/>
        </w:rPr>
        <w:t>) UC,</w:t>
      </w:r>
    </w:p>
    <w:p w14:paraId="2CD0184C" w14:textId="267BACB5" w:rsidR="00604365" w:rsidRPr="00E95E0B" w:rsidRDefault="00604365" w:rsidP="00604365">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rPr>
      </w:pPr>
      <w:r w:rsidRPr="00E95E0B">
        <w:rPr>
          <w:rFonts w:ascii="Times New Roman" w:eastAsia="Times New Roman" w:hAnsi="Times New Roman" w:cs="Times New Roman"/>
          <w:color w:val="000000"/>
        </w:rPr>
        <w:t>Pottery Road</w:t>
      </w:r>
      <w:r w:rsidR="00122B74">
        <w:rPr>
          <w:rFonts w:ascii="Times New Roman" w:eastAsia="Times New Roman" w:hAnsi="Times New Roman" w:cs="Times New Roman"/>
          <w:color w:val="000000"/>
        </w:rPr>
        <w:t>,</w:t>
      </w:r>
    </w:p>
    <w:p w14:paraId="4640DAA0" w14:textId="719D68A1" w:rsidR="00604365" w:rsidRPr="00E95E0B" w:rsidRDefault="00604365" w:rsidP="00604365">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rPr>
      </w:pPr>
      <w:r w:rsidRPr="00E95E0B">
        <w:rPr>
          <w:rFonts w:ascii="Times New Roman" w:eastAsia="Times New Roman" w:hAnsi="Times New Roman" w:cs="Times New Roman"/>
          <w:color w:val="000000"/>
        </w:rPr>
        <w:t>Dun Laoghaire</w:t>
      </w:r>
      <w:r w:rsidR="00122B74">
        <w:rPr>
          <w:rFonts w:ascii="Times New Roman" w:eastAsia="Times New Roman" w:hAnsi="Times New Roman" w:cs="Times New Roman"/>
          <w:color w:val="000000"/>
        </w:rPr>
        <w:t>,</w:t>
      </w:r>
    </w:p>
    <w:p w14:paraId="410FFCC0" w14:textId="79198A34" w:rsidR="00604365" w:rsidRPr="00E95E0B" w:rsidRDefault="00604365" w:rsidP="00604365">
      <w:pPr>
        <w:widowControl w:val="0"/>
        <w:tabs>
          <w:tab w:val="left" w:pos="567"/>
        </w:tabs>
        <w:autoSpaceDE w:val="0"/>
        <w:autoSpaceDN w:val="0"/>
        <w:adjustRightInd w:val="0"/>
        <w:spacing w:after="0" w:line="260" w:lineRule="exact"/>
        <w:rPr>
          <w:rFonts w:ascii="Times New Roman" w:eastAsia="Times New Roman" w:hAnsi="Times New Roman" w:cs="Times New Roman"/>
          <w:color w:val="000000"/>
        </w:rPr>
      </w:pPr>
      <w:r w:rsidRPr="00E95E0B">
        <w:rPr>
          <w:rFonts w:ascii="Times New Roman" w:eastAsia="Times New Roman" w:hAnsi="Times New Roman" w:cs="Times New Roman"/>
          <w:color w:val="000000"/>
        </w:rPr>
        <w:t>Co</w:t>
      </w:r>
      <w:r w:rsidR="00122B74">
        <w:rPr>
          <w:rFonts w:ascii="Times New Roman" w:eastAsia="Times New Roman" w:hAnsi="Times New Roman" w:cs="Times New Roman"/>
          <w:color w:val="000000"/>
        </w:rPr>
        <w:t>.</w:t>
      </w:r>
      <w:r w:rsidRPr="00E95E0B">
        <w:rPr>
          <w:rFonts w:ascii="Times New Roman" w:eastAsia="Times New Roman" w:hAnsi="Times New Roman" w:cs="Times New Roman"/>
          <w:color w:val="000000"/>
        </w:rPr>
        <w:t xml:space="preserve"> Dublin</w:t>
      </w:r>
      <w:r w:rsidR="00122B74">
        <w:rPr>
          <w:rFonts w:ascii="Times New Roman" w:eastAsia="Times New Roman" w:hAnsi="Times New Roman" w:cs="Times New Roman"/>
          <w:color w:val="000000"/>
        </w:rPr>
        <w:t>,</w:t>
      </w:r>
    </w:p>
    <w:p w14:paraId="1D601650" w14:textId="77777777" w:rsidR="00604365" w:rsidRDefault="00604365" w:rsidP="00604365">
      <w:pPr>
        <w:widowControl w:val="0"/>
        <w:tabs>
          <w:tab w:val="left" w:pos="567"/>
        </w:tabs>
        <w:autoSpaceDE w:val="0"/>
        <w:autoSpaceDN w:val="0"/>
        <w:adjustRightInd w:val="0"/>
        <w:spacing w:after="0" w:line="240" w:lineRule="auto"/>
        <w:rPr>
          <w:ins w:id="2" w:author="Author"/>
          <w:rFonts w:ascii="Times New Roman" w:eastAsia="Times New Roman" w:hAnsi="Times New Roman" w:cs="Times New Roman"/>
          <w:color w:val="000000"/>
          <w:lang w:val="da-DK"/>
        </w:rPr>
      </w:pPr>
      <w:r w:rsidRPr="00E66954">
        <w:rPr>
          <w:rFonts w:ascii="Times New Roman" w:eastAsia="Times New Roman" w:hAnsi="Times New Roman" w:cs="Times New Roman"/>
          <w:color w:val="000000"/>
          <w:lang w:val="da-DK"/>
        </w:rPr>
        <w:t>Irland</w:t>
      </w:r>
    </w:p>
    <w:p w14:paraId="477C5C30" w14:textId="77777777" w:rsidR="00926054" w:rsidRDefault="00926054" w:rsidP="00604365">
      <w:pPr>
        <w:widowControl w:val="0"/>
        <w:tabs>
          <w:tab w:val="left" w:pos="567"/>
        </w:tabs>
        <w:autoSpaceDE w:val="0"/>
        <w:autoSpaceDN w:val="0"/>
        <w:adjustRightInd w:val="0"/>
        <w:spacing w:after="0" w:line="240" w:lineRule="auto"/>
        <w:rPr>
          <w:ins w:id="3" w:author="Author"/>
          <w:rFonts w:ascii="Times New Roman" w:eastAsia="Times New Roman" w:hAnsi="Times New Roman" w:cs="Times New Roman"/>
          <w:color w:val="000000"/>
          <w:lang w:val="da-DK"/>
        </w:rPr>
      </w:pPr>
    </w:p>
    <w:p w14:paraId="1E799F1F" w14:textId="77777777" w:rsidR="00926054" w:rsidRPr="00926054" w:rsidRDefault="00926054" w:rsidP="00926054">
      <w:pPr>
        <w:widowControl w:val="0"/>
        <w:tabs>
          <w:tab w:val="left" w:pos="567"/>
        </w:tabs>
        <w:autoSpaceDE w:val="0"/>
        <w:autoSpaceDN w:val="0"/>
        <w:adjustRightInd w:val="0"/>
        <w:spacing w:after="0" w:line="240" w:lineRule="auto"/>
        <w:rPr>
          <w:ins w:id="4" w:author="Author"/>
          <w:rFonts w:ascii="Times New Roman" w:eastAsia="Times New Roman" w:hAnsi="Times New Roman" w:cs="Times New Roman"/>
          <w:color w:val="000000"/>
          <w:lang w:val="da-DK"/>
        </w:rPr>
      </w:pPr>
      <w:ins w:id="5" w:author="Author">
        <w:r w:rsidRPr="00926054">
          <w:rPr>
            <w:rFonts w:ascii="Times New Roman" w:eastAsia="Times New Roman" w:hAnsi="Times New Roman" w:cs="Times New Roman"/>
            <w:color w:val="000000"/>
            <w:lang w:val="da-DK"/>
          </w:rPr>
          <w:t xml:space="preserve">Amgen Europe B.V. </w:t>
        </w:r>
      </w:ins>
    </w:p>
    <w:p w14:paraId="3ADA2E8C" w14:textId="77777777" w:rsidR="00926054" w:rsidRPr="00926054" w:rsidRDefault="00926054" w:rsidP="00926054">
      <w:pPr>
        <w:widowControl w:val="0"/>
        <w:tabs>
          <w:tab w:val="left" w:pos="567"/>
        </w:tabs>
        <w:autoSpaceDE w:val="0"/>
        <w:autoSpaceDN w:val="0"/>
        <w:adjustRightInd w:val="0"/>
        <w:spacing w:after="0" w:line="240" w:lineRule="auto"/>
        <w:rPr>
          <w:ins w:id="6" w:author="Author"/>
          <w:rFonts w:ascii="Times New Roman" w:eastAsia="Times New Roman" w:hAnsi="Times New Roman" w:cs="Times New Roman"/>
          <w:color w:val="000000"/>
          <w:lang w:val="da-DK"/>
        </w:rPr>
      </w:pPr>
      <w:ins w:id="7" w:author="Author">
        <w:r w:rsidRPr="00926054">
          <w:rPr>
            <w:rFonts w:ascii="Times New Roman" w:eastAsia="Times New Roman" w:hAnsi="Times New Roman" w:cs="Times New Roman"/>
            <w:color w:val="000000"/>
            <w:lang w:val="da-DK"/>
          </w:rPr>
          <w:t xml:space="preserve">Minervum 7061 </w:t>
        </w:r>
      </w:ins>
    </w:p>
    <w:p w14:paraId="5F3872DF" w14:textId="77777777" w:rsidR="00926054" w:rsidRPr="00926054" w:rsidRDefault="00926054" w:rsidP="00926054">
      <w:pPr>
        <w:widowControl w:val="0"/>
        <w:tabs>
          <w:tab w:val="left" w:pos="567"/>
        </w:tabs>
        <w:autoSpaceDE w:val="0"/>
        <w:autoSpaceDN w:val="0"/>
        <w:adjustRightInd w:val="0"/>
        <w:spacing w:after="0" w:line="240" w:lineRule="auto"/>
        <w:rPr>
          <w:ins w:id="8" w:author="Author"/>
          <w:rFonts w:ascii="Times New Roman" w:eastAsia="Times New Roman" w:hAnsi="Times New Roman" w:cs="Times New Roman"/>
          <w:color w:val="000000"/>
          <w:lang w:val="da-DK"/>
        </w:rPr>
      </w:pPr>
      <w:ins w:id="9" w:author="Author">
        <w:r w:rsidRPr="00926054">
          <w:rPr>
            <w:rFonts w:ascii="Times New Roman" w:eastAsia="Times New Roman" w:hAnsi="Times New Roman" w:cs="Times New Roman"/>
            <w:color w:val="000000"/>
            <w:lang w:val="da-DK"/>
          </w:rPr>
          <w:t xml:space="preserve">4817 ZK Breda </w:t>
        </w:r>
      </w:ins>
    </w:p>
    <w:p w14:paraId="51F89A5D" w14:textId="139BAFD4" w:rsidR="00926054" w:rsidRPr="00E66954" w:rsidRDefault="00926054" w:rsidP="0092605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val="da-DK"/>
        </w:rPr>
      </w:pPr>
      <w:ins w:id="10" w:author="Author">
        <w:r w:rsidRPr="00926054">
          <w:rPr>
            <w:rFonts w:ascii="Times New Roman" w:eastAsia="Times New Roman" w:hAnsi="Times New Roman" w:cs="Times New Roman"/>
            <w:color w:val="000000"/>
            <w:lang w:val="da-DK"/>
          </w:rPr>
          <w:t>Niederlande</w:t>
        </w:r>
      </w:ins>
    </w:p>
    <w:p w14:paraId="545CD593" w14:textId="77777777" w:rsidR="009E1E7F" w:rsidRDefault="009E1E7F" w:rsidP="009E1E7F">
      <w:pPr>
        <w:widowControl w:val="0"/>
        <w:autoSpaceDE w:val="0"/>
        <w:autoSpaceDN w:val="0"/>
        <w:adjustRightInd w:val="0"/>
        <w:spacing w:after="0" w:line="240" w:lineRule="auto"/>
        <w:rPr>
          <w:rFonts w:ascii="Times New Roman" w:eastAsia="PMingLiU" w:hAnsi="Times New Roman" w:cs="Times New Roman"/>
          <w:lang w:val="nl-BE" w:eastAsia="ja-JP"/>
        </w:rPr>
      </w:pPr>
    </w:p>
    <w:p w14:paraId="3B7A5A6A" w14:textId="4CB845DC" w:rsidR="009E1E7F" w:rsidRPr="009E1E7F" w:rsidRDefault="009E1E7F" w:rsidP="009E1E7F">
      <w:pPr>
        <w:widowControl w:val="0"/>
        <w:autoSpaceDE w:val="0"/>
        <w:autoSpaceDN w:val="0"/>
        <w:adjustRightInd w:val="0"/>
        <w:spacing w:after="0" w:line="240" w:lineRule="auto"/>
        <w:rPr>
          <w:rFonts w:ascii="Times New Roman" w:eastAsia="PMingLiU" w:hAnsi="Times New Roman" w:cs="Times New Roman"/>
          <w:lang w:val="nl-BE" w:eastAsia="ja-JP"/>
        </w:rPr>
      </w:pPr>
      <w:r w:rsidRPr="009E1E7F">
        <w:rPr>
          <w:rFonts w:ascii="Times New Roman" w:eastAsia="PMingLiU" w:hAnsi="Times New Roman" w:cs="Times New Roman"/>
          <w:lang w:val="nl-BE" w:eastAsia="ja-JP"/>
        </w:rPr>
        <w:t>Amgen NV</w:t>
      </w:r>
    </w:p>
    <w:p w14:paraId="12607FF7" w14:textId="77777777" w:rsidR="00273AAF" w:rsidRPr="00ED7CED" w:rsidRDefault="00273AAF" w:rsidP="00273AAF">
      <w:pPr>
        <w:autoSpaceDE w:val="0"/>
        <w:autoSpaceDN w:val="0"/>
        <w:adjustRightInd w:val="0"/>
        <w:spacing w:after="0" w:line="240" w:lineRule="auto"/>
        <w:rPr>
          <w:rFonts w:ascii="Times New Roman" w:eastAsia="PMingLiU" w:hAnsi="Times New Roman" w:cs="Times New Roman"/>
          <w:lang w:val="nl-BE" w:eastAsia="en-IN"/>
        </w:rPr>
      </w:pPr>
      <w:r w:rsidRPr="00ED7CED">
        <w:rPr>
          <w:rFonts w:ascii="Times New Roman" w:eastAsia="PMingLiU" w:hAnsi="Times New Roman" w:cs="Times New Roman"/>
          <w:lang w:val="nl-BE" w:eastAsia="en-IN"/>
        </w:rPr>
        <w:t>Telecomlaan 5-7</w:t>
      </w:r>
    </w:p>
    <w:p w14:paraId="1B19E36D" w14:textId="77777777" w:rsidR="00273AAF" w:rsidRPr="00273AAF" w:rsidRDefault="00273AAF" w:rsidP="00273AAF">
      <w:pPr>
        <w:autoSpaceDE w:val="0"/>
        <w:autoSpaceDN w:val="0"/>
        <w:adjustRightInd w:val="0"/>
        <w:spacing w:after="0" w:line="240" w:lineRule="auto"/>
        <w:rPr>
          <w:rFonts w:ascii="Times New Roman" w:eastAsia="PMingLiU" w:hAnsi="Times New Roman" w:cs="Times New Roman"/>
          <w:lang w:val="nl-NL" w:eastAsia="en-IN"/>
        </w:rPr>
      </w:pPr>
      <w:r w:rsidRPr="00ED7CED">
        <w:rPr>
          <w:rFonts w:ascii="Times New Roman" w:eastAsia="PMingLiU" w:hAnsi="Times New Roman" w:cs="Times New Roman"/>
          <w:lang w:val="nl-BE" w:eastAsia="en-IN"/>
        </w:rPr>
        <w:t>1831 Diegem</w:t>
      </w:r>
    </w:p>
    <w:p w14:paraId="488057C9" w14:textId="77777777" w:rsidR="009E1E7F" w:rsidRPr="009E1E7F" w:rsidRDefault="009E1E7F" w:rsidP="009E1E7F">
      <w:pPr>
        <w:autoSpaceDE w:val="0"/>
        <w:autoSpaceDN w:val="0"/>
        <w:adjustRightInd w:val="0"/>
        <w:spacing w:after="0" w:line="240" w:lineRule="auto"/>
        <w:rPr>
          <w:rFonts w:ascii="Times New Roman" w:eastAsia="PMingLiU" w:hAnsi="Times New Roman" w:cs="Times New Roman"/>
          <w:lang w:val="de-DE" w:eastAsia="en-IN"/>
        </w:rPr>
      </w:pPr>
      <w:r w:rsidRPr="00ED7CED">
        <w:rPr>
          <w:rFonts w:ascii="Times New Roman" w:eastAsia="PMingLiU" w:hAnsi="Times New Roman" w:cs="Times New Roman"/>
          <w:lang w:val="nl-BE" w:eastAsia="en-IN"/>
        </w:rPr>
        <w:t>Belgien</w:t>
      </w:r>
      <w:r w:rsidRPr="009E1E7F">
        <w:rPr>
          <w:rFonts w:ascii="Times New Roman" w:eastAsia="PMingLiU" w:hAnsi="Times New Roman" w:cs="Times New Roman"/>
          <w:lang w:val="de-DE" w:eastAsia="en-IN"/>
        </w:rPr>
        <w:t xml:space="preserve"> </w:t>
      </w:r>
    </w:p>
    <w:p w14:paraId="0A44B642"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0910C87D"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r w:rsidRPr="009737B5">
        <w:rPr>
          <w:rFonts w:ascii="Times New Roman" w:eastAsia="Times New Roman" w:hAnsi="Times New Roman" w:cs="Times New Roman"/>
          <w:szCs w:val="20"/>
          <w:lang w:val="de-DE" w:eastAsia="de-DE" w:bidi="de-DE"/>
        </w:rPr>
        <w:t>In der Druckversion der Packungsbeilage des Arzneimittels müssen Name und Anschrift des Herstellers, der für die Freigabe der betreffenden Charge verantwortlich ist, angegeben werden.</w:t>
      </w:r>
    </w:p>
    <w:p w14:paraId="63E813F6"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5952B92E" w14:textId="77777777" w:rsidR="00F93690" w:rsidRPr="009737B5" w:rsidRDefault="00F93690" w:rsidP="00F93690">
      <w:pPr>
        <w:tabs>
          <w:tab w:val="left" w:pos="567"/>
        </w:tabs>
        <w:spacing w:after="0" w:line="240" w:lineRule="auto"/>
        <w:rPr>
          <w:rFonts w:ascii="Times New Roman" w:eastAsia="Times New Roman" w:hAnsi="Times New Roman" w:cs="Times New Roman"/>
          <w:szCs w:val="20"/>
          <w:lang w:val="de-DE" w:eastAsia="de-DE" w:bidi="de-DE"/>
        </w:rPr>
      </w:pPr>
    </w:p>
    <w:p w14:paraId="5596FA5E" w14:textId="77777777" w:rsidR="00F93690" w:rsidRPr="009737B5" w:rsidRDefault="00F93690" w:rsidP="00A45456">
      <w:pPr>
        <w:pStyle w:val="TitleB"/>
      </w:pPr>
      <w:r w:rsidRPr="009737B5">
        <w:t>BEDINGUNGEN ODER EINSCHRÄNKUNGEN FÜR DIE ABGABE UND DEN GEBRAUCH</w:t>
      </w:r>
    </w:p>
    <w:p w14:paraId="1C0FCE21" w14:textId="77777777" w:rsidR="00F93690" w:rsidRPr="009737B5" w:rsidRDefault="00F93690" w:rsidP="00F93690">
      <w:pPr>
        <w:keepNext/>
        <w:tabs>
          <w:tab w:val="left" w:pos="567"/>
        </w:tabs>
        <w:spacing w:after="0" w:line="240" w:lineRule="auto"/>
        <w:rPr>
          <w:rFonts w:ascii="Times New Roman" w:eastAsia="Times New Roman" w:hAnsi="Times New Roman" w:cs="Times New Roman"/>
          <w:szCs w:val="20"/>
          <w:lang w:val="de-DE" w:eastAsia="de-DE" w:bidi="de-DE"/>
        </w:rPr>
      </w:pPr>
    </w:p>
    <w:p w14:paraId="256383A2" w14:textId="597A6255" w:rsidR="00F93690" w:rsidRPr="009737B5" w:rsidRDefault="00F93690" w:rsidP="00F93690">
      <w:pPr>
        <w:numPr>
          <w:ilvl w:val="12"/>
          <w:numId w:val="0"/>
        </w:numPr>
        <w:tabs>
          <w:tab w:val="left" w:pos="567"/>
        </w:tabs>
        <w:spacing w:after="0" w:line="240" w:lineRule="auto"/>
        <w:rPr>
          <w:rFonts w:ascii="Times New Roman" w:eastAsia="Times New Roman" w:hAnsi="Times New Roman" w:cs="Times New Roman"/>
          <w:szCs w:val="20"/>
          <w:lang w:val="de-DE" w:eastAsia="de-DE" w:bidi="de-DE"/>
        </w:rPr>
      </w:pPr>
      <w:r w:rsidRPr="009737B5">
        <w:rPr>
          <w:rFonts w:ascii="Times New Roman" w:eastAsia="Times New Roman" w:hAnsi="Times New Roman" w:cs="Times New Roman"/>
          <w:szCs w:val="20"/>
          <w:lang w:val="de-DE" w:eastAsia="de-DE" w:bidi="de-DE"/>
        </w:rPr>
        <w:t>Arzneimittel auf eingeschränkte ärztliche Verschreibung (siehe Anhang I: Zusammenfassung der Merkmale des Arzneimittels, Abschnitt</w:t>
      </w:r>
      <w:r w:rsidR="00A23012">
        <w:rPr>
          <w:rFonts w:ascii="Times New Roman" w:eastAsia="Times New Roman" w:hAnsi="Times New Roman" w:cs="Times New Roman"/>
          <w:szCs w:val="20"/>
          <w:lang w:val="de-DE" w:eastAsia="de-DE" w:bidi="de-DE"/>
        </w:rPr>
        <w:t> </w:t>
      </w:r>
      <w:r w:rsidRPr="009737B5">
        <w:rPr>
          <w:rFonts w:ascii="Times New Roman" w:eastAsia="Times New Roman" w:hAnsi="Times New Roman" w:cs="Times New Roman"/>
          <w:szCs w:val="20"/>
          <w:lang w:val="de-DE" w:eastAsia="de-DE" w:bidi="de-DE"/>
        </w:rPr>
        <w:t>4.2).</w:t>
      </w:r>
    </w:p>
    <w:p w14:paraId="75BDA7CE" w14:textId="77777777" w:rsidR="00F93690" w:rsidRPr="009737B5" w:rsidRDefault="00F93690" w:rsidP="00F93690">
      <w:pPr>
        <w:numPr>
          <w:ilvl w:val="12"/>
          <w:numId w:val="0"/>
        </w:numPr>
        <w:tabs>
          <w:tab w:val="left" w:pos="567"/>
        </w:tabs>
        <w:spacing w:after="0" w:line="240" w:lineRule="auto"/>
        <w:rPr>
          <w:rFonts w:ascii="Times New Roman" w:eastAsia="Times New Roman" w:hAnsi="Times New Roman" w:cs="Times New Roman"/>
          <w:szCs w:val="20"/>
          <w:lang w:val="de-DE" w:eastAsia="de-DE" w:bidi="de-DE"/>
        </w:rPr>
      </w:pPr>
    </w:p>
    <w:p w14:paraId="07DB6E65" w14:textId="77777777" w:rsidR="00604365" w:rsidRPr="009737B5" w:rsidRDefault="00604365" w:rsidP="00F93690">
      <w:pPr>
        <w:numPr>
          <w:ilvl w:val="12"/>
          <w:numId w:val="0"/>
        </w:numPr>
        <w:tabs>
          <w:tab w:val="left" w:pos="567"/>
        </w:tabs>
        <w:spacing w:after="0" w:line="240" w:lineRule="auto"/>
        <w:rPr>
          <w:rFonts w:ascii="Times New Roman" w:eastAsia="Times New Roman" w:hAnsi="Times New Roman" w:cs="Times New Roman"/>
          <w:szCs w:val="20"/>
          <w:lang w:val="de-DE" w:eastAsia="de-DE" w:bidi="de-DE"/>
        </w:rPr>
      </w:pPr>
    </w:p>
    <w:p w14:paraId="0826C32E" w14:textId="77777777" w:rsidR="00F93690" w:rsidRPr="009737B5" w:rsidRDefault="00F93690" w:rsidP="00A45456">
      <w:pPr>
        <w:pStyle w:val="TitleB"/>
      </w:pPr>
      <w:r w:rsidRPr="009737B5">
        <w:t>SONSTIGE BEDINGUNGEN UND AUFLAGEN DER GENEHMIGUNG FÜR DAS INVERKEHRBRINGEN</w:t>
      </w:r>
    </w:p>
    <w:p w14:paraId="521A6ED0" w14:textId="77777777" w:rsidR="00F93690" w:rsidRPr="009737B5" w:rsidRDefault="00F93690" w:rsidP="00F93690">
      <w:pPr>
        <w:keepNext/>
        <w:tabs>
          <w:tab w:val="left" w:pos="567"/>
        </w:tabs>
        <w:spacing w:after="0" w:line="240" w:lineRule="auto"/>
        <w:ind w:right="-1"/>
        <w:rPr>
          <w:rFonts w:ascii="Times New Roman" w:eastAsia="Times New Roman" w:hAnsi="Times New Roman" w:cs="Times New Roman"/>
          <w:szCs w:val="20"/>
          <w:u w:val="single"/>
          <w:lang w:val="de-DE" w:eastAsia="de-DE" w:bidi="de-DE"/>
        </w:rPr>
      </w:pPr>
    </w:p>
    <w:p w14:paraId="5B19F6C1" w14:textId="74E902D1" w:rsidR="00F93690" w:rsidRPr="009737B5" w:rsidRDefault="00F93690" w:rsidP="000901A6">
      <w:pPr>
        <w:keepNext/>
        <w:numPr>
          <w:ilvl w:val="0"/>
          <w:numId w:val="10"/>
        </w:numPr>
        <w:tabs>
          <w:tab w:val="clear" w:pos="720"/>
          <w:tab w:val="num" w:pos="567"/>
        </w:tabs>
        <w:spacing w:after="0" w:line="240" w:lineRule="auto"/>
        <w:ind w:left="567" w:right="-1" w:hanging="567"/>
        <w:rPr>
          <w:rFonts w:ascii="Times New Roman" w:eastAsia="Times New Roman" w:hAnsi="Times New Roman" w:cs="Times New Roman"/>
          <w:b/>
          <w:szCs w:val="20"/>
          <w:lang w:val="de-DE" w:eastAsia="de-DE" w:bidi="de-DE"/>
        </w:rPr>
      </w:pPr>
      <w:r w:rsidRPr="009737B5">
        <w:rPr>
          <w:rFonts w:ascii="Times New Roman" w:eastAsia="Times New Roman" w:hAnsi="Times New Roman" w:cs="Times New Roman"/>
          <w:b/>
          <w:szCs w:val="20"/>
          <w:lang w:val="de-DE" w:eastAsia="de-DE" w:bidi="de-DE"/>
        </w:rPr>
        <w:t>Regelmäßig aktualisierte Unbedenklichkeitsberichte</w:t>
      </w:r>
      <w:r w:rsidR="002F74A8">
        <w:rPr>
          <w:rFonts w:ascii="Times New Roman" w:eastAsia="Times New Roman" w:hAnsi="Times New Roman" w:cs="Times New Roman"/>
          <w:b/>
          <w:szCs w:val="20"/>
          <w:lang w:val="de-DE" w:eastAsia="de-DE" w:bidi="de-DE"/>
        </w:rPr>
        <w:t xml:space="preserve"> </w:t>
      </w:r>
      <w:r w:rsidR="002F74A8" w:rsidRPr="002F74A8">
        <w:rPr>
          <w:rFonts w:ascii="Times New Roman" w:eastAsia="Times New Roman" w:hAnsi="Times New Roman" w:cs="Times New Roman"/>
          <w:b/>
          <w:szCs w:val="20"/>
          <w:lang w:val="de-DE" w:eastAsia="de-DE" w:bidi="de-DE"/>
        </w:rPr>
        <w:t>[Periodic Safety Update Reports (PSURs)]</w:t>
      </w:r>
    </w:p>
    <w:p w14:paraId="0E1C381D" w14:textId="77777777" w:rsidR="00F93690" w:rsidRPr="009737B5" w:rsidRDefault="00F93690" w:rsidP="00F93690">
      <w:pPr>
        <w:keepNext/>
        <w:tabs>
          <w:tab w:val="left" w:pos="0"/>
          <w:tab w:val="left" w:pos="567"/>
        </w:tabs>
        <w:spacing w:after="0" w:line="240" w:lineRule="auto"/>
        <w:ind w:right="567"/>
        <w:rPr>
          <w:rFonts w:ascii="Times New Roman" w:eastAsia="Times New Roman" w:hAnsi="Times New Roman" w:cs="Times New Roman"/>
          <w:szCs w:val="20"/>
          <w:lang w:val="de-DE" w:eastAsia="de-DE" w:bidi="de-DE"/>
        </w:rPr>
      </w:pPr>
    </w:p>
    <w:p w14:paraId="6BA15685" w14:textId="3D85A8BF" w:rsidR="00F93690" w:rsidRPr="009737B5" w:rsidRDefault="00F93690" w:rsidP="00F93690">
      <w:pPr>
        <w:tabs>
          <w:tab w:val="left" w:pos="0"/>
          <w:tab w:val="left" w:pos="567"/>
        </w:tabs>
        <w:spacing w:after="0" w:line="240" w:lineRule="auto"/>
        <w:ind w:right="567"/>
        <w:rPr>
          <w:rFonts w:ascii="Times New Roman" w:eastAsia="Times New Roman" w:hAnsi="Times New Roman" w:cs="Times New Roman"/>
          <w:szCs w:val="20"/>
          <w:lang w:val="de-DE" w:eastAsia="de-DE" w:bidi="de-DE"/>
        </w:rPr>
      </w:pPr>
      <w:r w:rsidRPr="009737B5">
        <w:rPr>
          <w:rFonts w:ascii="Times New Roman" w:eastAsia="Times New Roman" w:hAnsi="Times New Roman" w:cs="Times New Roman"/>
          <w:szCs w:val="20"/>
          <w:lang w:val="de-DE" w:eastAsia="de-DE" w:bidi="de-DE"/>
        </w:rPr>
        <w:t xml:space="preserve">Die Anforderungen an die Einreichung von </w:t>
      </w:r>
      <w:r w:rsidR="002F74A8">
        <w:rPr>
          <w:rFonts w:ascii="Times New Roman" w:eastAsia="Times New Roman" w:hAnsi="Times New Roman" w:cs="Times New Roman"/>
          <w:szCs w:val="20"/>
          <w:lang w:val="de-DE" w:eastAsia="de-DE" w:bidi="de-DE"/>
        </w:rPr>
        <w:t>PSURs</w:t>
      </w:r>
      <w:r w:rsidRPr="009737B5">
        <w:rPr>
          <w:rFonts w:ascii="Times New Roman" w:eastAsia="Times New Roman" w:hAnsi="Times New Roman" w:cs="Times New Roman"/>
          <w:szCs w:val="20"/>
          <w:lang w:val="de-DE" w:eastAsia="de-DE" w:bidi="de-DE"/>
        </w:rPr>
        <w:t xml:space="preserve"> für dieses Arzneimittel sind in der nach Artikel 107</w:t>
      </w:r>
      <w:r w:rsidR="00A23012">
        <w:rPr>
          <w:rFonts w:ascii="Times New Roman" w:eastAsia="Times New Roman" w:hAnsi="Times New Roman" w:cs="Times New Roman"/>
          <w:szCs w:val="20"/>
          <w:lang w:val="de-DE" w:eastAsia="de-DE" w:bidi="de-DE"/>
        </w:rPr>
        <w:t> </w:t>
      </w:r>
      <w:r w:rsidRPr="009737B5">
        <w:rPr>
          <w:rFonts w:ascii="Times New Roman" w:eastAsia="Times New Roman" w:hAnsi="Times New Roman" w:cs="Times New Roman"/>
          <w:szCs w:val="20"/>
          <w:lang w:val="de-DE" w:eastAsia="de-DE" w:bidi="de-DE"/>
        </w:rPr>
        <w:t>c Absatz</w:t>
      </w:r>
      <w:r w:rsidR="00A23012">
        <w:rPr>
          <w:rFonts w:ascii="Times New Roman" w:eastAsia="Times New Roman" w:hAnsi="Times New Roman" w:cs="Times New Roman"/>
          <w:szCs w:val="20"/>
          <w:lang w:val="de-DE" w:eastAsia="de-DE" w:bidi="de-DE"/>
        </w:rPr>
        <w:t> </w:t>
      </w:r>
      <w:r w:rsidRPr="009737B5">
        <w:rPr>
          <w:rFonts w:ascii="Times New Roman" w:eastAsia="Times New Roman" w:hAnsi="Times New Roman" w:cs="Times New Roman"/>
          <w:szCs w:val="20"/>
          <w:lang w:val="de-DE" w:eastAsia="de-DE" w:bidi="de-DE"/>
        </w:rPr>
        <w:t>7 der Richtlinie</w:t>
      </w:r>
      <w:r w:rsidR="00A23012">
        <w:rPr>
          <w:rFonts w:ascii="Times New Roman" w:eastAsia="Times New Roman" w:hAnsi="Times New Roman" w:cs="Times New Roman"/>
          <w:szCs w:val="20"/>
          <w:lang w:val="de-DE" w:eastAsia="de-DE" w:bidi="de-DE"/>
        </w:rPr>
        <w:t> </w:t>
      </w:r>
      <w:r w:rsidRPr="009737B5">
        <w:rPr>
          <w:rFonts w:ascii="Times New Roman" w:eastAsia="Times New Roman" w:hAnsi="Times New Roman" w:cs="Times New Roman"/>
          <w:szCs w:val="20"/>
          <w:lang w:val="de-DE" w:eastAsia="de-DE" w:bidi="de-DE"/>
        </w:rPr>
        <w:t>2001/83/EG vorgesehenen und im europäischen Internetportal für Arzneimittel veröffentlichten Liste der in der Union festgelegten Stichtage (EURD-Liste) - und allen künftigen Aktualisierungen - festgelegt.</w:t>
      </w:r>
    </w:p>
    <w:p w14:paraId="2781300B" w14:textId="77777777" w:rsidR="00F93690" w:rsidRPr="009737B5" w:rsidRDefault="00F93690" w:rsidP="00F93690">
      <w:pPr>
        <w:tabs>
          <w:tab w:val="left" w:pos="567"/>
        </w:tabs>
        <w:spacing w:after="0" w:line="240" w:lineRule="auto"/>
        <w:ind w:right="-1"/>
        <w:rPr>
          <w:rFonts w:ascii="Times New Roman" w:eastAsia="Times New Roman" w:hAnsi="Times New Roman" w:cs="Times New Roman"/>
          <w:szCs w:val="20"/>
          <w:u w:val="single"/>
          <w:lang w:val="de-DE" w:eastAsia="de-DE" w:bidi="de-DE"/>
        </w:rPr>
      </w:pPr>
    </w:p>
    <w:p w14:paraId="221CD610" w14:textId="77777777" w:rsidR="00604365" w:rsidRPr="009737B5" w:rsidRDefault="00604365" w:rsidP="00F93690">
      <w:pPr>
        <w:tabs>
          <w:tab w:val="left" w:pos="567"/>
        </w:tabs>
        <w:spacing w:after="0" w:line="240" w:lineRule="auto"/>
        <w:ind w:right="-1"/>
        <w:rPr>
          <w:rFonts w:ascii="Times New Roman" w:eastAsia="Times New Roman" w:hAnsi="Times New Roman" w:cs="Times New Roman"/>
          <w:szCs w:val="20"/>
          <w:u w:val="single"/>
          <w:lang w:val="de-DE" w:eastAsia="de-DE" w:bidi="de-DE"/>
        </w:rPr>
      </w:pPr>
    </w:p>
    <w:p w14:paraId="474CE2E7" w14:textId="77777777" w:rsidR="00F93690" w:rsidRPr="009737B5" w:rsidRDefault="00F93690" w:rsidP="00A45456">
      <w:pPr>
        <w:pStyle w:val="TitleB"/>
      </w:pPr>
      <w:r w:rsidRPr="009737B5">
        <w:lastRenderedPageBreak/>
        <w:t>BEDINGUNGEN ODER EINSCHRÄNKUNGEN FÜR DIE SICHERE UND WIRKSAME ANWENDUNG DES ARZNEIMITTELS</w:t>
      </w:r>
    </w:p>
    <w:p w14:paraId="6BA98F82" w14:textId="77777777" w:rsidR="00F93690" w:rsidRPr="009737B5" w:rsidRDefault="00F93690" w:rsidP="00F93690">
      <w:pPr>
        <w:keepNext/>
        <w:tabs>
          <w:tab w:val="left" w:pos="567"/>
        </w:tabs>
        <w:spacing w:after="0" w:line="240" w:lineRule="auto"/>
        <w:ind w:right="-1"/>
        <w:rPr>
          <w:rFonts w:ascii="Times New Roman" w:eastAsia="Times New Roman" w:hAnsi="Times New Roman" w:cs="Times New Roman"/>
          <w:szCs w:val="20"/>
          <w:u w:val="single"/>
          <w:lang w:val="de-DE" w:eastAsia="de-DE" w:bidi="de-DE"/>
        </w:rPr>
      </w:pPr>
    </w:p>
    <w:p w14:paraId="62F35507" w14:textId="77777777" w:rsidR="00F93690" w:rsidRPr="009737B5" w:rsidRDefault="00F93690" w:rsidP="000901A6">
      <w:pPr>
        <w:keepNext/>
        <w:numPr>
          <w:ilvl w:val="0"/>
          <w:numId w:val="10"/>
        </w:numPr>
        <w:tabs>
          <w:tab w:val="clear" w:pos="720"/>
          <w:tab w:val="num" w:pos="567"/>
        </w:tabs>
        <w:spacing w:after="0" w:line="240" w:lineRule="auto"/>
        <w:ind w:left="567" w:right="-1" w:hanging="567"/>
        <w:rPr>
          <w:rFonts w:ascii="Times New Roman" w:eastAsia="Times New Roman" w:hAnsi="Times New Roman" w:cs="Times New Roman"/>
          <w:b/>
          <w:szCs w:val="20"/>
          <w:lang w:val="de-DE" w:eastAsia="de-DE" w:bidi="de-DE"/>
        </w:rPr>
      </w:pPr>
      <w:r w:rsidRPr="009737B5">
        <w:rPr>
          <w:rFonts w:ascii="Times New Roman" w:eastAsia="Times New Roman" w:hAnsi="Times New Roman" w:cs="Times New Roman"/>
          <w:b/>
          <w:szCs w:val="20"/>
          <w:lang w:val="de-DE" w:eastAsia="de-DE" w:bidi="de-DE"/>
        </w:rPr>
        <w:t>Risikomanagement-Plan (RMP)</w:t>
      </w:r>
    </w:p>
    <w:p w14:paraId="2C11CF7A" w14:textId="77777777" w:rsidR="00F93690" w:rsidRPr="009737B5" w:rsidRDefault="00F93690" w:rsidP="009E1E7F">
      <w:pPr>
        <w:keepNext/>
        <w:tabs>
          <w:tab w:val="left" w:pos="567"/>
        </w:tabs>
        <w:spacing w:after="0" w:line="240" w:lineRule="auto"/>
        <w:rPr>
          <w:rFonts w:ascii="Times New Roman" w:eastAsia="Times New Roman" w:hAnsi="Times New Roman" w:cs="Times New Roman"/>
          <w:szCs w:val="20"/>
          <w:lang w:val="de-DE" w:eastAsia="de-DE" w:bidi="de-DE"/>
        </w:rPr>
      </w:pPr>
    </w:p>
    <w:p w14:paraId="42513E4E" w14:textId="4BA786EB" w:rsidR="00F93690" w:rsidRPr="009737B5" w:rsidRDefault="00F93690" w:rsidP="00F93690">
      <w:pPr>
        <w:tabs>
          <w:tab w:val="left" w:pos="0"/>
          <w:tab w:val="left" w:pos="567"/>
        </w:tabs>
        <w:spacing w:after="0" w:line="240" w:lineRule="auto"/>
        <w:ind w:right="567"/>
        <w:rPr>
          <w:rFonts w:ascii="Times New Roman" w:eastAsia="Times New Roman" w:hAnsi="Times New Roman" w:cs="Times New Roman"/>
          <w:szCs w:val="20"/>
          <w:lang w:val="de-DE" w:eastAsia="de-DE" w:bidi="de-DE"/>
        </w:rPr>
      </w:pPr>
      <w:r w:rsidRPr="009737B5">
        <w:rPr>
          <w:rFonts w:ascii="Times New Roman" w:eastAsia="Times New Roman" w:hAnsi="Times New Roman" w:cs="Times New Roman"/>
          <w:szCs w:val="20"/>
          <w:lang w:val="de-DE" w:eastAsia="de-DE" w:bidi="de-DE"/>
        </w:rPr>
        <w:t>Der Inhaber der Genehmigung für das Inverkehrbringen</w:t>
      </w:r>
      <w:r w:rsidR="002F74A8">
        <w:rPr>
          <w:rFonts w:ascii="Times New Roman" w:eastAsia="Times New Roman" w:hAnsi="Times New Roman" w:cs="Times New Roman"/>
          <w:szCs w:val="20"/>
          <w:lang w:val="de-DE" w:eastAsia="de-DE" w:bidi="de-DE"/>
        </w:rPr>
        <w:t xml:space="preserve"> (MAH)</w:t>
      </w:r>
      <w:r w:rsidRPr="009737B5">
        <w:rPr>
          <w:rFonts w:ascii="Times New Roman" w:eastAsia="Times New Roman" w:hAnsi="Times New Roman" w:cs="Times New Roman"/>
          <w:szCs w:val="20"/>
          <w:lang w:val="de-DE" w:eastAsia="de-DE" w:bidi="de-DE"/>
        </w:rPr>
        <w:t xml:space="preserve"> führt die notwendigen, im vereinbarten RMP beschriebenen und in Modul</w:t>
      </w:r>
      <w:r w:rsidR="00A23012">
        <w:rPr>
          <w:rFonts w:ascii="Times New Roman" w:eastAsia="Times New Roman" w:hAnsi="Times New Roman" w:cs="Times New Roman"/>
          <w:szCs w:val="20"/>
          <w:lang w:val="de-DE" w:eastAsia="de-DE" w:bidi="de-DE"/>
        </w:rPr>
        <w:t> </w:t>
      </w:r>
      <w:r w:rsidRPr="009737B5">
        <w:rPr>
          <w:rFonts w:ascii="Times New Roman" w:eastAsia="Times New Roman" w:hAnsi="Times New Roman" w:cs="Times New Roman"/>
          <w:szCs w:val="20"/>
          <w:lang w:val="de-DE" w:eastAsia="de-DE" w:bidi="de-DE"/>
        </w:rPr>
        <w:t>1.8.2 der Zulassung dargelegten Pharmakovigilanzaktivitäten und Maßnahmen sowie alle künftigen vereinbarten Aktualisierungen des RMP durch.</w:t>
      </w:r>
    </w:p>
    <w:p w14:paraId="41D01F03" w14:textId="77777777" w:rsidR="00F93690" w:rsidRPr="009737B5" w:rsidRDefault="00F93690" w:rsidP="00F93690">
      <w:pPr>
        <w:tabs>
          <w:tab w:val="left" w:pos="567"/>
        </w:tabs>
        <w:spacing w:after="0" w:line="240" w:lineRule="auto"/>
        <w:ind w:right="-1"/>
        <w:rPr>
          <w:rFonts w:ascii="Times New Roman" w:eastAsia="Times New Roman" w:hAnsi="Times New Roman" w:cs="Times New Roman"/>
          <w:szCs w:val="20"/>
          <w:lang w:val="de-DE" w:eastAsia="de-DE" w:bidi="de-DE"/>
        </w:rPr>
      </w:pPr>
    </w:p>
    <w:p w14:paraId="68428669" w14:textId="77777777" w:rsidR="00F93690" w:rsidRPr="009737B5" w:rsidRDefault="00F93690" w:rsidP="00E95E0B">
      <w:pPr>
        <w:keepNext/>
        <w:keepLines/>
        <w:tabs>
          <w:tab w:val="left" w:pos="567"/>
        </w:tabs>
        <w:spacing w:after="0" w:line="240" w:lineRule="auto"/>
        <w:rPr>
          <w:rFonts w:ascii="Times New Roman" w:eastAsia="Times New Roman" w:hAnsi="Times New Roman" w:cs="Times New Roman"/>
          <w:szCs w:val="20"/>
          <w:lang w:val="de-DE" w:eastAsia="de-DE" w:bidi="de-DE"/>
        </w:rPr>
      </w:pPr>
      <w:r w:rsidRPr="009737B5">
        <w:rPr>
          <w:rFonts w:ascii="Times New Roman" w:eastAsia="Times New Roman" w:hAnsi="Times New Roman" w:cs="Times New Roman"/>
          <w:szCs w:val="20"/>
          <w:lang w:val="de-DE" w:eastAsia="de-DE" w:bidi="de-DE"/>
        </w:rPr>
        <w:t>Ein aktualisierter RMP ist einzureichen:</w:t>
      </w:r>
    </w:p>
    <w:p w14:paraId="5B2B5F8E" w14:textId="77777777" w:rsidR="00F93690" w:rsidRPr="009737B5" w:rsidRDefault="00F93690" w:rsidP="00E95E0B">
      <w:pPr>
        <w:keepNext/>
        <w:keepLines/>
        <w:numPr>
          <w:ilvl w:val="0"/>
          <w:numId w:val="9"/>
        </w:numPr>
        <w:tabs>
          <w:tab w:val="clear" w:pos="720"/>
          <w:tab w:val="num" w:pos="567"/>
        </w:tabs>
        <w:spacing w:after="0" w:line="240" w:lineRule="auto"/>
        <w:ind w:left="567" w:hanging="567"/>
        <w:rPr>
          <w:rFonts w:ascii="Times New Roman" w:eastAsia="Times New Roman" w:hAnsi="Times New Roman" w:cs="Times New Roman"/>
          <w:szCs w:val="20"/>
          <w:lang w:val="de-DE" w:eastAsia="de-DE" w:bidi="de-DE"/>
        </w:rPr>
      </w:pPr>
      <w:r w:rsidRPr="009737B5">
        <w:rPr>
          <w:rFonts w:ascii="Times New Roman" w:eastAsia="Times New Roman" w:hAnsi="Times New Roman" w:cs="Times New Roman"/>
          <w:szCs w:val="20"/>
          <w:lang w:val="de-DE" w:eastAsia="de-DE" w:bidi="de-DE"/>
        </w:rPr>
        <w:t>nach Aufforderung durch die Europäische Arzneimittel-Agentur;</w:t>
      </w:r>
    </w:p>
    <w:p w14:paraId="29FDBCA1" w14:textId="77777777" w:rsidR="00F93690" w:rsidRPr="009737B5" w:rsidRDefault="00F93690" w:rsidP="0099002A">
      <w:pPr>
        <w:numPr>
          <w:ilvl w:val="0"/>
          <w:numId w:val="9"/>
        </w:numPr>
        <w:tabs>
          <w:tab w:val="clear" w:pos="720"/>
          <w:tab w:val="num" w:pos="567"/>
        </w:tabs>
        <w:spacing w:after="0" w:line="240" w:lineRule="auto"/>
        <w:ind w:left="567" w:right="-1" w:hanging="567"/>
        <w:rPr>
          <w:rFonts w:ascii="Times New Roman" w:eastAsia="Times New Roman" w:hAnsi="Times New Roman" w:cs="Times New Roman"/>
          <w:szCs w:val="20"/>
          <w:lang w:val="de-DE" w:eastAsia="de-DE" w:bidi="de-DE"/>
        </w:rPr>
      </w:pPr>
      <w:r w:rsidRPr="009737B5">
        <w:rPr>
          <w:rFonts w:ascii="Times New Roman" w:eastAsia="Times New Roman" w:hAnsi="Times New Roman" w:cs="Times New Roman"/>
          <w:szCs w:val="20"/>
          <w:lang w:val="de-DE" w:eastAsia="de-DE" w:bidi="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063A3180" w14:textId="77777777" w:rsidR="004A52E1" w:rsidRPr="009737B5" w:rsidRDefault="00F93690" w:rsidP="000B6CC4">
      <w:pPr>
        <w:suppressAutoHyphens/>
        <w:spacing w:after="0" w:line="240" w:lineRule="auto"/>
        <w:jc w:val="center"/>
        <w:rPr>
          <w:rFonts w:ascii="Times New Roman" w:hAnsi="Times New Roman" w:cs="Times New Roman"/>
          <w:b/>
          <w:lang w:val="de-DE"/>
        </w:rPr>
      </w:pPr>
      <w:r w:rsidRPr="009737B5">
        <w:rPr>
          <w:rFonts w:ascii="Times New Roman" w:eastAsia="Times New Roman" w:hAnsi="Times New Roman" w:cs="Times New Roman"/>
          <w:szCs w:val="20"/>
          <w:lang w:val="de-DE" w:eastAsia="de-DE" w:bidi="de-DE"/>
        </w:rPr>
        <w:br w:type="page"/>
      </w:r>
    </w:p>
    <w:p w14:paraId="0189BA25"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1BB6CB3A"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4E9F22DF"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4A09B032"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70B954F7"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10FD69AA"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64CB61D1"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69747E91"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3528733E"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6BD9E0F2"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2097926F"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71D9832A"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4089D01A"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02015A61"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08F4E20E"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3590EA03"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136E4508"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085B0732"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272FC0FD"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6E0B69BF"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46E4BB4C"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1A26F7DD" w14:textId="77777777" w:rsidR="00006169" w:rsidRPr="009737B5" w:rsidRDefault="00006169" w:rsidP="00006169">
      <w:pPr>
        <w:suppressAutoHyphens/>
        <w:spacing w:after="0" w:line="240" w:lineRule="auto"/>
        <w:jc w:val="center"/>
        <w:rPr>
          <w:rFonts w:ascii="Times New Roman" w:hAnsi="Times New Roman" w:cs="Times New Roman"/>
          <w:b/>
          <w:lang w:val="de-DE"/>
        </w:rPr>
      </w:pPr>
    </w:p>
    <w:p w14:paraId="63FF9B4C" w14:textId="77777777" w:rsidR="00010E8C" w:rsidRPr="009737B5" w:rsidRDefault="00010E8C" w:rsidP="00006169">
      <w:pPr>
        <w:suppressAutoHyphens/>
        <w:spacing w:after="0" w:line="240" w:lineRule="auto"/>
        <w:jc w:val="center"/>
        <w:rPr>
          <w:rFonts w:ascii="Times New Roman" w:hAnsi="Times New Roman" w:cs="Times New Roman"/>
          <w:b/>
          <w:lang w:val="de-DE"/>
        </w:rPr>
      </w:pPr>
      <w:r w:rsidRPr="009737B5">
        <w:rPr>
          <w:rFonts w:ascii="Times New Roman" w:hAnsi="Times New Roman" w:cs="Times New Roman"/>
          <w:b/>
          <w:lang w:val="de-DE"/>
        </w:rPr>
        <w:t>ANHANG III</w:t>
      </w:r>
    </w:p>
    <w:p w14:paraId="5FF58D6C"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6A3F47C4" w14:textId="77777777" w:rsidR="00010E8C" w:rsidRPr="009737B5" w:rsidRDefault="00010E8C" w:rsidP="00006169">
      <w:pPr>
        <w:suppressAutoHyphens/>
        <w:spacing w:after="0" w:line="240" w:lineRule="auto"/>
        <w:jc w:val="center"/>
        <w:rPr>
          <w:rFonts w:ascii="Times New Roman" w:hAnsi="Times New Roman" w:cs="Times New Roman"/>
          <w:b/>
          <w:lang w:val="de-DE"/>
        </w:rPr>
      </w:pPr>
      <w:r w:rsidRPr="009737B5">
        <w:rPr>
          <w:rFonts w:ascii="Times New Roman" w:hAnsi="Times New Roman" w:cs="Times New Roman"/>
          <w:b/>
          <w:lang w:val="de-DE"/>
        </w:rPr>
        <w:t>ETIKETTIERUNG UND PACKUNGSBEILAGE</w:t>
      </w:r>
    </w:p>
    <w:p w14:paraId="18B11AC0" w14:textId="77777777" w:rsidR="00006169" w:rsidRPr="009737B5" w:rsidRDefault="00006169">
      <w:pPr>
        <w:rPr>
          <w:rFonts w:ascii="Times New Roman" w:hAnsi="Times New Roman" w:cs="Times New Roman"/>
          <w:b/>
          <w:lang w:val="de-DE"/>
        </w:rPr>
      </w:pPr>
      <w:r w:rsidRPr="009737B5">
        <w:rPr>
          <w:rFonts w:ascii="Times New Roman" w:hAnsi="Times New Roman" w:cs="Times New Roman"/>
          <w:b/>
          <w:lang w:val="de-DE"/>
        </w:rPr>
        <w:br w:type="page"/>
      </w:r>
    </w:p>
    <w:p w14:paraId="5D5BE47B"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29592D62"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5D2ED540"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68B7F17B"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73B7F7D6"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73ABCC1E"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20C29303"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638E9428"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6FD6B9F7"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1BA9271A"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434DD95A"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1C98216C"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1346E9E7"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22880934"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57D5D1E7"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40E265BB"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48659678"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7C4A43C5"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4816D606" w14:textId="77777777" w:rsidR="00010E8C" w:rsidRPr="009737B5" w:rsidRDefault="00010E8C" w:rsidP="00006169">
      <w:pPr>
        <w:suppressAutoHyphens/>
        <w:spacing w:after="0" w:line="240" w:lineRule="auto"/>
        <w:jc w:val="center"/>
        <w:rPr>
          <w:rFonts w:ascii="Times New Roman" w:hAnsi="Times New Roman" w:cs="Times New Roman"/>
          <w:b/>
          <w:lang w:val="de-DE"/>
        </w:rPr>
      </w:pPr>
    </w:p>
    <w:p w14:paraId="2F1D8EF4" w14:textId="50B7CA8E" w:rsidR="00010E8C" w:rsidRDefault="00010E8C" w:rsidP="00006169">
      <w:pPr>
        <w:suppressAutoHyphens/>
        <w:spacing w:after="0" w:line="240" w:lineRule="auto"/>
        <w:jc w:val="center"/>
        <w:rPr>
          <w:rFonts w:ascii="Times New Roman" w:hAnsi="Times New Roman" w:cs="Times New Roman"/>
          <w:b/>
          <w:lang w:val="de-DE"/>
        </w:rPr>
      </w:pPr>
    </w:p>
    <w:p w14:paraId="35E2873F" w14:textId="465736F2" w:rsidR="000901A6" w:rsidRDefault="000901A6" w:rsidP="00006169">
      <w:pPr>
        <w:suppressAutoHyphens/>
        <w:spacing w:after="0" w:line="240" w:lineRule="auto"/>
        <w:jc w:val="center"/>
        <w:rPr>
          <w:rFonts w:ascii="Times New Roman" w:hAnsi="Times New Roman" w:cs="Times New Roman"/>
          <w:b/>
          <w:lang w:val="de-DE"/>
        </w:rPr>
      </w:pPr>
    </w:p>
    <w:p w14:paraId="717E285A" w14:textId="77777777" w:rsidR="000901A6" w:rsidRPr="009737B5" w:rsidRDefault="000901A6" w:rsidP="00006169">
      <w:pPr>
        <w:suppressAutoHyphens/>
        <w:spacing w:after="0" w:line="240" w:lineRule="auto"/>
        <w:jc w:val="center"/>
        <w:rPr>
          <w:rFonts w:ascii="Times New Roman" w:hAnsi="Times New Roman" w:cs="Times New Roman"/>
          <w:b/>
          <w:lang w:val="de-DE"/>
        </w:rPr>
      </w:pPr>
    </w:p>
    <w:p w14:paraId="1C01FA43" w14:textId="77777777" w:rsidR="00010E8C" w:rsidRPr="009737B5" w:rsidRDefault="00010E8C" w:rsidP="003D398E">
      <w:pPr>
        <w:pStyle w:val="TitleA"/>
        <w:rPr>
          <w:rFonts w:cs="Times New Roman"/>
          <w:lang w:val="de-DE"/>
        </w:rPr>
      </w:pPr>
      <w:r w:rsidRPr="009737B5">
        <w:rPr>
          <w:rFonts w:cs="Times New Roman"/>
          <w:lang w:val="de-DE"/>
        </w:rPr>
        <w:t>A. ETIKETTIERUNG</w:t>
      </w:r>
    </w:p>
    <w:p w14:paraId="12EAAB18" w14:textId="77777777" w:rsidR="00006169" w:rsidRPr="009737B5" w:rsidRDefault="00006169" w:rsidP="003D398E">
      <w:pPr>
        <w:spacing w:after="0" w:line="240" w:lineRule="auto"/>
        <w:jc w:val="center"/>
        <w:rPr>
          <w:rFonts w:ascii="Times New Roman" w:hAnsi="Times New Roman" w:cs="Times New Roman"/>
          <w:b/>
          <w:lang w:val="de-DE"/>
        </w:rPr>
      </w:pPr>
      <w:r w:rsidRPr="009737B5">
        <w:rPr>
          <w:rFonts w:ascii="Times New Roman" w:hAnsi="Times New Roman" w:cs="Times New Roman"/>
          <w:b/>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A5F6C" w:rsidRPr="00AA0497" w14:paraId="590309A4" w14:textId="77777777" w:rsidTr="00402720">
        <w:tc>
          <w:tcPr>
            <w:tcW w:w="9061" w:type="dxa"/>
          </w:tcPr>
          <w:p w14:paraId="4FB26786" w14:textId="77777777" w:rsidR="004A5F6C" w:rsidRPr="00402720" w:rsidRDefault="004A5F6C" w:rsidP="00402720">
            <w:pPr>
              <w:suppressAutoHyphens/>
              <w:spacing w:after="0" w:line="240" w:lineRule="auto"/>
              <w:rPr>
                <w:rFonts w:ascii="Times New Roman" w:hAnsi="Times New Roman" w:cs="Times New Roman"/>
                <w:b/>
                <w:lang w:val="de-DE"/>
              </w:rPr>
            </w:pPr>
            <w:r w:rsidRPr="00402720">
              <w:rPr>
                <w:rFonts w:ascii="Times New Roman" w:hAnsi="Times New Roman" w:cs="Times New Roman"/>
                <w:b/>
                <w:lang w:val="de-DE"/>
              </w:rPr>
              <w:t>ANGABEN AUF DER ÄUSSEREN UMHÜLLUNG</w:t>
            </w:r>
          </w:p>
          <w:p w14:paraId="0A3A552D" w14:textId="77777777" w:rsidR="004A5F6C" w:rsidRPr="00402720" w:rsidRDefault="004A5F6C" w:rsidP="00402720">
            <w:pPr>
              <w:suppressAutoHyphens/>
              <w:spacing w:after="0" w:line="240" w:lineRule="auto"/>
              <w:rPr>
                <w:rFonts w:ascii="Times New Roman" w:hAnsi="Times New Roman" w:cs="Times New Roman"/>
                <w:b/>
                <w:lang w:val="de-DE"/>
              </w:rPr>
            </w:pPr>
          </w:p>
          <w:p w14:paraId="7AE25C7C" w14:textId="77777777" w:rsidR="004A5F6C" w:rsidRPr="00402720" w:rsidRDefault="00EB5588" w:rsidP="00402720">
            <w:pPr>
              <w:suppressAutoHyphens/>
              <w:spacing w:after="0" w:line="240" w:lineRule="auto"/>
              <w:rPr>
                <w:rFonts w:ascii="Times New Roman" w:hAnsi="Times New Roman" w:cs="Times New Roman"/>
                <w:lang w:val="de-DE"/>
              </w:rPr>
            </w:pPr>
            <w:r w:rsidRPr="00402720">
              <w:rPr>
                <w:rFonts w:ascii="Times New Roman" w:hAnsi="Times New Roman" w:cs="Times New Roman"/>
                <w:b/>
                <w:lang w:val="de-DE"/>
              </w:rPr>
              <w:t>UMKARTON</w:t>
            </w:r>
          </w:p>
        </w:tc>
      </w:tr>
    </w:tbl>
    <w:p w14:paraId="6495B783" w14:textId="77777777" w:rsidR="004A5F6C" w:rsidRPr="009737B5" w:rsidRDefault="004A5F6C" w:rsidP="005F4D08">
      <w:pPr>
        <w:suppressAutoHyphens/>
        <w:spacing w:after="0" w:line="240" w:lineRule="auto"/>
        <w:rPr>
          <w:rFonts w:ascii="Times New Roman" w:hAnsi="Times New Roman" w:cs="Times New Roman"/>
          <w:lang w:val="de-DE"/>
        </w:rPr>
      </w:pPr>
    </w:p>
    <w:p w14:paraId="5EADFBBF" w14:textId="77777777" w:rsidR="00E2353A" w:rsidRPr="009737B5" w:rsidRDefault="00E2353A"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32F39D7B" w14:textId="77777777" w:rsidTr="00402720">
        <w:tc>
          <w:tcPr>
            <w:tcW w:w="9061" w:type="dxa"/>
          </w:tcPr>
          <w:p w14:paraId="539FC273"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w:t>
            </w:r>
            <w:r w:rsidR="00ED7B99" w:rsidRPr="00402720">
              <w:rPr>
                <w:rFonts w:ascii="Times New Roman" w:hAnsi="Times New Roman" w:cs="Times New Roman"/>
                <w:b/>
                <w:lang w:val="de-DE"/>
              </w:rPr>
              <w:t>.</w:t>
            </w:r>
            <w:r w:rsidR="00ED7B99" w:rsidRPr="00402720">
              <w:rPr>
                <w:rFonts w:ascii="Times New Roman" w:hAnsi="Times New Roman" w:cs="Times New Roman"/>
                <w:b/>
                <w:lang w:val="de-DE"/>
              </w:rPr>
              <w:tab/>
              <w:t>BEZEICHNUNG DES ARZNEIMITTELS</w:t>
            </w:r>
          </w:p>
        </w:tc>
      </w:tr>
    </w:tbl>
    <w:p w14:paraId="46ED3A25" w14:textId="77777777" w:rsidR="00E2353A" w:rsidRPr="009737B5" w:rsidRDefault="00E2353A" w:rsidP="008A7D7B">
      <w:pPr>
        <w:keepNext/>
        <w:suppressAutoHyphens/>
        <w:spacing w:after="0" w:line="240" w:lineRule="auto"/>
        <w:rPr>
          <w:rFonts w:ascii="Times New Roman" w:hAnsi="Times New Roman" w:cs="Times New Roman"/>
          <w:lang w:val="de-DE"/>
        </w:rPr>
      </w:pPr>
    </w:p>
    <w:p w14:paraId="15DC7BB4" w14:textId="77777777" w:rsidR="00E2353A"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422446" w:rsidRPr="009737B5" w:rsidDel="00422446">
        <w:rPr>
          <w:rFonts w:ascii="Times New Roman" w:hAnsi="Times New Roman" w:cs="Times New Roman"/>
          <w:lang w:val="de-DE"/>
        </w:rPr>
        <w:t xml:space="preserve"> </w:t>
      </w:r>
      <w:r w:rsidR="00E2353A" w:rsidRPr="009737B5">
        <w:rPr>
          <w:rFonts w:ascii="Times New Roman" w:hAnsi="Times New Roman" w:cs="Times New Roman"/>
          <w:lang w:val="de-DE"/>
        </w:rPr>
        <w:t>25</w:t>
      </w:r>
      <w:r w:rsidR="00AB26B9" w:rsidRPr="009737B5">
        <w:rPr>
          <w:rFonts w:ascii="Times New Roman" w:hAnsi="Times New Roman" w:cs="Times New Roman"/>
          <w:lang w:val="de-DE"/>
        </w:rPr>
        <w:t> mg</w:t>
      </w:r>
      <w:r w:rsidR="00C6251D" w:rsidRPr="009737B5">
        <w:rPr>
          <w:rFonts w:ascii="Times New Roman" w:hAnsi="Times New Roman" w:cs="Times New Roman"/>
          <w:lang w:val="de-DE"/>
        </w:rPr>
        <w:t>/ml</w:t>
      </w:r>
      <w:r w:rsidR="00E2353A" w:rsidRPr="009737B5">
        <w:rPr>
          <w:rFonts w:ascii="Times New Roman" w:hAnsi="Times New Roman" w:cs="Times New Roman"/>
          <w:lang w:val="de-DE"/>
        </w:rPr>
        <w:t xml:space="preserve"> Konzentrat zur Herstellung einer Infusionslösung</w:t>
      </w:r>
    </w:p>
    <w:p w14:paraId="46826F33"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Bevacizumab</w:t>
      </w:r>
    </w:p>
    <w:p w14:paraId="14F0C3F5" w14:textId="77777777" w:rsidR="006049A6" w:rsidRPr="009737B5" w:rsidRDefault="006049A6" w:rsidP="005F4D08">
      <w:pPr>
        <w:suppressAutoHyphens/>
        <w:spacing w:after="0" w:line="240" w:lineRule="auto"/>
        <w:rPr>
          <w:rFonts w:ascii="Times New Roman" w:hAnsi="Times New Roman" w:cs="Times New Roman"/>
          <w:lang w:val="de-DE"/>
        </w:rPr>
      </w:pPr>
    </w:p>
    <w:p w14:paraId="739A4BF7"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0C90AE4B" w14:textId="77777777" w:rsidTr="00402720">
        <w:tc>
          <w:tcPr>
            <w:tcW w:w="9061" w:type="dxa"/>
          </w:tcPr>
          <w:p w14:paraId="01614B41"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2.</w:t>
            </w:r>
            <w:r w:rsidRPr="00402720">
              <w:rPr>
                <w:rFonts w:ascii="Times New Roman" w:hAnsi="Times New Roman" w:cs="Times New Roman"/>
                <w:b/>
                <w:lang w:val="de-DE"/>
              </w:rPr>
              <w:tab/>
              <w:t>WIRKSTOFF(E)</w:t>
            </w:r>
          </w:p>
        </w:tc>
      </w:tr>
    </w:tbl>
    <w:p w14:paraId="257B3722"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02FEE810" w14:textId="2D0F1DE4"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Jede Durchstechflasche enthält 100</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 Bevacizumab</w:t>
      </w:r>
      <w:r w:rsidR="00422446" w:rsidRPr="009737B5">
        <w:rPr>
          <w:rFonts w:ascii="Times New Roman" w:hAnsi="Times New Roman" w:cs="Times New Roman"/>
          <w:lang w:val="de-DE"/>
        </w:rPr>
        <w:t xml:space="preserve"> in 4</w:t>
      </w:r>
      <w:r w:rsidR="003D5949" w:rsidRPr="009737B5">
        <w:rPr>
          <w:rFonts w:ascii="Times New Roman" w:hAnsi="Times New Roman" w:cs="Times New Roman"/>
          <w:lang w:val="de-DE"/>
        </w:rPr>
        <w:t> </w:t>
      </w:r>
      <w:r w:rsidR="00422446" w:rsidRPr="009737B5">
        <w:rPr>
          <w:rFonts w:ascii="Times New Roman" w:hAnsi="Times New Roman" w:cs="Times New Roman"/>
          <w:lang w:val="de-DE"/>
        </w:rPr>
        <w:t>ml Konzentrat</w:t>
      </w:r>
      <w:r w:rsidRPr="009737B5">
        <w:rPr>
          <w:rFonts w:ascii="Times New Roman" w:hAnsi="Times New Roman" w:cs="Times New Roman"/>
          <w:lang w:val="de-DE"/>
        </w:rPr>
        <w:t>.</w:t>
      </w:r>
    </w:p>
    <w:p w14:paraId="08195B56" w14:textId="77777777" w:rsidR="00E2353A" w:rsidRPr="009737B5" w:rsidRDefault="00E2353A" w:rsidP="005F4D08">
      <w:pPr>
        <w:suppressAutoHyphens/>
        <w:spacing w:after="0" w:line="240" w:lineRule="auto"/>
        <w:rPr>
          <w:rFonts w:ascii="Times New Roman" w:hAnsi="Times New Roman" w:cs="Times New Roman"/>
          <w:lang w:val="de-DE"/>
        </w:rPr>
      </w:pPr>
    </w:p>
    <w:p w14:paraId="4FD19FD6" w14:textId="77777777" w:rsidR="00422446" w:rsidRPr="009737B5" w:rsidRDefault="00422446"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100</w:t>
      </w:r>
      <w:r w:rsidR="003D5949" w:rsidRPr="009737B5">
        <w:rPr>
          <w:rFonts w:ascii="Times New Roman" w:hAnsi="Times New Roman" w:cs="Times New Roman"/>
          <w:lang w:val="de-DE"/>
        </w:rPr>
        <w:t> </w:t>
      </w:r>
      <w:r w:rsidRPr="009737B5">
        <w:rPr>
          <w:rFonts w:ascii="Times New Roman" w:hAnsi="Times New Roman" w:cs="Times New Roman"/>
          <w:lang w:val="de-DE"/>
        </w:rPr>
        <w:t>mg/4</w:t>
      </w:r>
      <w:r w:rsidR="003D5949" w:rsidRPr="009737B5">
        <w:rPr>
          <w:rFonts w:ascii="Times New Roman" w:hAnsi="Times New Roman" w:cs="Times New Roman"/>
          <w:lang w:val="de-DE"/>
        </w:rPr>
        <w:t> </w:t>
      </w:r>
      <w:r w:rsidRPr="009737B5">
        <w:rPr>
          <w:rFonts w:ascii="Times New Roman" w:hAnsi="Times New Roman" w:cs="Times New Roman"/>
          <w:lang w:val="de-DE"/>
        </w:rPr>
        <w:t>ml</w:t>
      </w:r>
    </w:p>
    <w:p w14:paraId="37EDC6A9" w14:textId="77777777" w:rsidR="000A3CD6" w:rsidRPr="009737B5" w:rsidRDefault="000A3CD6" w:rsidP="005F4D08">
      <w:pPr>
        <w:suppressAutoHyphens/>
        <w:spacing w:after="0" w:line="240" w:lineRule="auto"/>
        <w:rPr>
          <w:rFonts w:ascii="Times New Roman" w:hAnsi="Times New Roman" w:cs="Times New Roman"/>
          <w:lang w:val="de-DE"/>
        </w:rPr>
      </w:pPr>
    </w:p>
    <w:p w14:paraId="37EB2640"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20BB08EA" w14:textId="77777777" w:rsidTr="00402720">
        <w:tc>
          <w:tcPr>
            <w:tcW w:w="9061" w:type="dxa"/>
          </w:tcPr>
          <w:p w14:paraId="53272B75"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3.</w:t>
            </w:r>
            <w:r w:rsidRPr="00402720">
              <w:rPr>
                <w:rFonts w:ascii="Times New Roman" w:hAnsi="Times New Roman" w:cs="Times New Roman"/>
                <w:b/>
                <w:lang w:val="de-DE"/>
              </w:rPr>
              <w:tab/>
              <w:t>SONSTIGE BESTANDTEILE</w:t>
            </w:r>
          </w:p>
        </w:tc>
      </w:tr>
    </w:tbl>
    <w:p w14:paraId="4251B194"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531659EC" w14:textId="2B61E070" w:rsidR="00E2353A" w:rsidRPr="009737B5" w:rsidRDefault="00422446"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α</w:t>
      </w:r>
      <w:r w:rsidR="00E2353A" w:rsidRPr="009737B5">
        <w:rPr>
          <w:rFonts w:ascii="Times New Roman" w:hAnsi="Times New Roman" w:cs="Times New Roman"/>
          <w:lang w:val="de-DE"/>
        </w:rPr>
        <w:t xml:space="preserve">, </w:t>
      </w:r>
      <w:r w:rsidRPr="009737B5">
        <w:rPr>
          <w:rFonts w:ascii="Times New Roman" w:hAnsi="Times New Roman" w:cs="Times New Roman"/>
          <w:lang w:val="de-DE"/>
        </w:rPr>
        <w:t>α</w:t>
      </w:r>
      <w:r w:rsidR="00E2353A" w:rsidRPr="009737B5">
        <w:rPr>
          <w:rFonts w:ascii="Times New Roman" w:hAnsi="Times New Roman" w:cs="Times New Roman"/>
          <w:lang w:val="de-DE"/>
        </w:rPr>
        <w:t>-Trehalose</w:t>
      </w:r>
      <w:r w:rsidRPr="009737B5">
        <w:rPr>
          <w:rFonts w:ascii="Times New Roman" w:hAnsi="Times New Roman" w:cs="Times New Roman"/>
          <w:lang w:val="de-DE"/>
        </w:rPr>
        <w:t>-</w:t>
      </w:r>
      <w:r w:rsidR="00E2353A" w:rsidRPr="009737B5">
        <w:rPr>
          <w:rFonts w:ascii="Times New Roman" w:hAnsi="Times New Roman" w:cs="Times New Roman"/>
          <w:lang w:val="de-DE"/>
        </w:rPr>
        <w:t>2</w:t>
      </w:r>
      <w:r w:rsidRPr="009737B5">
        <w:rPr>
          <w:rFonts w:ascii="Times New Roman" w:hAnsi="Times New Roman" w:cs="Times New Roman"/>
          <w:lang w:val="de-DE"/>
        </w:rPr>
        <w:t>-</w:t>
      </w:r>
      <w:r w:rsidR="00E2353A" w:rsidRPr="009737B5">
        <w:rPr>
          <w:rFonts w:ascii="Times New Roman" w:hAnsi="Times New Roman" w:cs="Times New Roman"/>
          <w:lang w:val="de-DE"/>
        </w:rPr>
        <w:t>H</w:t>
      </w:r>
      <w:r w:rsidR="00E2353A" w:rsidRPr="009737B5">
        <w:rPr>
          <w:rFonts w:ascii="Times New Roman" w:hAnsi="Times New Roman" w:cs="Times New Roman"/>
          <w:vertAlign w:val="subscript"/>
          <w:lang w:val="de-DE"/>
        </w:rPr>
        <w:t>2</w:t>
      </w:r>
      <w:r w:rsidR="00E2353A" w:rsidRPr="009737B5">
        <w:rPr>
          <w:rFonts w:ascii="Times New Roman" w:hAnsi="Times New Roman" w:cs="Times New Roman"/>
          <w:lang w:val="de-DE"/>
        </w:rPr>
        <w:t>O, Natriumphosphat, Polysorbat 2</w:t>
      </w:r>
      <w:r w:rsidR="006049A6" w:rsidRPr="009737B5">
        <w:rPr>
          <w:rFonts w:ascii="Times New Roman" w:hAnsi="Times New Roman" w:cs="Times New Roman"/>
          <w:lang w:val="de-DE"/>
        </w:rPr>
        <w:t>0, Wasser für Injektionszwecke.</w:t>
      </w:r>
    </w:p>
    <w:p w14:paraId="1B84A6CD" w14:textId="77777777" w:rsidR="006049A6" w:rsidRPr="009737B5" w:rsidRDefault="006049A6" w:rsidP="005F4D08">
      <w:pPr>
        <w:suppressAutoHyphens/>
        <w:spacing w:after="0" w:line="240" w:lineRule="auto"/>
        <w:rPr>
          <w:rFonts w:ascii="Times New Roman" w:hAnsi="Times New Roman" w:cs="Times New Roman"/>
          <w:lang w:val="de-DE"/>
        </w:rPr>
      </w:pPr>
    </w:p>
    <w:p w14:paraId="4AFFC7CF"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31157971" w14:textId="77777777" w:rsidTr="00402720">
        <w:tc>
          <w:tcPr>
            <w:tcW w:w="9061" w:type="dxa"/>
          </w:tcPr>
          <w:p w14:paraId="51A13906"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4.</w:t>
            </w:r>
            <w:r w:rsidRPr="00402720">
              <w:rPr>
                <w:rFonts w:ascii="Times New Roman" w:hAnsi="Times New Roman" w:cs="Times New Roman"/>
                <w:b/>
                <w:lang w:val="de-DE"/>
              </w:rPr>
              <w:tab/>
              <w:t>DARREICHUNGSFORM UND INHALT</w:t>
            </w:r>
          </w:p>
        </w:tc>
      </w:tr>
    </w:tbl>
    <w:p w14:paraId="1FE0AADC"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0907865A" w14:textId="77777777" w:rsidR="00E2353A" w:rsidRPr="009737B5" w:rsidRDefault="00E2353A" w:rsidP="005F4D08">
      <w:pPr>
        <w:suppressAutoHyphens/>
        <w:spacing w:after="0" w:line="240" w:lineRule="auto"/>
        <w:rPr>
          <w:rFonts w:ascii="Times New Roman" w:hAnsi="Times New Roman" w:cs="Times New Roman"/>
          <w:lang w:val="de-DE"/>
        </w:rPr>
      </w:pPr>
      <w:r>
        <w:rPr>
          <w:rFonts w:ascii="Times New Roman" w:hAnsi="Times New Roman" w:cs="Times New Roman"/>
          <w:highlight w:val="lightGray"/>
          <w:lang w:val="de-DE"/>
        </w:rPr>
        <w:t>Konzentrat zur Herstellung einer Infusionslösung</w:t>
      </w:r>
      <w:r w:rsidR="00ED7B99">
        <w:rPr>
          <w:rFonts w:ascii="Times New Roman" w:hAnsi="Times New Roman" w:cs="Times New Roman"/>
          <w:highlight w:val="lightGray"/>
          <w:lang w:val="de-DE"/>
        </w:rPr>
        <w:t>.</w:t>
      </w:r>
    </w:p>
    <w:p w14:paraId="00B9E8AA" w14:textId="77777777" w:rsidR="00E2353A" w:rsidRPr="009737B5" w:rsidRDefault="00E2353A">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1 Durchstechflasche </w:t>
      </w:r>
    </w:p>
    <w:p w14:paraId="771F7D8C" w14:textId="77777777" w:rsidR="00E2353A" w:rsidRPr="009737B5" w:rsidRDefault="00E2353A" w:rsidP="005F4D08">
      <w:pPr>
        <w:suppressAutoHyphens/>
        <w:spacing w:after="0" w:line="240" w:lineRule="auto"/>
        <w:rPr>
          <w:rFonts w:ascii="Times New Roman" w:hAnsi="Times New Roman" w:cs="Times New Roman"/>
          <w:lang w:val="de-DE"/>
        </w:rPr>
      </w:pPr>
    </w:p>
    <w:p w14:paraId="0E20621E"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AA0497" w14:paraId="1DA9B83C" w14:textId="77777777" w:rsidTr="00402720">
        <w:tc>
          <w:tcPr>
            <w:tcW w:w="9061" w:type="dxa"/>
          </w:tcPr>
          <w:p w14:paraId="0B60DA77"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5.</w:t>
            </w:r>
            <w:r w:rsidRPr="00402720">
              <w:rPr>
                <w:rFonts w:ascii="Times New Roman" w:hAnsi="Times New Roman" w:cs="Times New Roman"/>
                <w:b/>
                <w:lang w:val="de-DE"/>
              </w:rPr>
              <w:tab/>
              <w:t>HINWEISE ZUR UND ART(EN) DER ANWENDUNG</w:t>
            </w:r>
          </w:p>
        </w:tc>
      </w:tr>
    </w:tbl>
    <w:p w14:paraId="130DA7B2"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0DE71F99"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Zur intravenösen Anwendung nach Verdünnung</w:t>
      </w:r>
      <w:r w:rsidR="00ED7B99" w:rsidRPr="009737B5">
        <w:rPr>
          <w:rFonts w:ascii="Times New Roman" w:hAnsi="Times New Roman" w:cs="Times New Roman"/>
          <w:lang w:val="de-DE"/>
        </w:rPr>
        <w:t>.</w:t>
      </w:r>
    </w:p>
    <w:p w14:paraId="76B3F271"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Packungsbeilage beachten</w:t>
      </w:r>
      <w:r w:rsidR="00ED7B99" w:rsidRPr="009737B5">
        <w:rPr>
          <w:rFonts w:ascii="Times New Roman" w:hAnsi="Times New Roman" w:cs="Times New Roman"/>
          <w:lang w:val="de-DE"/>
        </w:rPr>
        <w:t>.</w:t>
      </w:r>
    </w:p>
    <w:p w14:paraId="7068CC4A" w14:textId="77777777" w:rsidR="00E2353A" w:rsidRPr="009737B5" w:rsidRDefault="00E2353A" w:rsidP="005F4D08">
      <w:pPr>
        <w:suppressAutoHyphens/>
        <w:spacing w:after="0" w:line="240" w:lineRule="auto"/>
        <w:rPr>
          <w:rFonts w:ascii="Times New Roman" w:hAnsi="Times New Roman" w:cs="Times New Roman"/>
          <w:lang w:val="de-DE"/>
        </w:rPr>
      </w:pPr>
    </w:p>
    <w:p w14:paraId="7F721ACE"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AA0497" w14:paraId="3084C285" w14:textId="77777777" w:rsidTr="00402720">
        <w:tc>
          <w:tcPr>
            <w:tcW w:w="9061" w:type="dxa"/>
          </w:tcPr>
          <w:p w14:paraId="577B4EA4"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6.</w:t>
            </w:r>
            <w:r w:rsidRPr="00402720">
              <w:rPr>
                <w:rFonts w:ascii="Times New Roman" w:hAnsi="Times New Roman" w:cs="Times New Roman"/>
                <w:b/>
                <w:lang w:val="de-DE"/>
              </w:rPr>
              <w:tab/>
              <w:t xml:space="preserve">WARNHINWEIS, DASS DAS ARZNEIMITTEL FÜR KINDER </w:t>
            </w:r>
            <w:r w:rsidR="00422446" w:rsidRPr="00402720">
              <w:rPr>
                <w:rFonts w:ascii="Times New Roman" w:hAnsi="Times New Roman" w:cs="Times New Roman"/>
                <w:b/>
                <w:lang w:val="de-DE"/>
              </w:rPr>
              <w:t>UNZUGÄNGLICH</w:t>
            </w:r>
            <w:r w:rsidRPr="00402720">
              <w:rPr>
                <w:rFonts w:ascii="Times New Roman" w:hAnsi="Times New Roman" w:cs="Times New Roman"/>
                <w:b/>
                <w:lang w:val="de-DE"/>
              </w:rPr>
              <w:t xml:space="preserve"> AUFZUBEWAHREN IST</w:t>
            </w:r>
          </w:p>
        </w:tc>
      </w:tr>
    </w:tbl>
    <w:p w14:paraId="70273318"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2AE00433"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Arzneimittel für Kinder unzugänglich aufbewahren</w:t>
      </w:r>
      <w:r w:rsidR="00ED7B99" w:rsidRPr="009737B5">
        <w:rPr>
          <w:rFonts w:ascii="Times New Roman" w:hAnsi="Times New Roman" w:cs="Times New Roman"/>
          <w:lang w:val="de-DE"/>
        </w:rPr>
        <w:t>.</w:t>
      </w:r>
    </w:p>
    <w:p w14:paraId="6F0DE254" w14:textId="77777777" w:rsidR="006049A6" w:rsidRPr="009737B5" w:rsidRDefault="006049A6" w:rsidP="005F4D08">
      <w:pPr>
        <w:suppressAutoHyphens/>
        <w:spacing w:after="0" w:line="240" w:lineRule="auto"/>
        <w:rPr>
          <w:rFonts w:ascii="Times New Roman" w:hAnsi="Times New Roman" w:cs="Times New Roman"/>
          <w:lang w:val="de-DE"/>
        </w:rPr>
      </w:pPr>
    </w:p>
    <w:p w14:paraId="02B0AD80"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507B5C0C" w14:textId="77777777" w:rsidTr="00402720">
        <w:tc>
          <w:tcPr>
            <w:tcW w:w="9061" w:type="dxa"/>
          </w:tcPr>
          <w:p w14:paraId="4EFCBA13"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7.</w:t>
            </w:r>
            <w:r w:rsidRPr="00402720">
              <w:rPr>
                <w:rFonts w:ascii="Times New Roman" w:hAnsi="Times New Roman" w:cs="Times New Roman"/>
                <w:b/>
                <w:lang w:val="de-DE"/>
              </w:rPr>
              <w:tab/>
              <w:t>WEITERE WARNHINWEISE, FALLS ERFORD</w:t>
            </w:r>
            <w:r w:rsidR="008A7D7B" w:rsidRPr="00402720">
              <w:rPr>
                <w:rFonts w:ascii="Times New Roman" w:hAnsi="Times New Roman" w:cs="Times New Roman"/>
                <w:b/>
                <w:lang w:val="de-DE"/>
              </w:rPr>
              <w:t>ERLICH</w:t>
            </w:r>
          </w:p>
        </w:tc>
      </w:tr>
    </w:tbl>
    <w:p w14:paraId="27870D7B"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031CE85A"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3649B1D3" w14:textId="77777777" w:rsidTr="00402720">
        <w:tc>
          <w:tcPr>
            <w:tcW w:w="9061" w:type="dxa"/>
          </w:tcPr>
          <w:p w14:paraId="070A6ECF" w14:textId="77777777" w:rsidR="006049A6" w:rsidRPr="00402720" w:rsidRDefault="008A7D7B"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8.</w:t>
            </w:r>
            <w:r w:rsidRPr="00402720">
              <w:rPr>
                <w:rFonts w:ascii="Times New Roman" w:hAnsi="Times New Roman" w:cs="Times New Roman"/>
                <w:b/>
                <w:lang w:val="de-DE"/>
              </w:rPr>
              <w:tab/>
              <w:t>VERFALLDATUM</w:t>
            </w:r>
          </w:p>
        </w:tc>
      </w:tr>
    </w:tbl>
    <w:p w14:paraId="4437C615"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2AB6E766" w14:textId="77777777" w:rsidR="00E2353A" w:rsidRPr="009737B5" w:rsidRDefault="00422446"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verwendbar </w:t>
      </w:r>
      <w:r w:rsidR="00E2353A" w:rsidRPr="009737B5">
        <w:rPr>
          <w:rFonts w:ascii="Times New Roman" w:hAnsi="Times New Roman" w:cs="Times New Roman"/>
          <w:lang w:val="de-DE"/>
        </w:rPr>
        <w:t>bis</w:t>
      </w:r>
    </w:p>
    <w:p w14:paraId="45D810BE" w14:textId="77777777" w:rsidR="00E2353A" w:rsidRPr="009737B5" w:rsidRDefault="00E2353A" w:rsidP="005F4D08">
      <w:pPr>
        <w:suppressAutoHyphens/>
        <w:spacing w:after="0" w:line="240" w:lineRule="auto"/>
        <w:rPr>
          <w:rFonts w:ascii="Times New Roman" w:hAnsi="Times New Roman" w:cs="Times New Roman"/>
          <w:lang w:val="de-DE"/>
        </w:rPr>
      </w:pPr>
    </w:p>
    <w:p w14:paraId="0D0716F4" w14:textId="77777777" w:rsidR="000A3CD6" w:rsidRPr="009737B5" w:rsidRDefault="000A3CD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AA0497" w14:paraId="2B5350C8" w14:textId="77777777" w:rsidTr="00402720">
        <w:tc>
          <w:tcPr>
            <w:tcW w:w="9061" w:type="dxa"/>
          </w:tcPr>
          <w:p w14:paraId="64083E85"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9.</w:t>
            </w:r>
            <w:r w:rsidRPr="00402720">
              <w:rPr>
                <w:rFonts w:ascii="Times New Roman" w:hAnsi="Times New Roman" w:cs="Times New Roman"/>
                <w:b/>
                <w:lang w:val="de-DE"/>
              </w:rPr>
              <w:tab/>
              <w:t>BESONDERE VORSICHTSMASSNAHMEN FÜR DIE AUFBEWAHRUNG</w:t>
            </w:r>
          </w:p>
        </w:tc>
      </w:tr>
    </w:tbl>
    <w:p w14:paraId="364EC1AD"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0668EC75"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Im Kühlschrank </w:t>
      </w:r>
      <w:r w:rsidR="00422446" w:rsidRPr="009737B5">
        <w:rPr>
          <w:rFonts w:ascii="Times New Roman" w:hAnsi="Times New Roman" w:cs="Times New Roman"/>
          <w:lang w:val="de-DE"/>
        </w:rPr>
        <w:t>lagern</w:t>
      </w:r>
      <w:r w:rsidR="00ED7B99" w:rsidRPr="009737B5">
        <w:rPr>
          <w:rFonts w:ascii="Times New Roman" w:hAnsi="Times New Roman" w:cs="Times New Roman"/>
          <w:lang w:val="de-DE"/>
        </w:rPr>
        <w:t>.</w:t>
      </w:r>
    </w:p>
    <w:p w14:paraId="0243F97B"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Nicht einfrieren</w:t>
      </w:r>
      <w:r w:rsidR="00ED7B99" w:rsidRPr="009737B5">
        <w:rPr>
          <w:rFonts w:ascii="Times New Roman" w:hAnsi="Times New Roman" w:cs="Times New Roman"/>
          <w:lang w:val="de-DE"/>
        </w:rPr>
        <w:t>.</w:t>
      </w:r>
    </w:p>
    <w:p w14:paraId="04C6A746" w14:textId="77777777" w:rsidR="00E2353A" w:rsidRPr="009737B5" w:rsidRDefault="00422446"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der Originalverpackung aufbewahren, um den Inhalt vor Licht zu schützen</w:t>
      </w:r>
      <w:r w:rsidR="00ED7B99" w:rsidRPr="009737B5">
        <w:rPr>
          <w:rFonts w:ascii="Times New Roman" w:hAnsi="Times New Roman" w:cs="Times New Roman"/>
          <w:lang w:val="de-DE"/>
        </w:rPr>
        <w:t>.</w:t>
      </w:r>
    </w:p>
    <w:p w14:paraId="540BD5C3" w14:textId="77777777" w:rsidR="006049A6" w:rsidRPr="009737B5" w:rsidRDefault="006049A6" w:rsidP="005F4D08">
      <w:pPr>
        <w:suppressAutoHyphens/>
        <w:spacing w:after="0" w:line="240" w:lineRule="auto"/>
        <w:rPr>
          <w:rFonts w:ascii="Times New Roman" w:hAnsi="Times New Roman" w:cs="Times New Roman"/>
          <w:lang w:val="de-DE"/>
        </w:rPr>
      </w:pPr>
    </w:p>
    <w:p w14:paraId="6514868D"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AA0497" w14:paraId="00A331C1" w14:textId="77777777" w:rsidTr="00402720">
        <w:tc>
          <w:tcPr>
            <w:tcW w:w="9061" w:type="dxa"/>
          </w:tcPr>
          <w:p w14:paraId="5F7AAF47"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10.</w:t>
            </w:r>
            <w:r w:rsidRPr="00402720">
              <w:rPr>
                <w:rFonts w:ascii="Times New Roman" w:hAnsi="Times New Roman" w:cs="Times New Roman"/>
                <w:b/>
                <w:lang w:val="de-DE"/>
              </w:rPr>
              <w:tab/>
              <w:t xml:space="preserve">GEGEBENENFALLS BESONDERE VORSICHTSMASSNAHMEN FÜR DIE BESEITIGUNG VON NICHT VERWENDETEM ARZNEIMITTEL ODER DAVON STAMMENDEN ABFALLMATERIALIEN </w:t>
            </w:r>
          </w:p>
        </w:tc>
      </w:tr>
    </w:tbl>
    <w:p w14:paraId="0FB86F5D"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319509BF" w14:textId="77777777" w:rsidR="00E2353A" w:rsidRPr="009737B5" w:rsidRDefault="00E2353A"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B83674" w14:paraId="49D32633" w14:textId="77777777" w:rsidTr="00402720">
        <w:tc>
          <w:tcPr>
            <w:tcW w:w="9061" w:type="dxa"/>
          </w:tcPr>
          <w:p w14:paraId="3DA3A3E4"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11.</w:t>
            </w:r>
            <w:r w:rsidRPr="00402720">
              <w:rPr>
                <w:rFonts w:ascii="Times New Roman" w:hAnsi="Times New Roman" w:cs="Times New Roman"/>
                <w:b/>
                <w:lang w:val="de-DE"/>
              </w:rPr>
              <w:tab/>
              <w:t>NAME UND ANSCHRIFT DES PHARMAZEUTISCHEN UNTERNEHMERS</w:t>
            </w:r>
          </w:p>
        </w:tc>
      </w:tr>
    </w:tbl>
    <w:p w14:paraId="446D55E2"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428E5C5B" w14:textId="77777777" w:rsidR="007D1316" w:rsidRPr="00122B74" w:rsidRDefault="007D1316" w:rsidP="007D1316">
      <w:pPr>
        <w:keepNext/>
        <w:spacing w:after="0" w:line="240" w:lineRule="auto"/>
        <w:rPr>
          <w:rFonts w:ascii="Times New Roman" w:hAnsi="Times New Roman" w:cs="Times New Roman"/>
        </w:rPr>
      </w:pPr>
      <w:r w:rsidRPr="00122B74">
        <w:rPr>
          <w:rFonts w:ascii="Times New Roman" w:hAnsi="Times New Roman" w:cs="Times New Roman"/>
        </w:rPr>
        <w:t>Amgen Technology (Ireland) UC,</w:t>
      </w:r>
    </w:p>
    <w:p w14:paraId="6A79F34F" w14:textId="77777777" w:rsidR="007D1316" w:rsidRPr="00122B74" w:rsidRDefault="007D1316" w:rsidP="007D1316">
      <w:pPr>
        <w:keepNext/>
        <w:spacing w:after="0" w:line="240" w:lineRule="auto"/>
        <w:rPr>
          <w:rFonts w:ascii="Times New Roman" w:hAnsi="Times New Roman" w:cs="Times New Roman"/>
        </w:rPr>
      </w:pPr>
      <w:r w:rsidRPr="00122B74">
        <w:rPr>
          <w:rFonts w:ascii="Times New Roman" w:hAnsi="Times New Roman" w:cs="Times New Roman"/>
        </w:rPr>
        <w:t>Pottery Road,</w:t>
      </w:r>
    </w:p>
    <w:p w14:paraId="63781F40" w14:textId="77777777" w:rsidR="007D1316" w:rsidRPr="00122B74" w:rsidRDefault="007D1316" w:rsidP="007D1316">
      <w:pPr>
        <w:keepNext/>
        <w:spacing w:after="0" w:line="240" w:lineRule="auto"/>
        <w:rPr>
          <w:rFonts w:ascii="Times New Roman" w:hAnsi="Times New Roman" w:cs="Times New Roman"/>
        </w:rPr>
      </w:pPr>
      <w:r w:rsidRPr="00122B74">
        <w:rPr>
          <w:rFonts w:ascii="Times New Roman" w:hAnsi="Times New Roman" w:cs="Times New Roman"/>
        </w:rPr>
        <w:t>Dun Laoghaire,</w:t>
      </w:r>
    </w:p>
    <w:p w14:paraId="1253B644" w14:textId="77777777" w:rsidR="007D1316" w:rsidRPr="00122B74" w:rsidRDefault="007D1316" w:rsidP="007D1316">
      <w:pPr>
        <w:keepNext/>
        <w:spacing w:after="0" w:line="240" w:lineRule="auto"/>
        <w:rPr>
          <w:rFonts w:ascii="Times New Roman" w:hAnsi="Times New Roman" w:cs="Times New Roman"/>
        </w:rPr>
      </w:pPr>
      <w:r w:rsidRPr="00122B74">
        <w:rPr>
          <w:rFonts w:ascii="Times New Roman" w:hAnsi="Times New Roman" w:cs="Times New Roman"/>
        </w:rPr>
        <w:t>Co. Dublin,</w:t>
      </w:r>
    </w:p>
    <w:p w14:paraId="4BD4514D" w14:textId="434A5FED" w:rsidR="00E2353A" w:rsidRPr="009737B5" w:rsidRDefault="007D1316" w:rsidP="005F4D08">
      <w:pPr>
        <w:suppressAutoHyphens/>
        <w:spacing w:after="0" w:line="240" w:lineRule="auto"/>
        <w:rPr>
          <w:rFonts w:ascii="Times New Roman" w:hAnsi="Times New Roman" w:cs="Times New Roman"/>
          <w:lang w:val="de-DE"/>
        </w:rPr>
      </w:pPr>
      <w:r w:rsidRPr="00C81016">
        <w:rPr>
          <w:rFonts w:ascii="Times New Roman" w:eastAsia="Times New Roman" w:hAnsi="Times New Roman" w:cs="Times New Roman"/>
          <w:color w:val="000000"/>
          <w:lang w:val="de-DE"/>
        </w:rPr>
        <w:t>Irland</w:t>
      </w:r>
    </w:p>
    <w:p w14:paraId="2B3FE126" w14:textId="77777777" w:rsidR="00E2353A" w:rsidRPr="009737B5" w:rsidRDefault="00E2353A" w:rsidP="005F4D08">
      <w:pPr>
        <w:suppressAutoHyphens/>
        <w:spacing w:after="0" w:line="240" w:lineRule="auto"/>
        <w:rPr>
          <w:rFonts w:ascii="Times New Roman" w:hAnsi="Times New Roman" w:cs="Times New Roman"/>
          <w:lang w:val="de-DE"/>
        </w:rPr>
      </w:pPr>
    </w:p>
    <w:p w14:paraId="4CAD310A"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33FB1BDE" w14:textId="77777777" w:rsidTr="00402720">
        <w:tc>
          <w:tcPr>
            <w:tcW w:w="9061" w:type="dxa"/>
          </w:tcPr>
          <w:p w14:paraId="2B3F3C5A"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12.</w:t>
            </w:r>
            <w:r w:rsidRPr="00402720">
              <w:rPr>
                <w:rFonts w:ascii="Times New Roman" w:hAnsi="Times New Roman" w:cs="Times New Roman"/>
                <w:b/>
                <w:lang w:val="de-DE"/>
              </w:rPr>
              <w:tab/>
              <w:t>ZULASSUNGSNUMMER(N)</w:t>
            </w:r>
          </w:p>
        </w:tc>
      </w:tr>
    </w:tbl>
    <w:p w14:paraId="4368DEF4" w14:textId="77777777" w:rsidR="00E2353A" w:rsidRPr="009737B5" w:rsidRDefault="00E2353A" w:rsidP="008A7D7B">
      <w:pPr>
        <w:keepNext/>
        <w:suppressAutoHyphens/>
        <w:spacing w:after="0" w:line="240" w:lineRule="auto"/>
        <w:rPr>
          <w:rFonts w:ascii="Times New Roman" w:hAnsi="Times New Roman" w:cs="Times New Roman"/>
          <w:lang w:val="de-DE"/>
        </w:rPr>
      </w:pPr>
    </w:p>
    <w:p w14:paraId="293DFF2C" w14:textId="77777777" w:rsidR="00E2353A" w:rsidRPr="00326D8C" w:rsidRDefault="000A3CD6" w:rsidP="005F4D08">
      <w:pPr>
        <w:suppressAutoHyphens/>
        <w:spacing w:after="0" w:line="240" w:lineRule="auto"/>
        <w:rPr>
          <w:rFonts w:ascii="Times New Roman" w:hAnsi="Times New Roman" w:cs="Times New Roman"/>
          <w:lang w:val="de-DE"/>
        </w:rPr>
      </w:pPr>
      <w:r w:rsidRPr="00326D8C">
        <w:rPr>
          <w:rFonts w:ascii="Times New Roman" w:eastAsia="Times New Roman" w:hAnsi="Times New Roman" w:cs="Times New Roman"/>
          <w:lang w:val="en-GB"/>
        </w:rPr>
        <w:t>EU/1/17/1246/001</w:t>
      </w:r>
    </w:p>
    <w:p w14:paraId="4A730E3B" w14:textId="77777777" w:rsidR="00E2353A" w:rsidRPr="009737B5" w:rsidRDefault="00E2353A" w:rsidP="005F4D08">
      <w:pPr>
        <w:suppressAutoHyphens/>
        <w:spacing w:after="0" w:line="240" w:lineRule="auto"/>
        <w:rPr>
          <w:rFonts w:ascii="Times New Roman" w:hAnsi="Times New Roman" w:cs="Times New Roman"/>
          <w:lang w:val="de-DE"/>
        </w:rPr>
      </w:pPr>
    </w:p>
    <w:p w14:paraId="3AF5BFB5"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1E5EE9E1" w14:textId="77777777" w:rsidTr="00402720">
        <w:tc>
          <w:tcPr>
            <w:tcW w:w="9061" w:type="dxa"/>
          </w:tcPr>
          <w:p w14:paraId="00C8472B"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13.</w:t>
            </w:r>
            <w:r w:rsidRPr="00402720">
              <w:rPr>
                <w:rFonts w:ascii="Times New Roman" w:hAnsi="Times New Roman" w:cs="Times New Roman"/>
                <w:b/>
                <w:lang w:val="de-DE"/>
              </w:rPr>
              <w:tab/>
              <w:t>CHARGENBEZEICHNUNG</w:t>
            </w:r>
          </w:p>
        </w:tc>
      </w:tr>
    </w:tbl>
    <w:p w14:paraId="3A3F2B7D"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24743C15"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Ch.-B.</w:t>
      </w:r>
    </w:p>
    <w:p w14:paraId="1A31AF5F" w14:textId="77777777" w:rsidR="00E2353A" w:rsidRPr="009737B5" w:rsidRDefault="00E2353A" w:rsidP="005F4D08">
      <w:pPr>
        <w:suppressAutoHyphens/>
        <w:spacing w:after="0" w:line="240" w:lineRule="auto"/>
        <w:rPr>
          <w:rFonts w:ascii="Times New Roman" w:hAnsi="Times New Roman" w:cs="Times New Roman"/>
          <w:lang w:val="de-DE"/>
        </w:rPr>
      </w:pPr>
    </w:p>
    <w:p w14:paraId="7F219CC2"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3F3A790F" w14:textId="77777777" w:rsidTr="00402720">
        <w:tc>
          <w:tcPr>
            <w:tcW w:w="9061" w:type="dxa"/>
          </w:tcPr>
          <w:p w14:paraId="4787C918"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14.</w:t>
            </w:r>
            <w:r w:rsidRPr="00402720">
              <w:rPr>
                <w:rFonts w:ascii="Times New Roman" w:hAnsi="Times New Roman" w:cs="Times New Roman"/>
                <w:b/>
                <w:lang w:val="de-DE"/>
              </w:rPr>
              <w:tab/>
              <w:t>VERKAUFSABGRENZUNG</w:t>
            </w:r>
          </w:p>
        </w:tc>
      </w:tr>
    </w:tbl>
    <w:p w14:paraId="4142F809"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413244F7"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6B1B46D2" w14:textId="77777777" w:rsidTr="00402720">
        <w:tc>
          <w:tcPr>
            <w:tcW w:w="9061" w:type="dxa"/>
          </w:tcPr>
          <w:p w14:paraId="408C8D73"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15.</w:t>
            </w:r>
            <w:r w:rsidRPr="00402720">
              <w:rPr>
                <w:rFonts w:ascii="Times New Roman" w:hAnsi="Times New Roman" w:cs="Times New Roman"/>
                <w:b/>
                <w:lang w:val="de-DE"/>
              </w:rPr>
              <w:tab/>
              <w:t>HINWEISE FÜR DEN GEBRAUCH</w:t>
            </w:r>
          </w:p>
        </w:tc>
      </w:tr>
    </w:tbl>
    <w:p w14:paraId="1078E286"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0896E874" w14:textId="77777777" w:rsidR="00E2353A" w:rsidRPr="009737B5" w:rsidRDefault="00E2353A"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2C366519" w14:textId="77777777" w:rsidTr="00402720">
        <w:tc>
          <w:tcPr>
            <w:tcW w:w="9061" w:type="dxa"/>
          </w:tcPr>
          <w:p w14:paraId="20605F58"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16.</w:t>
            </w:r>
            <w:r w:rsidRPr="00402720">
              <w:rPr>
                <w:rFonts w:ascii="Times New Roman" w:hAnsi="Times New Roman" w:cs="Times New Roman"/>
                <w:b/>
                <w:lang w:val="de-DE"/>
              </w:rPr>
              <w:tab/>
              <w:t>ANGABEN IN BLINDENSCHRIFT</w:t>
            </w:r>
          </w:p>
        </w:tc>
      </w:tr>
    </w:tbl>
    <w:p w14:paraId="3DD1376A"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1E47B45A" w14:textId="77777777" w:rsidR="00E2353A" w:rsidRPr="009737B5" w:rsidRDefault="00E2353A" w:rsidP="005F4D08">
      <w:pPr>
        <w:suppressAutoHyphens/>
        <w:spacing w:after="0" w:line="240" w:lineRule="auto"/>
        <w:rPr>
          <w:rFonts w:ascii="Times New Roman" w:hAnsi="Times New Roman" w:cs="Times New Roman"/>
          <w:lang w:val="de-DE"/>
        </w:rPr>
      </w:pPr>
      <w:r>
        <w:rPr>
          <w:rFonts w:ascii="Times New Roman" w:hAnsi="Times New Roman" w:cs="Times New Roman"/>
          <w:highlight w:val="lightGray"/>
          <w:lang w:val="de-DE"/>
        </w:rPr>
        <w:t>Der Begründung, keine Angaben in Blindenschrift aufzunehmen, wird zugestimmt</w:t>
      </w:r>
      <w:r w:rsidR="008D2629">
        <w:rPr>
          <w:rFonts w:ascii="Times New Roman" w:hAnsi="Times New Roman" w:cs="Times New Roman"/>
          <w:highlight w:val="lightGray"/>
          <w:lang w:val="de-DE"/>
        </w:rPr>
        <w:t>.</w:t>
      </w:r>
    </w:p>
    <w:p w14:paraId="3FDEA82D" w14:textId="77777777" w:rsidR="00E2353A" w:rsidRPr="009737B5" w:rsidRDefault="00E2353A" w:rsidP="005F4D08">
      <w:pPr>
        <w:suppressAutoHyphens/>
        <w:spacing w:after="0" w:line="240" w:lineRule="auto"/>
        <w:rPr>
          <w:rFonts w:ascii="Times New Roman" w:hAnsi="Times New Roman" w:cs="Times New Roman"/>
          <w:lang w:val="de-DE"/>
        </w:rPr>
      </w:pPr>
    </w:p>
    <w:p w14:paraId="5BE6AB20"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1A24269A" w14:textId="77777777" w:rsidTr="00402720">
        <w:tc>
          <w:tcPr>
            <w:tcW w:w="9061" w:type="dxa"/>
          </w:tcPr>
          <w:p w14:paraId="3B3FD03A"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17.</w:t>
            </w:r>
            <w:r w:rsidRPr="00402720">
              <w:rPr>
                <w:rFonts w:ascii="Times New Roman" w:hAnsi="Times New Roman" w:cs="Times New Roman"/>
                <w:b/>
                <w:lang w:val="de-DE"/>
              </w:rPr>
              <w:tab/>
              <w:t xml:space="preserve">INDIVIDUELLES ERKENNUNGSMERKMAL </w:t>
            </w:r>
            <w:r w:rsidR="00227B49" w:rsidRPr="00402720">
              <w:rPr>
                <w:rFonts w:ascii="Times New Roman" w:hAnsi="Times New Roman" w:cs="Times New Roman"/>
                <w:b/>
                <w:lang w:val="de-DE"/>
              </w:rPr>
              <w:t xml:space="preserve">– </w:t>
            </w:r>
            <w:r w:rsidRPr="00402720">
              <w:rPr>
                <w:rFonts w:ascii="Times New Roman" w:hAnsi="Times New Roman" w:cs="Times New Roman"/>
                <w:b/>
                <w:lang w:val="de-DE"/>
              </w:rPr>
              <w:t>2D-BARCODE</w:t>
            </w:r>
          </w:p>
        </w:tc>
      </w:tr>
    </w:tbl>
    <w:p w14:paraId="77E99A23"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57CB39C2" w14:textId="77777777" w:rsidR="00E2353A" w:rsidRPr="009737B5" w:rsidRDefault="00E2353A" w:rsidP="005F4D08">
      <w:pPr>
        <w:suppressAutoHyphens/>
        <w:spacing w:after="0" w:line="240" w:lineRule="auto"/>
        <w:rPr>
          <w:rFonts w:ascii="Times New Roman" w:hAnsi="Times New Roman" w:cs="Times New Roman"/>
          <w:lang w:val="de-DE"/>
        </w:rPr>
      </w:pPr>
      <w:r>
        <w:rPr>
          <w:rFonts w:ascii="Times New Roman" w:hAnsi="Times New Roman" w:cs="Times New Roman"/>
          <w:highlight w:val="lightGray"/>
          <w:lang w:val="de-DE"/>
        </w:rPr>
        <w:t>2D-Barcode mit i</w:t>
      </w:r>
      <w:r w:rsidR="00943083">
        <w:rPr>
          <w:rFonts w:ascii="Times New Roman" w:hAnsi="Times New Roman" w:cs="Times New Roman"/>
          <w:highlight w:val="lightGray"/>
          <w:lang w:val="de-DE"/>
        </w:rPr>
        <w:t>ndividuellem Erkennungsmerkmal.</w:t>
      </w:r>
    </w:p>
    <w:p w14:paraId="2A73A9DC" w14:textId="77777777" w:rsidR="00E2353A" w:rsidRPr="009737B5" w:rsidRDefault="00E2353A" w:rsidP="005F4D08">
      <w:pPr>
        <w:suppressAutoHyphens/>
        <w:spacing w:after="0" w:line="240" w:lineRule="auto"/>
        <w:rPr>
          <w:rFonts w:ascii="Times New Roman" w:hAnsi="Times New Roman" w:cs="Times New Roman"/>
          <w:lang w:val="de-DE"/>
        </w:rPr>
      </w:pPr>
    </w:p>
    <w:p w14:paraId="3248235B"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AA0497" w14:paraId="3A35614C" w14:textId="77777777" w:rsidTr="00402720">
        <w:tc>
          <w:tcPr>
            <w:tcW w:w="9061" w:type="dxa"/>
          </w:tcPr>
          <w:p w14:paraId="14812A03"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18.</w:t>
            </w:r>
            <w:r w:rsidRPr="00402720">
              <w:rPr>
                <w:rFonts w:ascii="Times New Roman" w:hAnsi="Times New Roman" w:cs="Times New Roman"/>
                <w:b/>
                <w:lang w:val="de-DE"/>
              </w:rPr>
              <w:tab/>
              <w:t xml:space="preserve">INDIVIDUELLES ERKENNUNGSMERKMAL </w:t>
            </w:r>
            <w:r w:rsidR="00227B49" w:rsidRPr="00402720">
              <w:rPr>
                <w:rFonts w:ascii="Times New Roman" w:hAnsi="Times New Roman" w:cs="Times New Roman"/>
                <w:b/>
                <w:lang w:val="de-DE"/>
              </w:rPr>
              <w:t xml:space="preserve">– </w:t>
            </w:r>
            <w:r w:rsidRPr="00402720">
              <w:rPr>
                <w:rFonts w:ascii="Times New Roman" w:hAnsi="Times New Roman" w:cs="Times New Roman"/>
                <w:b/>
                <w:lang w:val="de-DE"/>
              </w:rPr>
              <w:t>VOM MENSCHEN LESBARES FORMAT</w:t>
            </w:r>
          </w:p>
        </w:tc>
      </w:tr>
    </w:tbl>
    <w:p w14:paraId="2CE280E5" w14:textId="77777777" w:rsidR="00E2353A" w:rsidRPr="009737B5" w:rsidRDefault="00E2353A" w:rsidP="008A7D7B">
      <w:pPr>
        <w:keepNext/>
        <w:suppressAutoHyphens/>
        <w:spacing w:after="0" w:line="240" w:lineRule="auto"/>
        <w:ind w:left="567" w:hanging="567"/>
        <w:rPr>
          <w:rFonts w:ascii="Times New Roman" w:hAnsi="Times New Roman" w:cs="Times New Roman"/>
          <w:b/>
          <w:lang w:val="de-DE"/>
        </w:rPr>
      </w:pPr>
    </w:p>
    <w:p w14:paraId="08779455" w14:textId="77777777" w:rsidR="00E2353A" w:rsidRPr="009737B5" w:rsidRDefault="003F6D02"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PC</w:t>
      </w:r>
    </w:p>
    <w:p w14:paraId="6E822AC3" w14:textId="77777777" w:rsidR="00E2353A" w:rsidRPr="009737B5" w:rsidRDefault="003F6D02"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SN</w:t>
      </w:r>
    </w:p>
    <w:p w14:paraId="12AF694A" w14:textId="77777777" w:rsidR="00E2353A" w:rsidRPr="009737B5" w:rsidRDefault="003F6D02"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NN</w:t>
      </w:r>
    </w:p>
    <w:p w14:paraId="6E66E577" w14:textId="77777777" w:rsidR="00E2353A" w:rsidRPr="009737B5" w:rsidRDefault="00E2353A" w:rsidP="005F4D08">
      <w:pPr>
        <w:suppressAutoHyphens/>
        <w:spacing w:after="0" w:line="240" w:lineRule="auto"/>
        <w:rPr>
          <w:rFonts w:ascii="Times New Roman" w:hAnsi="Times New Roman" w:cs="Times New Roman"/>
          <w:lang w:val="de-DE"/>
        </w:rPr>
      </w:pPr>
    </w:p>
    <w:p w14:paraId="7C7DFF29" w14:textId="77777777" w:rsidR="00327DFD" w:rsidRPr="009737B5" w:rsidRDefault="00327DFD" w:rsidP="005F4D08">
      <w:pPr>
        <w:suppressAutoHyphens/>
        <w:spacing w:after="0" w:line="240" w:lineRule="auto"/>
        <w:rPr>
          <w:rFonts w:ascii="Times New Roman" w:hAnsi="Times New Roman" w:cs="Times New Roman"/>
          <w:lang w:val="de-DE"/>
        </w:rPr>
      </w:pPr>
    </w:p>
    <w:p w14:paraId="08B2CEB2" w14:textId="77777777" w:rsidR="000A3CD6" w:rsidRPr="009737B5" w:rsidRDefault="006049A6">
      <w:pPr>
        <w:rPr>
          <w:rFonts w:ascii="Times New Roman" w:hAnsi="Times New Roman" w:cs="Times New Roman"/>
          <w:lang w:val="de-DE"/>
        </w:rPr>
      </w:pPr>
      <w:r w:rsidRPr="009737B5">
        <w:rPr>
          <w:rFonts w:ascii="Times New Roman" w:hAnsi="Times New Roman" w:cs="Times New Roman"/>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AA0497" w14:paraId="5B0212C8" w14:textId="77777777" w:rsidTr="00402720">
        <w:tc>
          <w:tcPr>
            <w:tcW w:w="9061" w:type="dxa"/>
          </w:tcPr>
          <w:p w14:paraId="4EB02D73" w14:textId="77777777" w:rsidR="006049A6" w:rsidRPr="00402720" w:rsidRDefault="006049A6" w:rsidP="00402720">
            <w:pPr>
              <w:suppressAutoHyphens/>
              <w:spacing w:after="0" w:line="240" w:lineRule="auto"/>
              <w:rPr>
                <w:rFonts w:ascii="Times New Roman" w:hAnsi="Times New Roman" w:cs="Times New Roman"/>
                <w:b/>
                <w:lang w:val="de-DE"/>
              </w:rPr>
            </w:pPr>
            <w:r w:rsidRPr="00402720">
              <w:rPr>
                <w:rFonts w:ascii="Times New Roman" w:hAnsi="Times New Roman" w:cs="Times New Roman"/>
                <w:b/>
                <w:lang w:val="de-DE"/>
              </w:rPr>
              <w:t>MINDESTANGABEN AUF KLEINEN BEHÄLTNISSEN</w:t>
            </w:r>
          </w:p>
          <w:p w14:paraId="57CC63C0" w14:textId="77777777" w:rsidR="006049A6" w:rsidRPr="00402720" w:rsidRDefault="006049A6" w:rsidP="00402720">
            <w:pPr>
              <w:suppressAutoHyphens/>
              <w:spacing w:after="0" w:line="240" w:lineRule="auto"/>
              <w:rPr>
                <w:rFonts w:ascii="Times New Roman" w:hAnsi="Times New Roman" w:cs="Times New Roman"/>
                <w:b/>
                <w:lang w:val="de-DE"/>
              </w:rPr>
            </w:pPr>
          </w:p>
          <w:p w14:paraId="571BA7D2" w14:textId="77777777" w:rsidR="006049A6" w:rsidRPr="00402720" w:rsidRDefault="006049A6" w:rsidP="00402720">
            <w:pPr>
              <w:suppressAutoHyphens/>
              <w:spacing w:after="0" w:line="240" w:lineRule="auto"/>
              <w:rPr>
                <w:rFonts w:ascii="Times New Roman" w:hAnsi="Times New Roman" w:cs="Times New Roman"/>
                <w:lang w:val="de-DE"/>
              </w:rPr>
            </w:pPr>
            <w:r w:rsidRPr="00402720">
              <w:rPr>
                <w:rFonts w:ascii="Times New Roman" w:hAnsi="Times New Roman" w:cs="Times New Roman"/>
                <w:b/>
                <w:lang w:val="de-DE"/>
              </w:rPr>
              <w:t>DURCHSTECHFLASCHE</w:t>
            </w:r>
          </w:p>
        </w:tc>
      </w:tr>
    </w:tbl>
    <w:p w14:paraId="79976748" w14:textId="77777777" w:rsidR="006049A6" w:rsidRPr="009737B5" w:rsidRDefault="006049A6" w:rsidP="005F4D08">
      <w:pPr>
        <w:suppressAutoHyphens/>
        <w:spacing w:after="0" w:line="240" w:lineRule="auto"/>
        <w:rPr>
          <w:rFonts w:ascii="Times New Roman" w:hAnsi="Times New Roman" w:cs="Times New Roman"/>
          <w:lang w:val="de-DE"/>
        </w:rPr>
      </w:pPr>
    </w:p>
    <w:p w14:paraId="40623330" w14:textId="77777777" w:rsidR="00E2353A" w:rsidRPr="009737B5" w:rsidRDefault="00E2353A"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AA0497" w14:paraId="02051F06" w14:textId="77777777" w:rsidTr="00402720">
        <w:tc>
          <w:tcPr>
            <w:tcW w:w="9061" w:type="dxa"/>
          </w:tcPr>
          <w:p w14:paraId="12527FFF" w14:textId="77777777" w:rsidR="006049A6" w:rsidRPr="00402720" w:rsidRDefault="006049A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w:t>
            </w:r>
            <w:r w:rsidRPr="00402720">
              <w:rPr>
                <w:rFonts w:ascii="Times New Roman" w:hAnsi="Times New Roman" w:cs="Times New Roman"/>
                <w:b/>
                <w:lang w:val="de-DE"/>
              </w:rPr>
              <w:tab/>
              <w:t>BEZEICHNUNG DES ARZNEIMITTELS SOWIE ART(EN) DER ANWENDUNG</w:t>
            </w:r>
          </w:p>
        </w:tc>
      </w:tr>
    </w:tbl>
    <w:p w14:paraId="1983E44D" w14:textId="77777777" w:rsidR="00E2353A" w:rsidRPr="009737B5" w:rsidRDefault="00E2353A" w:rsidP="00BB34B0">
      <w:pPr>
        <w:keepNext/>
        <w:suppressAutoHyphens/>
        <w:spacing w:after="0" w:line="240" w:lineRule="auto"/>
        <w:rPr>
          <w:rFonts w:ascii="Times New Roman" w:hAnsi="Times New Roman" w:cs="Times New Roman"/>
          <w:lang w:val="de-DE"/>
        </w:rPr>
      </w:pPr>
    </w:p>
    <w:p w14:paraId="73DA1D83" w14:textId="77777777" w:rsidR="00ED7B99"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422446" w:rsidRPr="009737B5">
        <w:rPr>
          <w:rFonts w:ascii="Times New Roman" w:hAnsi="Times New Roman" w:cs="Times New Roman"/>
          <w:lang w:val="de-DE"/>
        </w:rPr>
        <w:t xml:space="preserve"> </w:t>
      </w:r>
      <w:r w:rsidR="00E2353A" w:rsidRPr="009737B5">
        <w:rPr>
          <w:rFonts w:ascii="Times New Roman" w:hAnsi="Times New Roman" w:cs="Times New Roman"/>
          <w:lang w:val="de-DE"/>
        </w:rPr>
        <w:t>25</w:t>
      </w:r>
      <w:r w:rsidR="00AB26B9" w:rsidRPr="009737B5">
        <w:rPr>
          <w:rFonts w:ascii="Times New Roman" w:hAnsi="Times New Roman" w:cs="Times New Roman"/>
          <w:lang w:val="de-DE"/>
        </w:rPr>
        <w:t> mg</w:t>
      </w:r>
      <w:r w:rsidR="00C6251D" w:rsidRPr="009737B5">
        <w:rPr>
          <w:rFonts w:ascii="Times New Roman" w:hAnsi="Times New Roman" w:cs="Times New Roman"/>
          <w:lang w:val="de-DE"/>
        </w:rPr>
        <w:t>/ml</w:t>
      </w:r>
      <w:r w:rsidR="00E2353A" w:rsidRPr="009737B5">
        <w:rPr>
          <w:rFonts w:ascii="Times New Roman" w:hAnsi="Times New Roman" w:cs="Times New Roman"/>
          <w:lang w:val="de-DE"/>
        </w:rPr>
        <w:t xml:space="preserve"> </w:t>
      </w:r>
      <w:r w:rsidR="00EB5588" w:rsidRPr="009737B5">
        <w:rPr>
          <w:rFonts w:ascii="Times New Roman" w:hAnsi="Times New Roman" w:cs="Times New Roman"/>
          <w:lang w:val="de-DE"/>
        </w:rPr>
        <w:t xml:space="preserve">steriles </w:t>
      </w:r>
      <w:r w:rsidR="00E2353A" w:rsidRPr="009737B5">
        <w:rPr>
          <w:rFonts w:ascii="Times New Roman" w:hAnsi="Times New Roman" w:cs="Times New Roman"/>
          <w:lang w:val="de-DE"/>
        </w:rPr>
        <w:t>Konzentrat</w:t>
      </w:r>
    </w:p>
    <w:p w14:paraId="11AB1CA2"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Bevacizumab</w:t>
      </w:r>
    </w:p>
    <w:p w14:paraId="6C763802"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i.v.</w:t>
      </w:r>
    </w:p>
    <w:p w14:paraId="0E4F97AC" w14:textId="77777777" w:rsidR="00E2353A" w:rsidRPr="009737B5" w:rsidRDefault="00E2353A" w:rsidP="005F4D08">
      <w:pPr>
        <w:suppressAutoHyphens/>
        <w:spacing w:after="0" w:line="240" w:lineRule="auto"/>
        <w:rPr>
          <w:rFonts w:ascii="Times New Roman" w:hAnsi="Times New Roman" w:cs="Times New Roman"/>
          <w:lang w:val="de-DE"/>
        </w:rPr>
      </w:pPr>
    </w:p>
    <w:p w14:paraId="1E7A472D" w14:textId="77777777" w:rsidR="006049A6" w:rsidRPr="009737B5" w:rsidRDefault="006049A6"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0388C425" w14:textId="77777777" w:rsidTr="00402720">
        <w:tc>
          <w:tcPr>
            <w:tcW w:w="9061" w:type="dxa"/>
          </w:tcPr>
          <w:p w14:paraId="54094AD6" w14:textId="77777777" w:rsidR="006049A6" w:rsidRPr="00402720" w:rsidRDefault="007840F8"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2.</w:t>
            </w:r>
            <w:r w:rsidRPr="00402720">
              <w:rPr>
                <w:rFonts w:ascii="Times New Roman" w:hAnsi="Times New Roman" w:cs="Times New Roman"/>
                <w:b/>
                <w:lang w:val="de-DE"/>
              </w:rPr>
              <w:tab/>
              <w:t>HINWEISE ZUR ANWENDUNG</w:t>
            </w:r>
          </w:p>
        </w:tc>
      </w:tr>
    </w:tbl>
    <w:p w14:paraId="30D96F19" w14:textId="77777777" w:rsidR="00E2353A" w:rsidRPr="009737B5" w:rsidRDefault="00E2353A" w:rsidP="00BB34B0">
      <w:pPr>
        <w:keepNext/>
        <w:suppressAutoHyphens/>
        <w:spacing w:after="0" w:line="240" w:lineRule="auto"/>
        <w:ind w:left="567" w:hanging="567"/>
        <w:rPr>
          <w:rFonts w:ascii="Times New Roman" w:hAnsi="Times New Roman" w:cs="Times New Roman"/>
          <w:lang w:val="de-DE"/>
        </w:rPr>
      </w:pPr>
    </w:p>
    <w:p w14:paraId="2087D9A4" w14:textId="77777777" w:rsidR="00E2353A" w:rsidRPr="009737B5" w:rsidRDefault="00E2353A"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3FB117D9" w14:textId="77777777" w:rsidTr="00402720">
        <w:tc>
          <w:tcPr>
            <w:tcW w:w="9061" w:type="dxa"/>
          </w:tcPr>
          <w:p w14:paraId="16B52DF7" w14:textId="77777777" w:rsidR="006049A6" w:rsidRPr="00402720" w:rsidRDefault="007840F8"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3.</w:t>
            </w:r>
            <w:r w:rsidRPr="00402720">
              <w:rPr>
                <w:rFonts w:ascii="Times New Roman" w:hAnsi="Times New Roman" w:cs="Times New Roman"/>
                <w:b/>
                <w:lang w:val="de-DE"/>
              </w:rPr>
              <w:tab/>
              <w:t>VERFALLDATUM</w:t>
            </w:r>
          </w:p>
        </w:tc>
      </w:tr>
    </w:tbl>
    <w:p w14:paraId="07ECC5BD" w14:textId="77777777" w:rsidR="00E2353A" w:rsidRPr="009737B5" w:rsidRDefault="00E2353A" w:rsidP="00BB34B0">
      <w:pPr>
        <w:keepNext/>
        <w:suppressAutoHyphens/>
        <w:spacing w:after="0" w:line="240" w:lineRule="auto"/>
        <w:ind w:left="567" w:hanging="567"/>
        <w:rPr>
          <w:rFonts w:ascii="Times New Roman" w:hAnsi="Times New Roman" w:cs="Times New Roman"/>
          <w:b/>
          <w:lang w:val="de-DE"/>
        </w:rPr>
      </w:pPr>
    </w:p>
    <w:p w14:paraId="216A9856"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EXP</w:t>
      </w:r>
    </w:p>
    <w:p w14:paraId="1162E952" w14:textId="77777777" w:rsidR="00E2353A" w:rsidRPr="009737B5" w:rsidRDefault="00E2353A" w:rsidP="005F4D08">
      <w:pPr>
        <w:suppressAutoHyphens/>
        <w:spacing w:after="0" w:line="240" w:lineRule="auto"/>
        <w:rPr>
          <w:rFonts w:ascii="Times New Roman" w:hAnsi="Times New Roman" w:cs="Times New Roman"/>
          <w:lang w:val="de-DE"/>
        </w:rPr>
      </w:pPr>
    </w:p>
    <w:p w14:paraId="1A9DAC9C" w14:textId="77777777" w:rsidR="007840F8" w:rsidRPr="009737B5" w:rsidRDefault="007840F8"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73163D2C" w14:textId="77777777" w:rsidTr="00402720">
        <w:tc>
          <w:tcPr>
            <w:tcW w:w="9061" w:type="dxa"/>
          </w:tcPr>
          <w:p w14:paraId="2DF38A88" w14:textId="77777777" w:rsidR="006049A6" w:rsidRPr="00402720" w:rsidRDefault="007840F8"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4.</w:t>
            </w:r>
            <w:r w:rsidRPr="00402720">
              <w:rPr>
                <w:rFonts w:ascii="Times New Roman" w:hAnsi="Times New Roman" w:cs="Times New Roman"/>
                <w:b/>
                <w:lang w:val="de-DE"/>
              </w:rPr>
              <w:tab/>
              <w:t>CHARGENBEZEICHNUNG</w:t>
            </w:r>
          </w:p>
        </w:tc>
      </w:tr>
    </w:tbl>
    <w:p w14:paraId="3735C2E9" w14:textId="77777777" w:rsidR="00E2353A" w:rsidRPr="009737B5" w:rsidRDefault="00E2353A" w:rsidP="00BB34B0">
      <w:pPr>
        <w:keepNext/>
        <w:suppressAutoHyphens/>
        <w:spacing w:after="0" w:line="240" w:lineRule="auto"/>
        <w:ind w:left="567" w:hanging="567"/>
        <w:rPr>
          <w:rFonts w:ascii="Times New Roman" w:hAnsi="Times New Roman" w:cs="Times New Roman"/>
          <w:b/>
          <w:lang w:val="de-DE"/>
        </w:rPr>
      </w:pPr>
    </w:p>
    <w:p w14:paraId="24833D49"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Lot</w:t>
      </w:r>
    </w:p>
    <w:p w14:paraId="59D2EEC9" w14:textId="77777777" w:rsidR="00E2353A" w:rsidRPr="009737B5" w:rsidRDefault="00E2353A" w:rsidP="005F4D08">
      <w:pPr>
        <w:suppressAutoHyphens/>
        <w:spacing w:after="0" w:line="240" w:lineRule="auto"/>
        <w:rPr>
          <w:rFonts w:ascii="Times New Roman" w:hAnsi="Times New Roman" w:cs="Times New Roman"/>
          <w:lang w:val="de-DE"/>
        </w:rPr>
      </w:pPr>
    </w:p>
    <w:p w14:paraId="0C1F89FC" w14:textId="77777777" w:rsidR="007840F8" w:rsidRPr="009737B5" w:rsidRDefault="007840F8"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B83674" w14:paraId="0110C008" w14:textId="77777777" w:rsidTr="00402720">
        <w:tc>
          <w:tcPr>
            <w:tcW w:w="9061" w:type="dxa"/>
          </w:tcPr>
          <w:p w14:paraId="30FD50C7" w14:textId="77777777" w:rsidR="006049A6" w:rsidRPr="00402720" w:rsidRDefault="007840F8"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5.</w:t>
            </w:r>
            <w:r w:rsidRPr="00402720">
              <w:rPr>
                <w:rFonts w:ascii="Times New Roman" w:hAnsi="Times New Roman" w:cs="Times New Roman"/>
                <w:b/>
                <w:lang w:val="de-DE"/>
              </w:rPr>
              <w:tab/>
              <w:t>INHALT NACH GEWICHT, VOLUMEN ODER EINHEITEN</w:t>
            </w:r>
          </w:p>
        </w:tc>
      </w:tr>
    </w:tbl>
    <w:p w14:paraId="7AA3AF4C" w14:textId="77777777" w:rsidR="00E2353A" w:rsidRPr="009737B5" w:rsidRDefault="00E2353A" w:rsidP="00BB34B0">
      <w:pPr>
        <w:keepNext/>
        <w:suppressAutoHyphens/>
        <w:spacing w:after="0" w:line="240" w:lineRule="auto"/>
        <w:ind w:left="567" w:hanging="567"/>
        <w:rPr>
          <w:rFonts w:ascii="Times New Roman" w:hAnsi="Times New Roman" w:cs="Times New Roman"/>
          <w:b/>
          <w:lang w:val="de-DE"/>
        </w:rPr>
      </w:pPr>
    </w:p>
    <w:p w14:paraId="7488DFE2"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100</w:t>
      </w:r>
      <w:r w:rsidR="00AB26B9" w:rsidRPr="009737B5">
        <w:rPr>
          <w:rFonts w:ascii="Times New Roman" w:hAnsi="Times New Roman" w:cs="Times New Roman"/>
          <w:lang w:val="de-DE"/>
        </w:rPr>
        <w:t> mg</w:t>
      </w:r>
      <w:r w:rsidRPr="009737B5">
        <w:rPr>
          <w:rFonts w:ascii="Times New Roman" w:hAnsi="Times New Roman" w:cs="Times New Roman"/>
          <w:lang w:val="de-DE"/>
        </w:rPr>
        <w:t>/4</w:t>
      </w:r>
      <w:r w:rsidR="00AB26B9" w:rsidRPr="009737B5">
        <w:rPr>
          <w:rFonts w:ascii="Times New Roman" w:hAnsi="Times New Roman" w:cs="Times New Roman"/>
          <w:lang w:val="de-DE"/>
        </w:rPr>
        <w:t> ml</w:t>
      </w:r>
    </w:p>
    <w:p w14:paraId="4201CE6C" w14:textId="77777777" w:rsidR="00E2353A" w:rsidRPr="009737B5" w:rsidRDefault="00E2353A" w:rsidP="005F4D08">
      <w:pPr>
        <w:suppressAutoHyphens/>
        <w:spacing w:after="0" w:line="240" w:lineRule="auto"/>
        <w:rPr>
          <w:rFonts w:ascii="Times New Roman" w:hAnsi="Times New Roman" w:cs="Times New Roman"/>
          <w:lang w:val="de-DE"/>
        </w:rPr>
      </w:pPr>
    </w:p>
    <w:p w14:paraId="5A58DFAC" w14:textId="77777777" w:rsidR="007840F8" w:rsidRPr="009737B5" w:rsidRDefault="007840F8"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049A6" w:rsidRPr="00402720" w14:paraId="22AD08EB" w14:textId="77777777" w:rsidTr="00402720">
        <w:tc>
          <w:tcPr>
            <w:tcW w:w="9061" w:type="dxa"/>
          </w:tcPr>
          <w:p w14:paraId="1E89AC8B" w14:textId="77777777" w:rsidR="006049A6" w:rsidRPr="00402720" w:rsidRDefault="007840F8"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6.</w:t>
            </w:r>
            <w:r w:rsidRPr="00402720">
              <w:rPr>
                <w:rFonts w:ascii="Times New Roman" w:hAnsi="Times New Roman" w:cs="Times New Roman"/>
                <w:b/>
                <w:lang w:val="de-DE"/>
              </w:rPr>
              <w:tab/>
              <w:t>WEITERE ANGABEN</w:t>
            </w:r>
          </w:p>
        </w:tc>
      </w:tr>
    </w:tbl>
    <w:p w14:paraId="633BF097" w14:textId="77777777" w:rsidR="00E2353A" w:rsidRPr="009737B5" w:rsidRDefault="00E2353A" w:rsidP="00BB34B0">
      <w:pPr>
        <w:keepNext/>
        <w:suppressAutoHyphens/>
        <w:spacing w:after="0" w:line="240" w:lineRule="auto"/>
        <w:ind w:left="567" w:hanging="567"/>
        <w:rPr>
          <w:rFonts w:ascii="Times New Roman" w:hAnsi="Times New Roman" w:cs="Times New Roman"/>
          <w:b/>
          <w:lang w:val="de-DE"/>
        </w:rPr>
      </w:pPr>
    </w:p>
    <w:p w14:paraId="0D89CD2A" w14:textId="77777777" w:rsidR="007840F8" w:rsidRPr="009737B5" w:rsidRDefault="007840F8" w:rsidP="005F4D08">
      <w:pPr>
        <w:suppressAutoHyphens/>
        <w:spacing w:after="0" w:line="240" w:lineRule="auto"/>
        <w:rPr>
          <w:rFonts w:ascii="Times New Roman" w:hAnsi="Times New Roman" w:cs="Times New Roman"/>
          <w:lang w:val="de-DE"/>
        </w:rPr>
      </w:pPr>
    </w:p>
    <w:p w14:paraId="7A9084D8" w14:textId="77777777" w:rsidR="000A3CD6" w:rsidRPr="009737B5" w:rsidRDefault="007840F8"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AA0497" w14:paraId="3C2C56A6" w14:textId="77777777" w:rsidTr="00402720">
        <w:tc>
          <w:tcPr>
            <w:tcW w:w="9061" w:type="dxa"/>
          </w:tcPr>
          <w:p w14:paraId="15454257" w14:textId="77777777" w:rsidR="000A3CD6" w:rsidRPr="00402720" w:rsidRDefault="000A3CD6" w:rsidP="00402720">
            <w:pPr>
              <w:suppressAutoHyphens/>
              <w:spacing w:after="0" w:line="240" w:lineRule="auto"/>
              <w:rPr>
                <w:rFonts w:ascii="Times New Roman" w:hAnsi="Times New Roman" w:cs="Times New Roman"/>
                <w:b/>
                <w:lang w:val="de-DE"/>
              </w:rPr>
            </w:pPr>
            <w:r w:rsidRPr="00402720">
              <w:rPr>
                <w:rFonts w:ascii="Times New Roman" w:hAnsi="Times New Roman" w:cs="Times New Roman"/>
                <w:b/>
                <w:lang w:val="de-DE"/>
              </w:rPr>
              <w:t>ANGABEN AUF DER ÄUSSEREN UMHÜLLUNG</w:t>
            </w:r>
          </w:p>
          <w:p w14:paraId="1D0EBE6D" w14:textId="77777777" w:rsidR="000A3CD6" w:rsidRPr="00402720" w:rsidRDefault="000A3CD6" w:rsidP="00402720">
            <w:pPr>
              <w:suppressAutoHyphens/>
              <w:spacing w:after="0" w:line="240" w:lineRule="auto"/>
              <w:rPr>
                <w:rFonts w:ascii="Times New Roman" w:hAnsi="Times New Roman" w:cs="Times New Roman"/>
                <w:b/>
                <w:lang w:val="de-DE"/>
              </w:rPr>
            </w:pPr>
          </w:p>
          <w:p w14:paraId="59AC25A0" w14:textId="77777777" w:rsidR="000A3CD6" w:rsidRPr="00402720" w:rsidRDefault="000A3CD6" w:rsidP="00402720">
            <w:pPr>
              <w:suppressAutoHyphens/>
              <w:spacing w:after="0" w:line="240" w:lineRule="auto"/>
              <w:rPr>
                <w:rFonts w:ascii="Times New Roman" w:hAnsi="Times New Roman" w:cs="Times New Roman"/>
                <w:lang w:val="de-DE"/>
              </w:rPr>
            </w:pPr>
            <w:r w:rsidRPr="00402720">
              <w:rPr>
                <w:rFonts w:ascii="Times New Roman" w:hAnsi="Times New Roman" w:cs="Times New Roman"/>
                <w:b/>
                <w:lang w:val="de-DE"/>
              </w:rPr>
              <w:t>UMKARTON</w:t>
            </w:r>
          </w:p>
        </w:tc>
      </w:tr>
    </w:tbl>
    <w:p w14:paraId="0C04EAE3" w14:textId="77777777" w:rsidR="000A3CD6" w:rsidRPr="009737B5" w:rsidRDefault="000A3CD6" w:rsidP="000A3CD6">
      <w:pPr>
        <w:suppressAutoHyphens/>
        <w:spacing w:after="0" w:line="240" w:lineRule="auto"/>
        <w:rPr>
          <w:rFonts w:ascii="Times New Roman" w:hAnsi="Times New Roman" w:cs="Times New Roman"/>
          <w:lang w:val="de-DE"/>
        </w:rPr>
      </w:pPr>
    </w:p>
    <w:p w14:paraId="33B3AC01"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402720" w14:paraId="6EDE886E" w14:textId="77777777" w:rsidTr="00402720">
        <w:tc>
          <w:tcPr>
            <w:tcW w:w="9061" w:type="dxa"/>
          </w:tcPr>
          <w:p w14:paraId="0EDA7C48"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w:t>
            </w:r>
            <w:r w:rsidRPr="00402720">
              <w:rPr>
                <w:rFonts w:ascii="Times New Roman" w:hAnsi="Times New Roman" w:cs="Times New Roman"/>
                <w:b/>
                <w:lang w:val="de-DE"/>
              </w:rPr>
              <w:tab/>
              <w:t>BEZEICHNUNG DES ARZNEIMITTELS</w:t>
            </w:r>
          </w:p>
        </w:tc>
      </w:tr>
    </w:tbl>
    <w:p w14:paraId="6A24DF97" w14:textId="77777777" w:rsidR="000A3CD6" w:rsidRPr="009737B5" w:rsidRDefault="000A3CD6" w:rsidP="000A3CD6">
      <w:pPr>
        <w:keepNext/>
        <w:suppressAutoHyphens/>
        <w:spacing w:after="0" w:line="240" w:lineRule="auto"/>
        <w:rPr>
          <w:rFonts w:ascii="Times New Roman" w:hAnsi="Times New Roman" w:cs="Times New Roman"/>
          <w:lang w:val="de-DE"/>
        </w:rPr>
      </w:pPr>
    </w:p>
    <w:p w14:paraId="23A298F8"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Pr="009737B5" w:rsidDel="00422446">
        <w:rPr>
          <w:rFonts w:ascii="Times New Roman" w:hAnsi="Times New Roman" w:cs="Times New Roman"/>
          <w:lang w:val="de-DE"/>
        </w:rPr>
        <w:t xml:space="preserve"> </w:t>
      </w:r>
      <w:r w:rsidRPr="009737B5">
        <w:rPr>
          <w:rFonts w:ascii="Times New Roman" w:hAnsi="Times New Roman" w:cs="Times New Roman"/>
          <w:lang w:val="de-DE"/>
        </w:rPr>
        <w:t>25 mg/ml Konzentrat zur Herstellung einer Infusionslösung</w:t>
      </w:r>
    </w:p>
    <w:p w14:paraId="2FD33843"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Bevacizumab</w:t>
      </w:r>
    </w:p>
    <w:p w14:paraId="552237D5" w14:textId="77777777" w:rsidR="000A3CD6" w:rsidRPr="009737B5" w:rsidRDefault="000A3CD6" w:rsidP="000A3CD6">
      <w:pPr>
        <w:suppressAutoHyphens/>
        <w:spacing w:after="0" w:line="240" w:lineRule="auto"/>
        <w:rPr>
          <w:rFonts w:ascii="Times New Roman" w:hAnsi="Times New Roman" w:cs="Times New Roman"/>
          <w:lang w:val="de-DE"/>
        </w:rPr>
      </w:pPr>
    </w:p>
    <w:p w14:paraId="1CC4C9E3"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402720" w14:paraId="417C2CBD" w14:textId="77777777" w:rsidTr="00402720">
        <w:tc>
          <w:tcPr>
            <w:tcW w:w="9061" w:type="dxa"/>
          </w:tcPr>
          <w:p w14:paraId="4481C555"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2.</w:t>
            </w:r>
            <w:r w:rsidRPr="00402720">
              <w:rPr>
                <w:rFonts w:ascii="Times New Roman" w:hAnsi="Times New Roman" w:cs="Times New Roman"/>
                <w:b/>
                <w:lang w:val="de-DE"/>
              </w:rPr>
              <w:tab/>
              <w:t>WIRKSTOFF(E)</w:t>
            </w:r>
          </w:p>
        </w:tc>
      </w:tr>
    </w:tbl>
    <w:p w14:paraId="53CD26DA"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00584B05" w14:textId="37FA9204"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Jede Durchstechflasche enthält 400 mg Bevacizumab in 16 ml Konzentrat.</w:t>
      </w:r>
    </w:p>
    <w:p w14:paraId="5642BFC7" w14:textId="77777777" w:rsidR="000A3CD6" w:rsidRPr="009737B5" w:rsidRDefault="000A3CD6" w:rsidP="000A3CD6">
      <w:pPr>
        <w:suppressAutoHyphens/>
        <w:spacing w:after="0" w:line="240" w:lineRule="auto"/>
        <w:rPr>
          <w:rFonts w:ascii="Times New Roman" w:hAnsi="Times New Roman" w:cs="Times New Roman"/>
          <w:lang w:val="de-DE"/>
        </w:rPr>
      </w:pPr>
    </w:p>
    <w:p w14:paraId="59C421A4"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400 mg/16 ml</w:t>
      </w:r>
    </w:p>
    <w:p w14:paraId="544B6B77" w14:textId="77777777" w:rsidR="000A3CD6" w:rsidRPr="009737B5" w:rsidRDefault="000A3CD6" w:rsidP="000A3CD6">
      <w:pPr>
        <w:suppressAutoHyphens/>
        <w:spacing w:after="0" w:line="240" w:lineRule="auto"/>
        <w:rPr>
          <w:rFonts w:ascii="Times New Roman" w:hAnsi="Times New Roman" w:cs="Times New Roman"/>
          <w:lang w:val="de-DE"/>
        </w:rPr>
      </w:pPr>
    </w:p>
    <w:p w14:paraId="6C669ABB"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402720" w14:paraId="4F274A9A" w14:textId="77777777" w:rsidTr="00402720">
        <w:tc>
          <w:tcPr>
            <w:tcW w:w="9061" w:type="dxa"/>
          </w:tcPr>
          <w:p w14:paraId="374AE45B"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3.</w:t>
            </w:r>
            <w:r w:rsidRPr="00402720">
              <w:rPr>
                <w:rFonts w:ascii="Times New Roman" w:hAnsi="Times New Roman" w:cs="Times New Roman"/>
                <w:b/>
                <w:lang w:val="de-DE"/>
              </w:rPr>
              <w:tab/>
              <w:t>SONSTIGE BESTANDTEILE</w:t>
            </w:r>
          </w:p>
        </w:tc>
      </w:tr>
    </w:tbl>
    <w:p w14:paraId="3165E417"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2CEC20A5"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α, α-Trehalose-2-H</w:t>
      </w:r>
      <w:r w:rsidRPr="009737B5">
        <w:rPr>
          <w:rFonts w:ascii="Times New Roman" w:hAnsi="Times New Roman" w:cs="Times New Roman"/>
          <w:vertAlign w:val="subscript"/>
          <w:lang w:val="de-DE"/>
        </w:rPr>
        <w:t>2</w:t>
      </w:r>
      <w:r w:rsidRPr="009737B5">
        <w:rPr>
          <w:rFonts w:ascii="Times New Roman" w:hAnsi="Times New Roman" w:cs="Times New Roman"/>
          <w:lang w:val="de-DE"/>
        </w:rPr>
        <w:t>O, Natriumphosphat, Polysorbat 20, Wasser für Injektionszwecke.</w:t>
      </w:r>
    </w:p>
    <w:p w14:paraId="79AD2F0F" w14:textId="77777777" w:rsidR="000A3CD6" w:rsidRPr="009737B5" w:rsidRDefault="000A3CD6" w:rsidP="000A3CD6">
      <w:pPr>
        <w:suppressAutoHyphens/>
        <w:spacing w:after="0" w:line="240" w:lineRule="auto"/>
        <w:rPr>
          <w:rFonts w:ascii="Times New Roman" w:hAnsi="Times New Roman" w:cs="Times New Roman"/>
          <w:lang w:val="de-DE"/>
        </w:rPr>
      </w:pPr>
    </w:p>
    <w:p w14:paraId="03F3397B"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402720" w14:paraId="4516A19A" w14:textId="77777777" w:rsidTr="00402720">
        <w:tc>
          <w:tcPr>
            <w:tcW w:w="9061" w:type="dxa"/>
          </w:tcPr>
          <w:p w14:paraId="24F0CDDF"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4.</w:t>
            </w:r>
            <w:r w:rsidRPr="00402720">
              <w:rPr>
                <w:rFonts w:ascii="Times New Roman" w:hAnsi="Times New Roman" w:cs="Times New Roman"/>
                <w:b/>
                <w:lang w:val="de-DE"/>
              </w:rPr>
              <w:tab/>
              <w:t>DARREICHUNGSFORM UND INHALT</w:t>
            </w:r>
          </w:p>
        </w:tc>
      </w:tr>
    </w:tbl>
    <w:p w14:paraId="104276A0"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60CD9E42" w14:textId="77777777" w:rsidR="000A3CD6" w:rsidRPr="009737B5" w:rsidRDefault="000A3CD6" w:rsidP="000A3CD6">
      <w:pPr>
        <w:suppressAutoHyphens/>
        <w:spacing w:after="0" w:line="240" w:lineRule="auto"/>
        <w:rPr>
          <w:rFonts w:ascii="Times New Roman" w:hAnsi="Times New Roman" w:cs="Times New Roman"/>
          <w:lang w:val="de-DE"/>
        </w:rPr>
      </w:pPr>
      <w:r>
        <w:rPr>
          <w:rFonts w:ascii="Times New Roman" w:hAnsi="Times New Roman" w:cs="Times New Roman"/>
          <w:highlight w:val="lightGray"/>
          <w:lang w:val="de-DE"/>
        </w:rPr>
        <w:t>Konzentrat zur Herstellung einer Infusionslösung.</w:t>
      </w:r>
    </w:p>
    <w:p w14:paraId="4B3D246A"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1 Durchstechflasche </w:t>
      </w:r>
    </w:p>
    <w:p w14:paraId="03AAD991" w14:textId="77777777" w:rsidR="000A3CD6" w:rsidRPr="009737B5" w:rsidRDefault="000A3CD6" w:rsidP="000A3CD6">
      <w:pPr>
        <w:suppressAutoHyphens/>
        <w:spacing w:after="0" w:line="240" w:lineRule="auto"/>
        <w:rPr>
          <w:rFonts w:ascii="Times New Roman" w:hAnsi="Times New Roman" w:cs="Times New Roman"/>
          <w:lang w:val="de-DE"/>
        </w:rPr>
      </w:pPr>
    </w:p>
    <w:p w14:paraId="4C694819"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AA0497" w14:paraId="564E5E47" w14:textId="77777777" w:rsidTr="00402720">
        <w:tc>
          <w:tcPr>
            <w:tcW w:w="9061" w:type="dxa"/>
          </w:tcPr>
          <w:p w14:paraId="7DFFB84D"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5.</w:t>
            </w:r>
            <w:r w:rsidRPr="00402720">
              <w:rPr>
                <w:rFonts w:ascii="Times New Roman" w:hAnsi="Times New Roman" w:cs="Times New Roman"/>
                <w:b/>
                <w:lang w:val="de-DE"/>
              </w:rPr>
              <w:tab/>
              <w:t>HINWEISE ZUR UND ART(EN) DER ANWENDUNG</w:t>
            </w:r>
          </w:p>
        </w:tc>
      </w:tr>
    </w:tbl>
    <w:p w14:paraId="1783B0D2"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322338C3"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Zur intravenösen Anwendung nach Verdünnung.</w:t>
      </w:r>
    </w:p>
    <w:p w14:paraId="0C456DD4"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Packungsbeilage beachten.</w:t>
      </w:r>
    </w:p>
    <w:p w14:paraId="5E932173" w14:textId="77777777" w:rsidR="000A3CD6" w:rsidRPr="009737B5" w:rsidRDefault="000A3CD6" w:rsidP="000A3CD6">
      <w:pPr>
        <w:suppressAutoHyphens/>
        <w:spacing w:after="0" w:line="240" w:lineRule="auto"/>
        <w:rPr>
          <w:rFonts w:ascii="Times New Roman" w:hAnsi="Times New Roman" w:cs="Times New Roman"/>
          <w:lang w:val="de-DE"/>
        </w:rPr>
      </w:pPr>
    </w:p>
    <w:p w14:paraId="4D7724E6"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AA0497" w14:paraId="260FBE41" w14:textId="77777777" w:rsidTr="00402720">
        <w:tc>
          <w:tcPr>
            <w:tcW w:w="9061" w:type="dxa"/>
          </w:tcPr>
          <w:p w14:paraId="6ECF6983"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6.</w:t>
            </w:r>
            <w:r w:rsidRPr="00402720">
              <w:rPr>
                <w:rFonts w:ascii="Times New Roman" w:hAnsi="Times New Roman" w:cs="Times New Roman"/>
                <w:b/>
                <w:lang w:val="de-DE"/>
              </w:rPr>
              <w:tab/>
              <w:t>WARNHINWEIS, DASS DAS ARZNEIMITTEL FÜR KINDER UNZUGÄNGLICH AUFZUBEWAHREN IST</w:t>
            </w:r>
          </w:p>
        </w:tc>
      </w:tr>
    </w:tbl>
    <w:p w14:paraId="45027A3C"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0B183999"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Arzneimittel für Kinder unzugänglich aufbewahren.</w:t>
      </w:r>
    </w:p>
    <w:p w14:paraId="3B666857" w14:textId="77777777" w:rsidR="000A3CD6" w:rsidRPr="009737B5" w:rsidRDefault="000A3CD6" w:rsidP="000A3CD6">
      <w:pPr>
        <w:suppressAutoHyphens/>
        <w:spacing w:after="0" w:line="240" w:lineRule="auto"/>
        <w:rPr>
          <w:rFonts w:ascii="Times New Roman" w:hAnsi="Times New Roman" w:cs="Times New Roman"/>
          <w:lang w:val="de-DE"/>
        </w:rPr>
      </w:pPr>
    </w:p>
    <w:p w14:paraId="62BDAF90"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402720" w14:paraId="3982135E" w14:textId="77777777" w:rsidTr="00402720">
        <w:tc>
          <w:tcPr>
            <w:tcW w:w="9061" w:type="dxa"/>
          </w:tcPr>
          <w:p w14:paraId="22051EFA"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7.</w:t>
            </w:r>
            <w:r w:rsidRPr="00402720">
              <w:rPr>
                <w:rFonts w:ascii="Times New Roman" w:hAnsi="Times New Roman" w:cs="Times New Roman"/>
                <w:b/>
                <w:lang w:val="de-DE"/>
              </w:rPr>
              <w:tab/>
              <w:t>WEITERE WARNHINWEISE, FALLS ERFORDERLICH</w:t>
            </w:r>
          </w:p>
        </w:tc>
      </w:tr>
    </w:tbl>
    <w:p w14:paraId="4E2DDFFA"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50F66A10"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402720" w14:paraId="4754AEE0" w14:textId="77777777" w:rsidTr="00402720">
        <w:tc>
          <w:tcPr>
            <w:tcW w:w="9061" w:type="dxa"/>
          </w:tcPr>
          <w:p w14:paraId="184FC567"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8.</w:t>
            </w:r>
            <w:r w:rsidRPr="00402720">
              <w:rPr>
                <w:rFonts w:ascii="Times New Roman" w:hAnsi="Times New Roman" w:cs="Times New Roman"/>
                <w:b/>
                <w:lang w:val="de-DE"/>
              </w:rPr>
              <w:tab/>
              <w:t>VERFALLDATUM</w:t>
            </w:r>
          </w:p>
        </w:tc>
      </w:tr>
    </w:tbl>
    <w:p w14:paraId="16C59288"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34932600"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verwendbar bis</w:t>
      </w:r>
    </w:p>
    <w:p w14:paraId="0C25A97E" w14:textId="77777777" w:rsidR="000A3CD6" w:rsidRPr="009737B5" w:rsidRDefault="000A3CD6" w:rsidP="000A3CD6">
      <w:pPr>
        <w:suppressAutoHyphens/>
        <w:spacing w:after="0" w:line="240" w:lineRule="auto"/>
        <w:rPr>
          <w:rFonts w:ascii="Times New Roman" w:hAnsi="Times New Roman" w:cs="Times New Roman"/>
          <w:lang w:val="de-DE"/>
        </w:rPr>
      </w:pPr>
    </w:p>
    <w:p w14:paraId="1BE3F1EF"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AA0497" w14:paraId="30CD5F43" w14:textId="77777777" w:rsidTr="00402720">
        <w:tc>
          <w:tcPr>
            <w:tcW w:w="9061" w:type="dxa"/>
          </w:tcPr>
          <w:p w14:paraId="12C52948"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9.</w:t>
            </w:r>
            <w:r w:rsidRPr="00402720">
              <w:rPr>
                <w:rFonts w:ascii="Times New Roman" w:hAnsi="Times New Roman" w:cs="Times New Roman"/>
                <w:b/>
                <w:lang w:val="de-DE"/>
              </w:rPr>
              <w:tab/>
              <w:t>BESONDERE VORSICHTSMASSNAHMEN FÜR DIE AUFBEWAHRUNG</w:t>
            </w:r>
          </w:p>
        </w:tc>
      </w:tr>
    </w:tbl>
    <w:p w14:paraId="51CC5858"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2765FAFE"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Im Kühlschrank lagern.</w:t>
      </w:r>
    </w:p>
    <w:p w14:paraId="0E5A9FA5"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Nicht einfrieren.</w:t>
      </w:r>
    </w:p>
    <w:p w14:paraId="45AB275A"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 der Originalverpackung aufbewahren, um den Inhalt vor Licht zu schützen.</w:t>
      </w:r>
    </w:p>
    <w:p w14:paraId="52117A31" w14:textId="77777777" w:rsidR="000A3CD6" w:rsidRPr="009737B5" w:rsidRDefault="000A3CD6" w:rsidP="000A3CD6">
      <w:pPr>
        <w:suppressAutoHyphens/>
        <w:spacing w:after="0" w:line="240" w:lineRule="auto"/>
        <w:rPr>
          <w:rFonts w:ascii="Times New Roman" w:hAnsi="Times New Roman" w:cs="Times New Roman"/>
          <w:lang w:val="de-DE"/>
        </w:rPr>
      </w:pPr>
    </w:p>
    <w:p w14:paraId="0389831F"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AA0497" w14:paraId="0A6C1769" w14:textId="77777777" w:rsidTr="00402720">
        <w:tc>
          <w:tcPr>
            <w:tcW w:w="9061" w:type="dxa"/>
          </w:tcPr>
          <w:p w14:paraId="4D77DD28"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10.</w:t>
            </w:r>
            <w:r w:rsidRPr="00402720">
              <w:rPr>
                <w:rFonts w:ascii="Times New Roman" w:hAnsi="Times New Roman" w:cs="Times New Roman"/>
                <w:b/>
                <w:lang w:val="de-DE"/>
              </w:rPr>
              <w:tab/>
              <w:t xml:space="preserve">GEGEBENENFALLS BESONDERE VORSICHTSMASSNAHMEN FÜR DIE BESEITIGUNG VON NICHT VERWENDETEM ARZNEIMITTEL ODER DAVON STAMMENDEN ABFALLMATERIALIEN </w:t>
            </w:r>
          </w:p>
        </w:tc>
      </w:tr>
    </w:tbl>
    <w:p w14:paraId="6FCABC62"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4FA9E001"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B83674" w14:paraId="75D8E22D" w14:textId="77777777" w:rsidTr="00402720">
        <w:tc>
          <w:tcPr>
            <w:tcW w:w="9061" w:type="dxa"/>
          </w:tcPr>
          <w:p w14:paraId="43036F7D"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11.</w:t>
            </w:r>
            <w:r w:rsidRPr="00402720">
              <w:rPr>
                <w:rFonts w:ascii="Times New Roman" w:hAnsi="Times New Roman" w:cs="Times New Roman"/>
                <w:b/>
                <w:lang w:val="de-DE"/>
              </w:rPr>
              <w:tab/>
              <w:t>NAME UND ANSCHRIFT DES PHARMAZEUTISCHEN UNTERNEHMERS</w:t>
            </w:r>
          </w:p>
        </w:tc>
      </w:tr>
    </w:tbl>
    <w:p w14:paraId="1C69DB66"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07C795E1" w14:textId="77777777" w:rsidR="007D1316" w:rsidRPr="00122B74" w:rsidRDefault="007D1316" w:rsidP="007D1316">
      <w:pPr>
        <w:keepNext/>
        <w:spacing w:after="0" w:line="240" w:lineRule="auto"/>
        <w:rPr>
          <w:rFonts w:ascii="Times New Roman" w:hAnsi="Times New Roman" w:cs="Times New Roman"/>
        </w:rPr>
      </w:pPr>
      <w:r w:rsidRPr="00122B74">
        <w:rPr>
          <w:rFonts w:ascii="Times New Roman" w:hAnsi="Times New Roman" w:cs="Times New Roman"/>
        </w:rPr>
        <w:t>Amgen Technology (Ireland) UC,</w:t>
      </w:r>
    </w:p>
    <w:p w14:paraId="0ECD92E3" w14:textId="77777777" w:rsidR="007D1316" w:rsidRPr="00122B74" w:rsidRDefault="007D1316" w:rsidP="007D1316">
      <w:pPr>
        <w:keepNext/>
        <w:spacing w:after="0" w:line="240" w:lineRule="auto"/>
        <w:rPr>
          <w:rFonts w:ascii="Times New Roman" w:hAnsi="Times New Roman" w:cs="Times New Roman"/>
        </w:rPr>
      </w:pPr>
      <w:r w:rsidRPr="00122B74">
        <w:rPr>
          <w:rFonts w:ascii="Times New Roman" w:hAnsi="Times New Roman" w:cs="Times New Roman"/>
        </w:rPr>
        <w:t>Pottery Road,</w:t>
      </w:r>
    </w:p>
    <w:p w14:paraId="7F88C024" w14:textId="77777777" w:rsidR="007D1316" w:rsidRPr="00122B74" w:rsidRDefault="007D1316" w:rsidP="007D1316">
      <w:pPr>
        <w:keepNext/>
        <w:spacing w:after="0" w:line="240" w:lineRule="auto"/>
        <w:rPr>
          <w:rFonts w:ascii="Times New Roman" w:hAnsi="Times New Roman" w:cs="Times New Roman"/>
        </w:rPr>
      </w:pPr>
      <w:r w:rsidRPr="00122B74">
        <w:rPr>
          <w:rFonts w:ascii="Times New Roman" w:hAnsi="Times New Roman" w:cs="Times New Roman"/>
        </w:rPr>
        <w:t>Dun Laoghaire,</w:t>
      </w:r>
    </w:p>
    <w:p w14:paraId="3C400F54" w14:textId="77777777" w:rsidR="007D1316" w:rsidRPr="00122B74" w:rsidRDefault="007D1316" w:rsidP="007D1316">
      <w:pPr>
        <w:keepNext/>
        <w:spacing w:after="0" w:line="240" w:lineRule="auto"/>
        <w:rPr>
          <w:rFonts w:ascii="Times New Roman" w:hAnsi="Times New Roman" w:cs="Times New Roman"/>
        </w:rPr>
      </w:pPr>
      <w:r w:rsidRPr="00122B74">
        <w:rPr>
          <w:rFonts w:ascii="Times New Roman" w:hAnsi="Times New Roman" w:cs="Times New Roman"/>
        </w:rPr>
        <w:t>Co. Dublin,</w:t>
      </w:r>
    </w:p>
    <w:p w14:paraId="2908A13A" w14:textId="715BDC48" w:rsidR="000A3CD6" w:rsidRPr="009737B5" w:rsidRDefault="007D1316" w:rsidP="000A3CD6">
      <w:pPr>
        <w:suppressAutoHyphens/>
        <w:spacing w:after="0" w:line="240" w:lineRule="auto"/>
        <w:rPr>
          <w:rFonts w:ascii="Times New Roman" w:hAnsi="Times New Roman" w:cs="Times New Roman"/>
          <w:lang w:val="de-DE"/>
        </w:rPr>
      </w:pPr>
      <w:r w:rsidRPr="00C81016">
        <w:rPr>
          <w:rFonts w:ascii="Times New Roman" w:eastAsia="Times New Roman" w:hAnsi="Times New Roman" w:cs="Times New Roman"/>
          <w:color w:val="000000"/>
          <w:lang w:val="de-DE"/>
        </w:rPr>
        <w:t>Irland</w:t>
      </w:r>
    </w:p>
    <w:p w14:paraId="4B1DF0D5" w14:textId="01DE8830" w:rsidR="000A3CD6" w:rsidRDefault="000A3CD6" w:rsidP="000A3CD6">
      <w:pPr>
        <w:suppressAutoHyphens/>
        <w:spacing w:after="0" w:line="240" w:lineRule="auto"/>
        <w:rPr>
          <w:rFonts w:ascii="Times New Roman" w:hAnsi="Times New Roman" w:cs="Times New Roman"/>
          <w:lang w:val="de-DE"/>
        </w:rPr>
      </w:pPr>
    </w:p>
    <w:p w14:paraId="511B3E61" w14:textId="77777777" w:rsidR="007D1316" w:rsidRPr="009737B5" w:rsidRDefault="007D131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402720" w14:paraId="435F617E" w14:textId="77777777" w:rsidTr="00402720">
        <w:tc>
          <w:tcPr>
            <w:tcW w:w="9061" w:type="dxa"/>
          </w:tcPr>
          <w:p w14:paraId="56ACEF26"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12.</w:t>
            </w:r>
            <w:r w:rsidRPr="00402720">
              <w:rPr>
                <w:rFonts w:ascii="Times New Roman" w:hAnsi="Times New Roman" w:cs="Times New Roman"/>
                <w:b/>
                <w:lang w:val="de-DE"/>
              </w:rPr>
              <w:tab/>
              <w:t>ZULASSUNGSNUMMER(N)</w:t>
            </w:r>
          </w:p>
        </w:tc>
      </w:tr>
    </w:tbl>
    <w:p w14:paraId="3D2BECB3" w14:textId="77777777" w:rsidR="000A3CD6" w:rsidRPr="009737B5" w:rsidRDefault="000A3CD6" w:rsidP="000A3CD6">
      <w:pPr>
        <w:keepNext/>
        <w:suppressAutoHyphens/>
        <w:spacing w:after="0" w:line="240" w:lineRule="auto"/>
        <w:rPr>
          <w:rFonts w:ascii="Times New Roman" w:hAnsi="Times New Roman" w:cs="Times New Roman"/>
          <w:lang w:val="de-DE"/>
        </w:rPr>
      </w:pPr>
    </w:p>
    <w:p w14:paraId="59246545"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eastAsia="Times New Roman" w:hAnsi="Times New Roman" w:cs="Times New Roman"/>
          <w:lang w:val="en-GB"/>
        </w:rPr>
        <w:t>EU/1/17/1246/002</w:t>
      </w:r>
    </w:p>
    <w:p w14:paraId="644DE487" w14:textId="77777777" w:rsidR="000A3CD6" w:rsidRPr="009737B5" w:rsidRDefault="000A3CD6" w:rsidP="000A3CD6">
      <w:pPr>
        <w:suppressAutoHyphens/>
        <w:spacing w:after="0" w:line="240" w:lineRule="auto"/>
        <w:rPr>
          <w:rFonts w:ascii="Times New Roman" w:hAnsi="Times New Roman" w:cs="Times New Roman"/>
          <w:lang w:val="de-DE"/>
        </w:rPr>
      </w:pPr>
    </w:p>
    <w:p w14:paraId="1B44EE6E"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402720" w14:paraId="29D6DC3B" w14:textId="77777777" w:rsidTr="00402720">
        <w:tc>
          <w:tcPr>
            <w:tcW w:w="9061" w:type="dxa"/>
          </w:tcPr>
          <w:p w14:paraId="3E7BAE34"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13.</w:t>
            </w:r>
            <w:r w:rsidRPr="00402720">
              <w:rPr>
                <w:rFonts w:ascii="Times New Roman" w:hAnsi="Times New Roman" w:cs="Times New Roman"/>
                <w:b/>
                <w:lang w:val="de-DE"/>
              </w:rPr>
              <w:tab/>
              <w:t>CHARGENBEZEICHNUNG</w:t>
            </w:r>
          </w:p>
        </w:tc>
      </w:tr>
    </w:tbl>
    <w:p w14:paraId="32CB8705"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45079E83"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Ch.-B.</w:t>
      </w:r>
    </w:p>
    <w:p w14:paraId="5058DD4F" w14:textId="77777777" w:rsidR="000A3CD6" w:rsidRPr="009737B5" w:rsidRDefault="000A3CD6" w:rsidP="000A3CD6">
      <w:pPr>
        <w:suppressAutoHyphens/>
        <w:spacing w:after="0" w:line="240" w:lineRule="auto"/>
        <w:rPr>
          <w:rFonts w:ascii="Times New Roman" w:hAnsi="Times New Roman" w:cs="Times New Roman"/>
          <w:lang w:val="de-DE"/>
        </w:rPr>
      </w:pPr>
    </w:p>
    <w:p w14:paraId="7C2EF1BE"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402720" w14:paraId="184C57C0" w14:textId="77777777" w:rsidTr="00402720">
        <w:tc>
          <w:tcPr>
            <w:tcW w:w="9061" w:type="dxa"/>
          </w:tcPr>
          <w:p w14:paraId="2FFD0242"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14.</w:t>
            </w:r>
            <w:r w:rsidRPr="00402720">
              <w:rPr>
                <w:rFonts w:ascii="Times New Roman" w:hAnsi="Times New Roman" w:cs="Times New Roman"/>
                <w:b/>
                <w:lang w:val="de-DE"/>
              </w:rPr>
              <w:tab/>
              <w:t>VERKAUFSABGRENZUNG</w:t>
            </w:r>
          </w:p>
        </w:tc>
      </w:tr>
    </w:tbl>
    <w:p w14:paraId="43CF15F3"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7A89E3C4"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402720" w14:paraId="20AF2566" w14:textId="77777777" w:rsidTr="00402720">
        <w:tc>
          <w:tcPr>
            <w:tcW w:w="9061" w:type="dxa"/>
          </w:tcPr>
          <w:p w14:paraId="16F3C3E7"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15.</w:t>
            </w:r>
            <w:r w:rsidRPr="00402720">
              <w:rPr>
                <w:rFonts w:ascii="Times New Roman" w:hAnsi="Times New Roman" w:cs="Times New Roman"/>
                <w:b/>
                <w:lang w:val="de-DE"/>
              </w:rPr>
              <w:tab/>
              <w:t>HINWEISE FÜR DEN GEBRAUCH</w:t>
            </w:r>
          </w:p>
        </w:tc>
      </w:tr>
    </w:tbl>
    <w:p w14:paraId="7A3A8188"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3188498D"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402720" w14:paraId="76962543" w14:textId="77777777" w:rsidTr="00402720">
        <w:tc>
          <w:tcPr>
            <w:tcW w:w="9061" w:type="dxa"/>
          </w:tcPr>
          <w:p w14:paraId="547A6589"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16.</w:t>
            </w:r>
            <w:r w:rsidRPr="00402720">
              <w:rPr>
                <w:rFonts w:ascii="Times New Roman" w:hAnsi="Times New Roman" w:cs="Times New Roman"/>
                <w:b/>
                <w:lang w:val="de-DE"/>
              </w:rPr>
              <w:tab/>
              <w:t>ANGABEN IN BLINDENSCHRIFT</w:t>
            </w:r>
          </w:p>
        </w:tc>
      </w:tr>
    </w:tbl>
    <w:p w14:paraId="79207C23"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6E475435" w14:textId="77777777" w:rsidR="000A3CD6" w:rsidRPr="009737B5" w:rsidRDefault="000A3CD6" w:rsidP="000A3CD6">
      <w:pPr>
        <w:suppressAutoHyphens/>
        <w:spacing w:after="0" w:line="240" w:lineRule="auto"/>
        <w:rPr>
          <w:rFonts w:ascii="Times New Roman" w:hAnsi="Times New Roman" w:cs="Times New Roman"/>
          <w:lang w:val="de-DE"/>
        </w:rPr>
      </w:pPr>
      <w:r>
        <w:rPr>
          <w:rFonts w:ascii="Times New Roman" w:hAnsi="Times New Roman" w:cs="Times New Roman"/>
          <w:highlight w:val="lightGray"/>
          <w:lang w:val="de-DE"/>
        </w:rPr>
        <w:t>Der Begründung, keine Angaben in Blindenschrift aufzunehmen, wird zugestimmt.</w:t>
      </w:r>
    </w:p>
    <w:p w14:paraId="41765B15" w14:textId="77777777" w:rsidR="000A3CD6" w:rsidRPr="009737B5" w:rsidRDefault="000A3CD6" w:rsidP="000A3CD6">
      <w:pPr>
        <w:suppressAutoHyphens/>
        <w:spacing w:after="0" w:line="240" w:lineRule="auto"/>
        <w:rPr>
          <w:rFonts w:ascii="Times New Roman" w:hAnsi="Times New Roman" w:cs="Times New Roman"/>
          <w:lang w:val="de-DE"/>
        </w:rPr>
      </w:pPr>
    </w:p>
    <w:p w14:paraId="749108C5"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402720" w14:paraId="5A08118D" w14:textId="77777777" w:rsidTr="00402720">
        <w:tc>
          <w:tcPr>
            <w:tcW w:w="9061" w:type="dxa"/>
          </w:tcPr>
          <w:p w14:paraId="7B0A6D17"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17.</w:t>
            </w:r>
            <w:r w:rsidRPr="00402720">
              <w:rPr>
                <w:rFonts w:ascii="Times New Roman" w:hAnsi="Times New Roman" w:cs="Times New Roman"/>
                <w:b/>
                <w:lang w:val="de-DE"/>
              </w:rPr>
              <w:tab/>
              <w:t>INDIVIDUELLES ERKENNUNGSMERKMAL – 2D-BARCODE</w:t>
            </w:r>
          </w:p>
        </w:tc>
      </w:tr>
    </w:tbl>
    <w:p w14:paraId="0296345B"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57632A46" w14:textId="77777777" w:rsidR="000A3CD6" w:rsidRPr="009737B5" w:rsidRDefault="000A3CD6" w:rsidP="000A3CD6">
      <w:pPr>
        <w:suppressAutoHyphens/>
        <w:spacing w:after="0" w:line="240" w:lineRule="auto"/>
        <w:rPr>
          <w:rFonts w:ascii="Times New Roman" w:hAnsi="Times New Roman" w:cs="Times New Roman"/>
          <w:lang w:val="de-DE"/>
        </w:rPr>
      </w:pPr>
      <w:r>
        <w:rPr>
          <w:rFonts w:ascii="Times New Roman" w:hAnsi="Times New Roman" w:cs="Times New Roman"/>
          <w:highlight w:val="lightGray"/>
          <w:lang w:val="de-DE"/>
        </w:rPr>
        <w:t>2D-Barcode mit individuellem Erkennungsmerkmal.</w:t>
      </w:r>
    </w:p>
    <w:p w14:paraId="1259A783" w14:textId="77777777" w:rsidR="000A3CD6" w:rsidRPr="009737B5" w:rsidRDefault="000A3CD6" w:rsidP="000A3CD6">
      <w:pPr>
        <w:suppressAutoHyphens/>
        <w:spacing w:after="0" w:line="240" w:lineRule="auto"/>
        <w:rPr>
          <w:rFonts w:ascii="Times New Roman" w:hAnsi="Times New Roman" w:cs="Times New Roman"/>
          <w:lang w:val="de-DE"/>
        </w:rPr>
      </w:pPr>
    </w:p>
    <w:p w14:paraId="147BFC2C" w14:textId="77777777" w:rsidR="000A3CD6" w:rsidRPr="009737B5" w:rsidRDefault="000A3CD6" w:rsidP="000A3CD6">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A3CD6" w:rsidRPr="00AA0497" w14:paraId="729EA4E7" w14:textId="77777777" w:rsidTr="00402720">
        <w:tc>
          <w:tcPr>
            <w:tcW w:w="9061" w:type="dxa"/>
          </w:tcPr>
          <w:p w14:paraId="7385E492" w14:textId="77777777" w:rsidR="000A3CD6" w:rsidRPr="00402720" w:rsidRDefault="000A3CD6"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18.</w:t>
            </w:r>
            <w:r w:rsidRPr="00402720">
              <w:rPr>
                <w:rFonts w:ascii="Times New Roman" w:hAnsi="Times New Roman" w:cs="Times New Roman"/>
                <w:b/>
                <w:lang w:val="de-DE"/>
              </w:rPr>
              <w:tab/>
              <w:t>INDIVIDUELLES ERKENNUNGSMERKMAL – VOM MENSCHEN LESBARES FORMAT</w:t>
            </w:r>
          </w:p>
        </w:tc>
      </w:tr>
    </w:tbl>
    <w:p w14:paraId="4B293977" w14:textId="77777777" w:rsidR="000A3CD6" w:rsidRPr="009737B5" w:rsidRDefault="000A3CD6" w:rsidP="000A3CD6">
      <w:pPr>
        <w:keepNext/>
        <w:suppressAutoHyphens/>
        <w:spacing w:after="0" w:line="240" w:lineRule="auto"/>
        <w:ind w:left="567" w:hanging="567"/>
        <w:rPr>
          <w:rFonts w:ascii="Times New Roman" w:hAnsi="Times New Roman" w:cs="Times New Roman"/>
          <w:b/>
          <w:lang w:val="de-DE"/>
        </w:rPr>
      </w:pPr>
    </w:p>
    <w:p w14:paraId="078E5457"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PC</w:t>
      </w:r>
    </w:p>
    <w:p w14:paraId="7A46335E" w14:textId="77777777" w:rsidR="000A3CD6" w:rsidRPr="009737B5" w:rsidRDefault="000A3CD6" w:rsidP="000A3CD6">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SN</w:t>
      </w:r>
    </w:p>
    <w:p w14:paraId="722D8BF7" w14:textId="77777777" w:rsidR="000A3CD6" w:rsidRPr="009737B5" w:rsidRDefault="000A3CD6" w:rsidP="000A3CD6">
      <w:pPr>
        <w:rPr>
          <w:rFonts w:ascii="Times New Roman" w:hAnsi="Times New Roman" w:cs="Times New Roman"/>
          <w:lang w:val="de-DE"/>
        </w:rPr>
      </w:pPr>
      <w:r w:rsidRPr="009737B5">
        <w:rPr>
          <w:rFonts w:ascii="Times New Roman" w:hAnsi="Times New Roman" w:cs="Times New Roman"/>
          <w:lang w:val="de-DE"/>
        </w:rPr>
        <w:t>NN</w:t>
      </w:r>
    </w:p>
    <w:p w14:paraId="585F7572" w14:textId="77777777" w:rsidR="000A3CD6" w:rsidRPr="009737B5" w:rsidRDefault="000A3CD6">
      <w:pPr>
        <w:rPr>
          <w:rFonts w:ascii="Times New Roman" w:hAnsi="Times New Roman" w:cs="Times New Roman"/>
          <w:lang w:val="de-DE"/>
        </w:rPr>
      </w:pPr>
      <w:r w:rsidRPr="009737B5">
        <w:rPr>
          <w:rFonts w:ascii="Times New Roman" w:hAnsi="Times New Roman" w:cs="Times New Roman"/>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B32DA" w:rsidRPr="00AA0497" w14:paraId="4B913E9A" w14:textId="77777777" w:rsidTr="00402720">
        <w:tc>
          <w:tcPr>
            <w:tcW w:w="9061" w:type="dxa"/>
          </w:tcPr>
          <w:p w14:paraId="612973D9" w14:textId="77777777" w:rsidR="00CB32DA" w:rsidRPr="00402720" w:rsidRDefault="00CB32DA" w:rsidP="00402720">
            <w:pPr>
              <w:suppressAutoHyphens/>
              <w:spacing w:after="0" w:line="240" w:lineRule="auto"/>
              <w:rPr>
                <w:rFonts w:ascii="Times New Roman" w:hAnsi="Times New Roman" w:cs="Times New Roman"/>
                <w:b/>
                <w:lang w:val="de-DE"/>
              </w:rPr>
            </w:pPr>
            <w:r w:rsidRPr="00402720">
              <w:rPr>
                <w:rFonts w:ascii="Times New Roman" w:hAnsi="Times New Roman" w:cs="Times New Roman"/>
                <w:b/>
                <w:lang w:val="de-DE"/>
              </w:rPr>
              <w:t>MINDESTANGABEN AUF KLEINEN BEHÄLTNISSEN</w:t>
            </w:r>
          </w:p>
          <w:p w14:paraId="0E4E3915" w14:textId="77777777" w:rsidR="00CB32DA" w:rsidRPr="00402720" w:rsidRDefault="00CB32DA" w:rsidP="00402720">
            <w:pPr>
              <w:suppressAutoHyphens/>
              <w:spacing w:after="0" w:line="240" w:lineRule="auto"/>
              <w:rPr>
                <w:rFonts w:ascii="Times New Roman" w:hAnsi="Times New Roman" w:cs="Times New Roman"/>
                <w:b/>
                <w:lang w:val="de-DE"/>
              </w:rPr>
            </w:pPr>
          </w:p>
          <w:p w14:paraId="69F087A9" w14:textId="77777777" w:rsidR="00CB32DA" w:rsidRPr="00402720" w:rsidRDefault="00CB32DA" w:rsidP="00402720">
            <w:pPr>
              <w:suppressAutoHyphens/>
              <w:spacing w:after="0" w:line="240" w:lineRule="auto"/>
              <w:rPr>
                <w:rFonts w:ascii="Times New Roman" w:hAnsi="Times New Roman" w:cs="Times New Roman"/>
                <w:lang w:val="de-DE"/>
              </w:rPr>
            </w:pPr>
            <w:r w:rsidRPr="00402720">
              <w:rPr>
                <w:rFonts w:ascii="Times New Roman" w:hAnsi="Times New Roman" w:cs="Times New Roman"/>
                <w:b/>
                <w:lang w:val="de-DE"/>
              </w:rPr>
              <w:t>DURCHSTECHFLASCHE</w:t>
            </w:r>
          </w:p>
        </w:tc>
      </w:tr>
    </w:tbl>
    <w:p w14:paraId="1E1B7C7A" w14:textId="77777777" w:rsidR="00CB32DA" w:rsidRPr="009737B5" w:rsidRDefault="00CB32DA" w:rsidP="005F4D08">
      <w:pPr>
        <w:suppressAutoHyphens/>
        <w:spacing w:after="0" w:line="240" w:lineRule="auto"/>
        <w:rPr>
          <w:rFonts w:ascii="Times New Roman" w:hAnsi="Times New Roman" w:cs="Times New Roman"/>
          <w:lang w:val="de-DE"/>
        </w:rPr>
      </w:pPr>
    </w:p>
    <w:p w14:paraId="1F8328B1" w14:textId="77777777" w:rsidR="00E2353A" w:rsidRPr="009737B5" w:rsidRDefault="00E2353A"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B32DA" w:rsidRPr="00AA0497" w14:paraId="386ADE0C" w14:textId="77777777" w:rsidTr="00402720">
        <w:tc>
          <w:tcPr>
            <w:tcW w:w="9061" w:type="dxa"/>
          </w:tcPr>
          <w:p w14:paraId="05BCD603" w14:textId="77777777" w:rsidR="00CB32DA" w:rsidRPr="00402720" w:rsidRDefault="00CB32DA"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1.</w:t>
            </w:r>
            <w:r w:rsidRPr="00402720">
              <w:rPr>
                <w:rFonts w:ascii="Times New Roman" w:hAnsi="Times New Roman" w:cs="Times New Roman"/>
                <w:b/>
                <w:lang w:val="de-DE"/>
              </w:rPr>
              <w:tab/>
              <w:t>BEZEICHNUNG DES ARZNEIMITTELS SOWIE ART(EN) DER ANWENDUNG</w:t>
            </w:r>
          </w:p>
        </w:tc>
      </w:tr>
    </w:tbl>
    <w:p w14:paraId="76D54B99" w14:textId="77777777" w:rsidR="00E2353A" w:rsidRPr="009737B5" w:rsidRDefault="00E2353A" w:rsidP="00762559">
      <w:pPr>
        <w:keepNext/>
        <w:suppressAutoHyphens/>
        <w:spacing w:after="0" w:line="240" w:lineRule="auto"/>
        <w:rPr>
          <w:rFonts w:ascii="Times New Roman" w:hAnsi="Times New Roman" w:cs="Times New Roman"/>
          <w:lang w:val="de-DE"/>
        </w:rPr>
      </w:pPr>
    </w:p>
    <w:p w14:paraId="6FC2133B" w14:textId="77777777" w:rsidR="00B6731B"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422446" w:rsidRPr="009737B5">
        <w:rPr>
          <w:rFonts w:ascii="Times New Roman" w:hAnsi="Times New Roman" w:cs="Times New Roman"/>
          <w:lang w:val="de-DE"/>
        </w:rPr>
        <w:t xml:space="preserve"> </w:t>
      </w:r>
      <w:r w:rsidR="00E2353A" w:rsidRPr="009737B5">
        <w:rPr>
          <w:rFonts w:ascii="Times New Roman" w:hAnsi="Times New Roman" w:cs="Times New Roman"/>
          <w:lang w:val="de-DE"/>
        </w:rPr>
        <w:t>25</w:t>
      </w:r>
      <w:r w:rsidR="00AB26B9" w:rsidRPr="009737B5">
        <w:rPr>
          <w:rFonts w:ascii="Times New Roman" w:hAnsi="Times New Roman" w:cs="Times New Roman"/>
          <w:lang w:val="de-DE"/>
        </w:rPr>
        <w:t> mg</w:t>
      </w:r>
      <w:r w:rsidR="00C6251D" w:rsidRPr="009737B5">
        <w:rPr>
          <w:rFonts w:ascii="Times New Roman" w:hAnsi="Times New Roman" w:cs="Times New Roman"/>
          <w:lang w:val="de-DE"/>
        </w:rPr>
        <w:t>/ml</w:t>
      </w:r>
      <w:r w:rsidR="00E2353A" w:rsidRPr="009737B5">
        <w:rPr>
          <w:rFonts w:ascii="Times New Roman" w:hAnsi="Times New Roman" w:cs="Times New Roman"/>
          <w:lang w:val="de-DE"/>
        </w:rPr>
        <w:t xml:space="preserve"> </w:t>
      </w:r>
      <w:r w:rsidR="00EB5588" w:rsidRPr="009737B5">
        <w:rPr>
          <w:rFonts w:ascii="Times New Roman" w:hAnsi="Times New Roman" w:cs="Times New Roman"/>
          <w:lang w:val="de-DE"/>
        </w:rPr>
        <w:t xml:space="preserve">steriles </w:t>
      </w:r>
      <w:r w:rsidR="00E2353A" w:rsidRPr="009737B5">
        <w:rPr>
          <w:rFonts w:ascii="Times New Roman" w:hAnsi="Times New Roman" w:cs="Times New Roman"/>
          <w:lang w:val="de-DE"/>
        </w:rPr>
        <w:t>Konzentrat</w:t>
      </w:r>
    </w:p>
    <w:p w14:paraId="0368B8F2"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Bevacizumab</w:t>
      </w:r>
    </w:p>
    <w:p w14:paraId="638BCECA" w14:textId="77777777" w:rsidR="00E2353A" w:rsidRPr="009737B5" w:rsidRDefault="00E2353A" w:rsidP="005F4D08">
      <w:pPr>
        <w:suppressAutoHyphens/>
        <w:spacing w:after="0" w:line="240" w:lineRule="auto"/>
        <w:rPr>
          <w:rFonts w:ascii="Times New Roman" w:hAnsi="Times New Roman" w:cs="Times New Roman"/>
          <w:lang w:val="de-DE"/>
        </w:rPr>
      </w:pPr>
      <w:r>
        <w:rPr>
          <w:rFonts w:ascii="Times New Roman" w:hAnsi="Times New Roman" w:cs="Times New Roman"/>
          <w:highlight w:val="lightGray"/>
          <w:lang w:val="de-DE"/>
        </w:rPr>
        <w:t>i.v.</w:t>
      </w:r>
    </w:p>
    <w:p w14:paraId="0589020A" w14:textId="77777777" w:rsidR="00E2353A" w:rsidRPr="009737B5" w:rsidRDefault="00E2353A" w:rsidP="005F4D08">
      <w:pPr>
        <w:suppressAutoHyphens/>
        <w:spacing w:after="0" w:line="240" w:lineRule="auto"/>
        <w:rPr>
          <w:rFonts w:ascii="Times New Roman" w:hAnsi="Times New Roman" w:cs="Times New Roman"/>
          <w:lang w:val="de-DE"/>
        </w:rPr>
      </w:pPr>
    </w:p>
    <w:p w14:paraId="741FE743" w14:textId="77777777" w:rsidR="00CB32DA" w:rsidRPr="009737B5" w:rsidRDefault="00CB32DA"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B32DA" w:rsidRPr="00402720" w14:paraId="6F632062" w14:textId="77777777" w:rsidTr="00402720">
        <w:tc>
          <w:tcPr>
            <w:tcW w:w="9061" w:type="dxa"/>
          </w:tcPr>
          <w:p w14:paraId="06F7E6EF" w14:textId="77777777" w:rsidR="00CB32DA" w:rsidRPr="00402720" w:rsidRDefault="00CB32DA"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2.</w:t>
            </w:r>
            <w:r w:rsidRPr="00402720">
              <w:rPr>
                <w:rFonts w:ascii="Times New Roman" w:hAnsi="Times New Roman" w:cs="Times New Roman"/>
                <w:b/>
                <w:lang w:val="de-DE"/>
              </w:rPr>
              <w:tab/>
              <w:t>HINWEISE ZUR ANWENDUNG</w:t>
            </w:r>
          </w:p>
        </w:tc>
      </w:tr>
    </w:tbl>
    <w:p w14:paraId="48DE4D55" w14:textId="77777777" w:rsidR="00E2353A" w:rsidRPr="009737B5" w:rsidRDefault="00E2353A" w:rsidP="00762559">
      <w:pPr>
        <w:keepNext/>
        <w:suppressAutoHyphens/>
        <w:spacing w:after="0" w:line="240" w:lineRule="auto"/>
        <w:rPr>
          <w:rFonts w:ascii="Times New Roman" w:hAnsi="Times New Roman" w:cs="Times New Roman"/>
          <w:lang w:val="de-DE"/>
        </w:rPr>
      </w:pPr>
    </w:p>
    <w:p w14:paraId="134987EE"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Zur intravenösen Anwendung nach Verdünnung</w:t>
      </w:r>
    </w:p>
    <w:p w14:paraId="06F064F8" w14:textId="77777777" w:rsidR="00E2353A" w:rsidRPr="009737B5" w:rsidRDefault="00E2353A" w:rsidP="005F4D08">
      <w:pPr>
        <w:suppressAutoHyphens/>
        <w:spacing w:after="0" w:line="240" w:lineRule="auto"/>
        <w:rPr>
          <w:rFonts w:ascii="Times New Roman" w:hAnsi="Times New Roman" w:cs="Times New Roman"/>
          <w:lang w:val="de-DE"/>
        </w:rPr>
      </w:pPr>
    </w:p>
    <w:p w14:paraId="4F5E37B7" w14:textId="77777777" w:rsidR="00CB32DA" w:rsidRPr="009737B5" w:rsidRDefault="00CB32DA"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B32DA" w:rsidRPr="00402720" w14:paraId="59DE2D8A" w14:textId="77777777" w:rsidTr="00402720">
        <w:tc>
          <w:tcPr>
            <w:tcW w:w="9061" w:type="dxa"/>
          </w:tcPr>
          <w:p w14:paraId="6C8C351B" w14:textId="77777777" w:rsidR="00CB32DA" w:rsidRPr="00402720" w:rsidRDefault="00CB32DA"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3.</w:t>
            </w:r>
            <w:r w:rsidRPr="00402720">
              <w:rPr>
                <w:rFonts w:ascii="Times New Roman" w:hAnsi="Times New Roman" w:cs="Times New Roman"/>
                <w:b/>
                <w:lang w:val="de-DE"/>
              </w:rPr>
              <w:tab/>
              <w:t>VERFALLDATUM</w:t>
            </w:r>
          </w:p>
        </w:tc>
      </w:tr>
    </w:tbl>
    <w:p w14:paraId="3B85F427" w14:textId="77777777" w:rsidR="00E2353A" w:rsidRPr="009737B5" w:rsidRDefault="00E2353A" w:rsidP="00762559">
      <w:pPr>
        <w:keepNext/>
        <w:suppressAutoHyphens/>
        <w:spacing w:after="0" w:line="240" w:lineRule="auto"/>
        <w:rPr>
          <w:rFonts w:ascii="Times New Roman" w:hAnsi="Times New Roman" w:cs="Times New Roman"/>
          <w:lang w:val="de-DE"/>
        </w:rPr>
      </w:pPr>
    </w:p>
    <w:p w14:paraId="1CF46106"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EXP</w:t>
      </w:r>
    </w:p>
    <w:p w14:paraId="663AE963" w14:textId="77777777" w:rsidR="00E2353A" w:rsidRPr="009737B5" w:rsidRDefault="00E2353A" w:rsidP="005F4D08">
      <w:pPr>
        <w:suppressAutoHyphens/>
        <w:spacing w:after="0" w:line="240" w:lineRule="auto"/>
        <w:rPr>
          <w:rFonts w:ascii="Times New Roman" w:hAnsi="Times New Roman" w:cs="Times New Roman"/>
          <w:lang w:val="de-DE"/>
        </w:rPr>
      </w:pPr>
    </w:p>
    <w:p w14:paraId="7D185C5E" w14:textId="77777777" w:rsidR="00CB32DA" w:rsidRPr="009737B5" w:rsidRDefault="00CB32DA"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B32DA" w:rsidRPr="00402720" w14:paraId="5204FFA6" w14:textId="77777777" w:rsidTr="00402720">
        <w:tc>
          <w:tcPr>
            <w:tcW w:w="9061" w:type="dxa"/>
          </w:tcPr>
          <w:p w14:paraId="2A9C8773" w14:textId="77777777" w:rsidR="00CB32DA" w:rsidRPr="00402720" w:rsidRDefault="00CB32DA" w:rsidP="00402720">
            <w:pPr>
              <w:keepNext/>
              <w:suppressAutoHyphens/>
              <w:spacing w:after="0" w:line="240" w:lineRule="auto"/>
              <w:ind w:left="567" w:hanging="567"/>
              <w:rPr>
                <w:rFonts w:ascii="Times New Roman" w:hAnsi="Times New Roman" w:cs="Times New Roman"/>
                <w:lang w:val="de-DE"/>
              </w:rPr>
            </w:pPr>
            <w:r w:rsidRPr="00402720">
              <w:rPr>
                <w:rFonts w:ascii="Times New Roman" w:hAnsi="Times New Roman" w:cs="Times New Roman"/>
                <w:b/>
                <w:lang w:val="de-DE"/>
              </w:rPr>
              <w:t>4.</w:t>
            </w:r>
            <w:r w:rsidRPr="00402720">
              <w:rPr>
                <w:rFonts w:ascii="Times New Roman" w:hAnsi="Times New Roman" w:cs="Times New Roman"/>
                <w:b/>
                <w:lang w:val="de-DE"/>
              </w:rPr>
              <w:tab/>
              <w:t>CHARGENBEZEICHNUNG</w:t>
            </w:r>
          </w:p>
        </w:tc>
      </w:tr>
    </w:tbl>
    <w:p w14:paraId="24D057FA" w14:textId="77777777" w:rsidR="00E2353A" w:rsidRPr="009737B5" w:rsidRDefault="00E2353A" w:rsidP="00762559">
      <w:pPr>
        <w:keepNext/>
        <w:suppressAutoHyphens/>
        <w:spacing w:after="0" w:line="240" w:lineRule="auto"/>
        <w:rPr>
          <w:rFonts w:ascii="Times New Roman" w:hAnsi="Times New Roman" w:cs="Times New Roman"/>
          <w:lang w:val="de-DE"/>
        </w:rPr>
      </w:pPr>
    </w:p>
    <w:p w14:paraId="67CBCF09"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Lot</w:t>
      </w:r>
    </w:p>
    <w:p w14:paraId="10D27579" w14:textId="77777777" w:rsidR="00E2353A" w:rsidRPr="009737B5" w:rsidRDefault="00E2353A" w:rsidP="005F4D08">
      <w:pPr>
        <w:suppressAutoHyphens/>
        <w:spacing w:after="0" w:line="240" w:lineRule="auto"/>
        <w:rPr>
          <w:rFonts w:ascii="Times New Roman" w:hAnsi="Times New Roman" w:cs="Times New Roman"/>
          <w:lang w:val="de-DE"/>
        </w:rPr>
      </w:pPr>
    </w:p>
    <w:p w14:paraId="74F15754" w14:textId="77777777" w:rsidR="00762559" w:rsidRPr="009737B5" w:rsidRDefault="00762559"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B32DA" w:rsidRPr="00B83674" w14:paraId="273F53DE" w14:textId="77777777" w:rsidTr="00402720">
        <w:tc>
          <w:tcPr>
            <w:tcW w:w="9061" w:type="dxa"/>
          </w:tcPr>
          <w:p w14:paraId="69B03071" w14:textId="77777777" w:rsidR="00CB32DA" w:rsidRPr="00402720" w:rsidRDefault="00CB32DA"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5.</w:t>
            </w:r>
            <w:r w:rsidRPr="00402720">
              <w:rPr>
                <w:rFonts w:ascii="Times New Roman" w:hAnsi="Times New Roman" w:cs="Times New Roman"/>
                <w:b/>
                <w:lang w:val="de-DE"/>
              </w:rPr>
              <w:tab/>
              <w:t>INHALT NACH GEWICHT, VOLUMEN ODER EINHEITEN</w:t>
            </w:r>
          </w:p>
        </w:tc>
      </w:tr>
    </w:tbl>
    <w:p w14:paraId="438125F1" w14:textId="77777777" w:rsidR="00E2353A" w:rsidRPr="009737B5" w:rsidRDefault="00E2353A" w:rsidP="00762559">
      <w:pPr>
        <w:keepNext/>
        <w:suppressAutoHyphens/>
        <w:spacing w:after="0" w:line="240" w:lineRule="auto"/>
        <w:rPr>
          <w:rFonts w:ascii="Times New Roman" w:hAnsi="Times New Roman" w:cs="Times New Roman"/>
          <w:lang w:val="de-DE"/>
        </w:rPr>
      </w:pPr>
    </w:p>
    <w:p w14:paraId="4C997487"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400</w:t>
      </w:r>
      <w:r w:rsidR="00AB26B9" w:rsidRPr="009737B5">
        <w:rPr>
          <w:rFonts w:ascii="Times New Roman" w:hAnsi="Times New Roman" w:cs="Times New Roman"/>
          <w:lang w:val="de-DE"/>
        </w:rPr>
        <w:t> mg</w:t>
      </w:r>
      <w:r w:rsidRPr="009737B5">
        <w:rPr>
          <w:rFonts w:ascii="Times New Roman" w:hAnsi="Times New Roman" w:cs="Times New Roman"/>
          <w:lang w:val="de-DE"/>
        </w:rPr>
        <w:t>/16</w:t>
      </w:r>
      <w:r w:rsidR="00AB26B9" w:rsidRPr="009737B5">
        <w:rPr>
          <w:rFonts w:ascii="Times New Roman" w:hAnsi="Times New Roman" w:cs="Times New Roman"/>
          <w:lang w:val="de-DE"/>
        </w:rPr>
        <w:t> ml</w:t>
      </w:r>
    </w:p>
    <w:p w14:paraId="3618410D" w14:textId="77777777" w:rsidR="00E2353A" w:rsidRPr="009737B5" w:rsidRDefault="00E2353A" w:rsidP="005F4D08">
      <w:pPr>
        <w:suppressAutoHyphens/>
        <w:spacing w:after="0" w:line="240" w:lineRule="auto"/>
        <w:rPr>
          <w:rFonts w:ascii="Times New Roman" w:hAnsi="Times New Roman" w:cs="Times New Roman"/>
          <w:lang w:val="de-DE"/>
        </w:rPr>
      </w:pPr>
    </w:p>
    <w:p w14:paraId="5B8459AD" w14:textId="77777777" w:rsidR="00CB32DA" w:rsidRPr="009737B5" w:rsidRDefault="00CB32DA" w:rsidP="005F4D08">
      <w:pPr>
        <w:suppressAutoHyphens/>
        <w:spacing w:after="0" w:line="240" w:lineRule="auto"/>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B32DA" w:rsidRPr="00402720" w14:paraId="32DB0E1E" w14:textId="77777777" w:rsidTr="00402720">
        <w:tc>
          <w:tcPr>
            <w:tcW w:w="9061" w:type="dxa"/>
          </w:tcPr>
          <w:p w14:paraId="7F712666" w14:textId="77777777" w:rsidR="00CB32DA" w:rsidRPr="00402720" w:rsidRDefault="00CB32DA" w:rsidP="00402720">
            <w:pPr>
              <w:keepNext/>
              <w:suppressAutoHyphens/>
              <w:spacing w:after="0" w:line="240" w:lineRule="auto"/>
              <w:ind w:left="567" w:hanging="567"/>
              <w:rPr>
                <w:rFonts w:ascii="Times New Roman" w:hAnsi="Times New Roman" w:cs="Times New Roman"/>
                <w:b/>
                <w:lang w:val="de-DE"/>
              </w:rPr>
            </w:pPr>
            <w:r w:rsidRPr="00402720">
              <w:rPr>
                <w:rFonts w:ascii="Times New Roman" w:hAnsi="Times New Roman" w:cs="Times New Roman"/>
                <w:b/>
                <w:lang w:val="de-DE"/>
              </w:rPr>
              <w:t>6.</w:t>
            </w:r>
            <w:r w:rsidRPr="00402720">
              <w:rPr>
                <w:rFonts w:ascii="Times New Roman" w:hAnsi="Times New Roman" w:cs="Times New Roman"/>
                <w:b/>
                <w:lang w:val="de-DE"/>
              </w:rPr>
              <w:tab/>
              <w:t>WEITERE ANGABEN</w:t>
            </w:r>
          </w:p>
        </w:tc>
      </w:tr>
    </w:tbl>
    <w:p w14:paraId="18B96081" w14:textId="77777777" w:rsidR="00E2353A" w:rsidRPr="009737B5" w:rsidRDefault="00E2353A" w:rsidP="00762559">
      <w:pPr>
        <w:keepNext/>
        <w:suppressAutoHyphens/>
        <w:spacing w:after="0" w:line="240" w:lineRule="auto"/>
        <w:rPr>
          <w:rFonts w:ascii="Times New Roman" w:hAnsi="Times New Roman" w:cs="Times New Roman"/>
          <w:lang w:val="de-DE"/>
        </w:rPr>
      </w:pPr>
    </w:p>
    <w:p w14:paraId="1AB7F2E8" w14:textId="77777777" w:rsidR="00CB32DA" w:rsidRPr="009737B5" w:rsidRDefault="00CB32DA" w:rsidP="005F4D08">
      <w:pPr>
        <w:suppressAutoHyphens/>
        <w:spacing w:after="0" w:line="240" w:lineRule="auto"/>
        <w:rPr>
          <w:rFonts w:ascii="Times New Roman" w:hAnsi="Times New Roman" w:cs="Times New Roman"/>
          <w:lang w:val="de-DE"/>
        </w:rPr>
      </w:pPr>
    </w:p>
    <w:p w14:paraId="1DEE710B" w14:textId="77777777" w:rsidR="00CB32DA" w:rsidRPr="009737B5" w:rsidRDefault="00CB32DA">
      <w:pPr>
        <w:rPr>
          <w:rFonts w:ascii="Times New Roman" w:hAnsi="Times New Roman" w:cs="Times New Roman"/>
          <w:lang w:val="de-DE"/>
        </w:rPr>
      </w:pPr>
      <w:r w:rsidRPr="009737B5">
        <w:rPr>
          <w:rFonts w:ascii="Times New Roman" w:hAnsi="Times New Roman" w:cs="Times New Roman"/>
          <w:lang w:val="de-DE"/>
        </w:rPr>
        <w:br w:type="page"/>
      </w:r>
    </w:p>
    <w:p w14:paraId="5F7386C4"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6E05E9E3"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73EA9DC0"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0AB2CB5C"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08303E99"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3DDE3392"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106D4687"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4B375E64"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262D08C2"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28B5B991"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5E9CC744"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3F956281"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60F0D0CB"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1186E519"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7F0FB264"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183B9D04"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42037181"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19262D8B"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68ADF281"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743D23DD"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6895CFCA" w14:textId="77777777" w:rsidR="00E2353A" w:rsidRPr="009737B5" w:rsidRDefault="00E2353A" w:rsidP="00CB32DA">
      <w:pPr>
        <w:suppressAutoHyphens/>
        <w:spacing w:after="0" w:line="240" w:lineRule="auto"/>
        <w:jc w:val="center"/>
        <w:rPr>
          <w:rFonts w:ascii="Times New Roman" w:hAnsi="Times New Roman" w:cs="Times New Roman"/>
          <w:b/>
          <w:lang w:val="de-DE"/>
        </w:rPr>
      </w:pPr>
    </w:p>
    <w:p w14:paraId="0E74E534" w14:textId="77777777" w:rsidR="00CB32DA" w:rsidRPr="009737B5" w:rsidRDefault="00CB32DA" w:rsidP="00CB32DA">
      <w:pPr>
        <w:suppressAutoHyphens/>
        <w:spacing w:after="0" w:line="240" w:lineRule="auto"/>
        <w:jc w:val="center"/>
        <w:rPr>
          <w:rFonts w:ascii="Times New Roman" w:hAnsi="Times New Roman" w:cs="Times New Roman"/>
          <w:b/>
          <w:lang w:val="de-DE"/>
        </w:rPr>
      </w:pPr>
    </w:p>
    <w:p w14:paraId="3589A986" w14:textId="77777777" w:rsidR="00E2353A" w:rsidRPr="009737B5" w:rsidRDefault="00E2353A" w:rsidP="00CB32DA">
      <w:pPr>
        <w:pStyle w:val="TitleA"/>
        <w:rPr>
          <w:rFonts w:cs="Times New Roman"/>
          <w:lang w:val="de-DE"/>
        </w:rPr>
      </w:pPr>
      <w:r w:rsidRPr="009737B5">
        <w:rPr>
          <w:rFonts w:cs="Times New Roman"/>
          <w:lang w:val="de-DE"/>
        </w:rPr>
        <w:t>B. PACKUNGSBEILAGE</w:t>
      </w:r>
    </w:p>
    <w:p w14:paraId="7D3944E7" w14:textId="77777777" w:rsidR="00CB32DA" w:rsidRPr="009737B5" w:rsidRDefault="00CB32DA" w:rsidP="0094254B">
      <w:pPr>
        <w:spacing w:after="0" w:line="240" w:lineRule="auto"/>
        <w:jc w:val="center"/>
        <w:rPr>
          <w:rFonts w:ascii="Times New Roman" w:hAnsi="Times New Roman" w:cs="Times New Roman"/>
          <w:b/>
          <w:lang w:val="de-DE"/>
        </w:rPr>
      </w:pPr>
      <w:r w:rsidRPr="009737B5">
        <w:rPr>
          <w:rFonts w:ascii="Times New Roman" w:hAnsi="Times New Roman" w:cs="Times New Roman"/>
          <w:b/>
          <w:lang w:val="de-DE"/>
        </w:rPr>
        <w:br w:type="page"/>
      </w:r>
    </w:p>
    <w:p w14:paraId="19156036" w14:textId="77777777" w:rsidR="00E2353A" w:rsidRPr="009737B5" w:rsidRDefault="00E2353A" w:rsidP="007155C8">
      <w:pPr>
        <w:suppressAutoHyphens/>
        <w:spacing w:after="0" w:line="240" w:lineRule="auto"/>
        <w:jc w:val="center"/>
        <w:rPr>
          <w:rFonts w:ascii="Times New Roman" w:hAnsi="Times New Roman" w:cs="Times New Roman"/>
          <w:b/>
          <w:lang w:val="de-DE"/>
        </w:rPr>
      </w:pPr>
    </w:p>
    <w:p w14:paraId="6418A8B1" w14:textId="77777777" w:rsidR="00E2353A" w:rsidRPr="009737B5" w:rsidRDefault="00E2353A" w:rsidP="007155C8">
      <w:pPr>
        <w:suppressAutoHyphens/>
        <w:spacing w:after="0" w:line="240" w:lineRule="auto"/>
        <w:jc w:val="center"/>
        <w:rPr>
          <w:rFonts w:ascii="Times New Roman" w:hAnsi="Times New Roman" w:cs="Times New Roman"/>
          <w:b/>
          <w:lang w:val="de-DE"/>
        </w:rPr>
      </w:pPr>
      <w:r w:rsidRPr="009737B5">
        <w:rPr>
          <w:rFonts w:ascii="Times New Roman" w:hAnsi="Times New Roman" w:cs="Times New Roman"/>
          <w:b/>
          <w:lang w:val="de-DE"/>
        </w:rPr>
        <w:t>Gebrauchsinformation: Information für Anwender</w:t>
      </w:r>
    </w:p>
    <w:p w14:paraId="210C8D88" w14:textId="77777777" w:rsidR="00E2353A" w:rsidRPr="009737B5" w:rsidRDefault="00E2353A" w:rsidP="007155C8">
      <w:pPr>
        <w:suppressAutoHyphens/>
        <w:spacing w:after="0" w:line="240" w:lineRule="auto"/>
        <w:jc w:val="center"/>
        <w:rPr>
          <w:rFonts w:ascii="Times New Roman" w:hAnsi="Times New Roman" w:cs="Times New Roman"/>
          <w:b/>
          <w:lang w:val="de-DE"/>
        </w:rPr>
      </w:pPr>
    </w:p>
    <w:p w14:paraId="799E5E37" w14:textId="77777777" w:rsidR="00E2353A" w:rsidRPr="009737B5" w:rsidRDefault="00885FD1" w:rsidP="007155C8">
      <w:pPr>
        <w:suppressAutoHyphens/>
        <w:spacing w:after="0" w:line="240" w:lineRule="auto"/>
        <w:jc w:val="center"/>
        <w:rPr>
          <w:rFonts w:ascii="Times New Roman" w:hAnsi="Times New Roman" w:cs="Times New Roman"/>
          <w:b/>
          <w:lang w:val="de-DE"/>
        </w:rPr>
      </w:pPr>
      <w:r w:rsidRPr="009737B5">
        <w:rPr>
          <w:rFonts w:ascii="Times New Roman" w:hAnsi="Times New Roman" w:cs="Times New Roman"/>
          <w:b/>
          <w:lang w:val="de-DE"/>
        </w:rPr>
        <w:t>MVASI</w:t>
      </w:r>
      <w:r w:rsidR="005F768D" w:rsidRPr="009737B5">
        <w:rPr>
          <w:rFonts w:ascii="Times New Roman" w:hAnsi="Times New Roman" w:cs="Times New Roman"/>
          <w:b/>
          <w:lang w:val="de-DE"/>
        </w:rPr>
        <w:t xml:space="preserve"> </w:t>
      </w:r>
      <w:r w:rsidR="00E2353A" w:rsidRPr="009737B5">
        <w:rPr>
          <w:rFonts w:ascii="Times New Roman" w:hAnsi="Times New Roman" w:cs="Times New Roman"/>
          <w:b/>
          <w:lang w:val="de-DE"/>
        </w:rPr>
        <w:t>25</w:t>
      </w:r>
      <w:r w:rsidR="00AB26B9" w:rsidRPr="009737B5">
        <w:rPr>
          <w:rFonts w:ascii="Times New Roman" w:hAnsi="Times New Roman" w:cs="Times New Roman"/>
          <w:b/>
          <w:lang w:val="de-DE"/>
        </w:rPr>
        <w:t> mg</w:t>
      </w:r>
      <w:r w:rsidR="00C6251D" w:rsidRPr="009737B5">
        <w:rPr>
          <w:rFonts w:ascii="Times New Roman" w:hAnsi="Times New Roman" w:cs="Times New Roman"/>
          <w:b/>
          <w:lang w:val="de-DE"/>
        </w:rPr>
        <w:t>/ml</w:t>
      </w:r>
      <w:r w:rsidR="00E2353A" w:rsidRPr="009737B5">
        <w:rPr>
          <w:rFonts w:ascii="Times New Roman" w:hAnsi="Times New Roman" w:cs="Times New Roman"/>
          <w:b/>
          <w:lang w:val="de-DE"/>
        </w:rPr>
        <w:t xml:space="preserve"> Konzentrat zur Herstellung einer Infusionslösung</w:t>
      </w:r>
    </w:p>
    <w:p w14:paraId="4B914C94" w14:textId="77777777" w:rsidR="00E2353A" w:rsidRPr="009737B5" w:rsidRDefault="00E2353A" w:rsidP="007155C8">
      <w:pPr>
        <w:suppressAutoHyphens/>
        <w:spacing w:after="0" w:line="240" w:lineRule="auto"/>
        <w:jc w:val="center"/>
        <w:rPr>
          <w:rFonts w:ascii="Times New Roman" w:hAnsi="Times New Roman" w:cs="Times New Roman"/>
          <w:lang w:val="de-DE"/>
        </w:rPr>
      </w:pPr>
      <w:r w:rsidRPr="009737B5">
        <w:rPr>
          <w:rFonts w:ascii="Times New Roman" w:hAnsi="Times New Roman" w:cs="Times New Roman"/>
          <w:lang w:val="de-DE"/>
        </w:rPr>
        <w:t>Bevacizumab</w:t>
      </w:r>
    </w:p>
    <w:p w14:paraId="2033B97C" w14:textId="77777777" w:rsidR="00E2353A" w:rsidRPr="009737B5" w:rsidRDefault="00E2353A" w:rsidP="005F4D08">
      <w:pPr>
        <w:suppressAutoHyphens/>
        <w:spacing w:after="0" w:line="240" w:lineRule="auto"/>
        <w:rPr>
          <w:rFonts w:ascii="Times New Roman" w:hAnsi="Times New Roman" w:cs="Times New Roman"/>
          <w:lang w:val="de-DE"/>
        </w:rPr>
      </w:pPr>
    </w:p>
    <w:p w14:paraId="2ECD00E9" w14:textId="77777777" w:rsidR="00E2353A" w:rsidRPr="009737B5" w:rsidRDefault="00E2353A" w:rsidP="005F4D08">
      <w:pPr>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Lesen Sie die gesamte Packungsbeilage sorgfältig durch, bevor Sie mit der Anwendung dieses Arzneimittels beginnen, denn sie enthält wichtige Informationen.</w:t>
      </w:r>
    </w:p>
    <w:p w14:paraId="09A8C4DD" w14:textId="77777777" w:rsidR="00E2353A" w:rsidRPr="009737B5" w:rsidRDefault="00E2353A"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Heben Sie die Packungsbeilage auf. Vielleicht möchten Sie diese später nochmals lesen.</w:t>
      </w:r>
    </w:p>
    <w:p w14:paraId="2A94FA13" w14:textId="77777777" w:rsidR="00E2353A" w:rsidRPr="009737B5" w:rsidRDefault="00E2353A"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Wenn Sie weitere Fragen haben, wenden Sie sich an Ihren Arzt, Apotheker oder das medizinische Fachpersonal.</w:t>
      </w:r>
    </w:p>
    <w:p w14:paraId="304A6FB0" w14:textId="2FEE451B" w:rsidR="00E2353A" w:rsidRPr="009737B5" w:rsidRDefault="00E2353A"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Wenn Sie Nebenwirkungen bemerken, wenden Sie sich an Ihren Arzt, Apotheker oder das medizinische Fachpersonal. Dies gilt auch für Nebenwirkungen, die nicht in dieser Packungsbeilage angegeben sind. Siehe Abschnitt</w:t>
      </w:r>
      <w:r w:rsidR="00740FE6">
        <w:rPr>
          <w:rFonts w:ascii="Times New Roman" w:hAnsi="Times New Roman" w:cs="Times New Roman"/>
          <w:lang w:val="de-DE"/>
        </w:rPr>
        <w:t> </w:t>
      </w:r>
      <w:r w:rsidRPr="009737B5">
        <w:rPr>
          <w:rFonts w:ascii="Times New Roman" w:hAnsi="Times New Roman" w:cs="Times New Roman"/>
          <w:lang w:val="de-DE"/>
        </w:rPr>
        <w:t>4.</w:t>
      </w:r>
    </w:p>
    <w:p w14:paraId="32AB8309" w14:textId="77777777" w:rsidR="00E2353A" w:rsidRPr="009737B5" w:rsidRDefault="00E2353A" w:rsidP="005F4D08">
      <w:pPr>
        <w:suppressAutoHyphens/>
        <w:spacing w:after="0" w:line="240" w:lineRule="auto"/>
        <w:rPr>
          <w:rFonts w:ascii="Times New Roman" w:hAnsi="Times New Roman" w:cs="Times New Roman"/>
          <w:lang w:val="de-DE"/>
        </w:rPr>
      </w:pPr>
    </w:p>
    <w:p w14:paraId="78CED0C6" w14:textId="77777777" w:rsidR="00E2353A" w:rsidRPr="009737B5" w:rsidRDefault="00E2353A"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Was in dieser Packungsbeilage steht</w:t>
      </w:r>
    </w:p>
    <w:p w14:paraId="312C3A56" w14:textId="77777777" w:rsidR="00E2353A" w:rsidRPr="009737B5" w:rsidRDefault="00E2353A" w:rsidP="00762559">
      <w:pPr>
        <w:keepNext/>
        <w:suppressAutoHyphens/>
        <w:spacing w:after="0" w:line="240" w:lineRule="auto"/>
        <w:rPr>
          <w:rFonts w:ascii="Times New Roman" w:hAnsi="Times New Roman" w:cs="Times New Roman"/>
          <w:lang w:val="de-DE"/>
        </w:rPr>
      </w:pPr>
    </w:p>
    <w:p w14:paraId="08C6B935" w14:textId="77777777" w:rsidR="00E2353A" w:rsidRPr="009737B5" w:rsidRDefault="00E2353A" w:rsidP="00233ECD">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1.</w:t>
      </w:r>
      <w:r w:rsidRPr="009737B5">
        <w:rPr>
          <w:rFonts w:ascii="Times New Roman" w:hAnsi="Times New Roman" w:cs="Times New Roman"/>
          <w:lang w:val="de-DE"/>
        </w:rPr>
        <w:tab/>
        <w:t xml:space="preserve">Was ist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und wofür wird es angewendet?</w:t>
      </w:r>
    </w:p>
    <w:p w14:paraId="4ABBD010" w14:textId="77777777" w:rsidR="00E2353A" w:rsidRPr="009737B5" w:rsidRDefault="00E2353A" w:rsidP="00233ECD">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2.</w:t>
      </w:r>
      <w:r w:rsidRPr="009737B5">
        <w:rPr>
          <w:rFonts w:ascii="Times New Roman" w:hAnsi="Times New Roman" w:cs="Times New Roman"/>
          <w:lang w:val="de-DE"/>
        </w:rPr>
        <w:tab/>
        <w:t xml:space="preserve">Was sollten Sie vor der Anwendung von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beachten?</w:t>
      </w:r>
    </w:p>
    <w:p w14:paraId="2229DD4A" w14:textId="77777777" w:rsidR="00E2353A" w:rsidRPr="009737B5" w:rsidRDefault="00E2353A" w:rsidP="00233ECD">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3.</w:t>
      </w:r>
      <w:r w:rsidRPr="009737B5">
        <w:rPr>
          <w:rFonts w:ascii="Times New Roman" w:hAnsi="Times New Roman" w:cs="Times New Roman"/>
          <w:lang w:val="de-DE"/>
        </w:rPr>
        <w:tab/>
        <w:t xml:space="preserve">Wie ist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anzuwenden?</w:t>
      </w:r>
    </w:p>
    <w:p w14:paraId="3B1B33CE" w14:textId="77777777" w:rsidR="00E2353A" w:rsidRPr="009737B5" w:rsidRDefault="00E2353A" w:rsidP="00233ECD">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4.</w:t>
      </w:r>
      <w:r w:rsidRPr="009737B5">
        <w:rPr>
          <w:rFonts w:ascii="Times New Roman" w:hAnsi="Times New Roman" w:cs="Times New Roman"/>
          <w:lang w:val="de-DE"/>
        </w:rPr>
        <w:tab/>
        <w:t>Welche Nebenwirkungen sind möglich?</w:t>
      </w:r>
    </w:p>
    <w:p w14:paraId="1D9F2A19" w14:textId="77777777" w:rsidR="00E2353A" w:rsidRPr="009737B5" w:rsidRDefault="00E2353A" w:rsidP="00233ECD">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5.</w:t>
      </w:r>
      <w:r w:rsidRPr="009737B5">
        <w:rPr>
          <w:rFonts w:ascii="Times New Roman" w:hAnsi="Times New Roman" w:cs="Times New Roman"/>
          <w:lang w:val="de-DE"/>
        </w:rPr>
        <w:tab/>
        <w:t xml:space="preserve">Wie ist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aufzubewahren?</w:t>
      </w:r>
    </w:p>
    <w:p w14:paraId="7E1EC6C3" w14:textId="77777777" w:rsidR="00E2353A" w:rsidRPr="009737B5" w:rsidRDefault="00E2353A" w:rsidP="00233ECD">
      <w:p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6.</w:t>
      </w:r>
      <w:r w:rsidRPr="009737B5">
        <w:rPr>
          <w:rFonts w:ascii="Times New Roman" w:hAnsi="Times New Roman" w:cs="Times New Roman"/>
          <w:lang w:val="de-DE"/>
        </w:rPr>
        <w:tab/>
        <w:t>Inhalt der Packung und weitere Informationen</w:t>
      </w:r>
    </w:p>
    <w:p w14:paraId="7DBC2431" w14:textId="77777777" w:rsidR="00E2353A" w:rsidRPr="009737B5" w:rsidRDefault="00E2353A" w:rsidP="005F4D08">
      <w:pPr>
        <w:suppressAutoHyphens/>
        <w:spacing w:after="0" w:line="240" w:lineRule="auto"/>
        <w:rPr>
          <w:rFonts w:ascii="Times New Roman" w:hAnsi="Times New Roman" w:cs="Times New Roman"/>
          <w:lang w:val="de-DE"/>
        </w:rPr>
      </w:pPr>
    </w:p>
    <w:p w14:paraId="35C567A8" w14:textId="77777777" w:rsidR="00E2353A" w:rsidRPr="009737B5" w:rsidRDefault="00E2353A" w:rsidP="005F4D08">
      <w:pPr>
        <w:suppressAutoHyphens/>
        <w:spacing w:after="0" w:line="240" w:lineRule="auto"/>
        <w:rPr>
          <w:rFonts w:ascii="Times New Roman" w:hAnsi="Times New Roman" w:cs="Times New Roman"/>
          <w:lang w:val="de-DE"/>
        </w:rPr>
      </w:pPr>
    </w:p>
    <w:p w14:paraId="71267B9C" w14:textId="77777777" w:rsidR="00E2353A" w:rsidRPr="009737B5" w:rsidRDefault="0089185A" w:rsidP="00762559">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1.</w:t>
      </w:r>
      <w:r w:rsidR="00E2353A" w:rsidRPr="009737B5">
        <w:rPr>
          <w:rFonts w:ascii="Times New Roman" w:hAnsi="Times New Roman" w:cs="Times New Roman"/>
          <w:b/>
          <w:lang w:val="de-DE"/>
        </w:rPr>
        <w:tab/>
        <w:t xml:space="preserve">Was ist </w:t>
      </w:r>
      <w:r w:rsidR="00885FD1" w:rsidRPr="009737B5">
        <w:rPr>
          <w:rFonts w:ascii="Times New Roman" w:hAnsi="Times New Roman" w:cs="Times New Roman"/>
          <w:b/>
          <w:lang w:val="de-DE"/>
        </w:rPr>
        <w:t>MVASI</w:t>
      </w:r>
      <w:r w:rsidR="00E2353A" w:rsidRPr="009737B5">
        <w:rPr>
          <w:rFonts w:ascii="Times New Roman" w:hAnsi="Times New Roman" w:cs="Times New Roman"/>
          <w:b/>
          <w:lang w:val="de-DE"/>
        </w:rPr>
        <w:t xml:space="preserve"> und wofür wird es angewendet?</w:t>
      </w:r>
    </w:p>
    <w:p w14:paraId="6C60F8DE" w14:textId="77777777" w:rsidR="00E2353A" w:rsidRPr="009737B5" w:rsidRDefault="00E2353A" w:rsidP="00762559">
      <w:pPr>
        <w:keepNext/>
        <w:suppressAutoHyphens/>
        <w:spacing w:after="0" w:line="240" w:lineRule="auto"/>
        <w:rPr>
          <w:rFonts w:ascii="Times New Roman" w:hAnsi="Times New Roman" w:cs="Times New Roman"/>
          <w:lang w:val="de-DE"/>
        </w:rPr>
      </w:pPr>
    </w:p>
    <w:p w14:paraId="5F385DC0" w14:textId="77777777" w:rsidR="00E2353A"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enthält den wirksamen Bestandteil Bevacizumab, einen humanisierten monoklonalen</w:t>
      </w:r>
      <w:r w:rsidR="0089185A" w:rsidRPr="009737B5">
        <w:rPr>
          <w:rFonts w:ascii="Times New Roman" w:hAnsi="Times New Roman" w:cs="Times New Roman"/>
          <w:lang w:val="de-DE"/>
        </w:rPr>
        <w:t xml:space="preserve"> </w:t>
      </w:r>
      <w:r w:rsidR="00E2353A" w:rsidRPr="009737B5">
        <w:rPr>
          <w:rFonts w:ascii="Times New Roman" w:hAnsi="Times New Roman" w:cs="Times New Roman"/>
          <w:lang w:val="de-DE"/>
        </w:rPr>
        <w:t>Antikörper (ein bestimmter Eiweißstoff, der normalerweise vom Immunsystem gebildet wird, um den</w:t>
      </w:r>
      <w:r w:rsidR="0089185A" w:rsidRPr="009737B5">
        <w:rPr>
          <w:rFonts w:ascii="Times New Roman" w:hAnsi="Times New Roman" w:cs="Times New Roman"/>
          <w:lang w:val="de-DE"/>
        </w:rPr>
        <w:t xml:space="preserve"> </w:t>
      </w:r>
      <w:r w:rsidR="00E2353A" w:rsidRPr="009737B5">
        <w:rPr>
          <w:rFonts w:ascii="Times New Roman" w:hAnsi="Times New Roman" w:cs="Times New Roman"/>
          <w:lang w:val="de-DE"/>
        </w:rPr>
        <w:t>Körper vor Infektionen und Krebs zu schützen). Bevacizumab bindet selektiv an ein Protein mit der</w:t>
      </w:r>
      <w:r w:rsidR="0089185A" w:rsidRPr="009737B5">
        <w:rPr>
          <w:rFonts w:ascii="Times New Roman" w:hAnsi="Times New Roman" w:cs="Times New Roman"/>
          <w:lang w:val="de-DE"/>
        </w:rPr>
        <w:t xml:space="preserve"> </w:t>
      </w:r>
      <w:r w:rsidR="00E2353A" w:rsidRPr="009737B5">
        <w:rPr>
          <w:rFonts w:ascii="Times New Roman" w:hAnsi="Times New Roman" w:cs="Times New Roman"/>
          <w:lang w:val="de-DE"/>
        </w:rPr>
        <w:t>Bezeichnung „</w:t>
      </w:r>
      <w:r w:rsidR="00E2353A" w:rsidRPr="009737B5">
        <w:rPr>
          <w:rFonts w:ascii="Times New Roman" w:hAnsi="Times New Roman" w:cs="Times New Roman"/>
          <w:i/>
          <w:lang w:val="de-DE"/>
        </w:rPr>
        <w:t>Human Vascular Endothelial Growth Factor</w:t>
      </w:r>
      <w:r w:rsidR="00E2353A" w:rsidRPr="009737B5">
        <w:rPr>
          <w:rFonts w:ascii="Times New Roman" w:hAnsi="Times New Roman" w:cs="Times New Roman"/>
          <w:lang w:val="de-DE"/>
        </w:rPr>
        <w:t>“ (VEGF), ein menschlicher</w:t>
      </w:r>
      <w:r w:rsidR="0089185A" w:rsidRPr="009737B5">
        <w:rPr>
          <w:rFonts w:ascii="Times New Roman" w:hAnsi="Times New Roman" w:cs="Times New Roman"/>
          <w:lang w:val="de-DE"/>
        </w:rPr>
        <w:t xml:space="preserve"> </w:t>
      </w:r>
      <w:r w:rsidR="00E2353A" w:rsidRPr="009737B5">
        <w:rPr>
          <w:rFonts w:ascii="Times New Roman" w:hAnsi="Times New Roman" w:cs="Times New Roman"/>
          <w:lang w:val="de-DE"/>
        </w:rPr>
        <w:t>Gefäßwachstumsfaktor, der im Inneren der Blut- und Lymphgefäße des Körpers vorkommt. Das</w:t>
      </w:r>
      <w:r w:rsidR="0089185A" w:rsidRPr="009737B5">
        <w:rPr>
          <w:rFonts w:ascii="Times New Roman" w:hAnsi="Times New Roman" w:cs="Times New Roman"/>
          <w:lang w:val="de-DE"/>
        </w:rPr>
        <w:t xml:space="preserve"> </w:t>
      </w:r>
      <w:r w:rsidR="00E2353A" w:rsidRPr="009737B5">
        <w:rPr>
          <w:rFonts w:ascii="Times New Roman" w:hAnsi="Times New Roman" w:cs="Times New Roman"/>
          <w:lang w:val="de-DE"/>
        </w:rPr>
        <w:t>Protein VEGF bewirkt das Wachstum der Blutgefäße in einem Tumor, die wiederum den Tumor mit Nährstoffen und Sauerstoff versorgen. Sobald sich jedoch Bevacizumab an VEGF angelagert hat, wird das Tumorwachstum verhindert, indem das Wachstum der Blutgefäße blockiert wird, die den Tumor mit Nährstoffen und Sauerstoff versorgen.</w:t>
      </w:r>
    </w:p>
    <w:p w14:paraId="10716765" w14:textId="77777777" w:rsidR="00E2353A" w:rsidRPr="009737B5" w:rsidRDefault="00E2353A" w:rsidP="005F4D08">
      <w:pPr>
        <w:suppressAutoHyphens/>
        <w:spacing w:after="0" w:line="240" w:lineRule="auto"/>
        <w:rPr>
          <w:rFonts w:ascii="Times New Roman" w:hAnsi="Times New Roman" w:cs="Times New Roman"/>
          <w:lang w:val="de-DE"/>
        </w:rPr>
      </w:pPr>
    </w:p>
    <w:p w14:paraId="69983C98" w14:textId="62DDE137" w:rsidR="00E2353A"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ist ein Arzneimittel, das zur Behandlung von erwachsenen Patienten mit fortgeschrittenem</w:t>
      </w:r>
      <w:r w:rsidR="0089185A" w:rsidRPr="009737B5">
        <w:rPr>
          <w:rFonts w:ascii="Times New Roman" w:hAnsi="Times New Roman" w:cs="Times New Roman"/>
          <w:lang w:val="de-DE"/>
        </w:rPr>
        <w:t xml:space="preserve"> </w:t>
      </w:r>
      <w:r w:rsidR="00E2353A" w:rsidRPr="009737B5">
        <w:rPr>
          <w:rFonts w:ascii="Times New Roman" w:hAnsi="Times New Roman" w:cs="Times New Roman"/>
          <w:lang w:val="de-DE"/>
        </w:rPr>
        <w:t>Dickdarmkrebs, d.</w:t>
      </w:r>
      <w:r w:rsidR="00C004B9">
        <w:rPr>
          <w:rFonts w:ascii="Times New Roman" w:hAnsi="Times New Roman" w:cs="Times New Roman"/>
          <w:lang w:val="de-DE"/>
        </w:rPr>
        <w:t> </w:t>
      </w:r>
      <w:r w:rsidR="00E2353A" w:rsidRPr="009737B5">
        <w:rPr>
          <w:rFonts w:ascii="Times New Roman" w:hAnsi="Times New Roman" w:cs="Times New Roman"/>
          <w:lang w:val="de-DE"/>
        </w:rPr>
        <w:t xml:space="preserve">h. des Krebs im Dick- oder Enddarm, angewendet wird. </w:t>
      </w: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wird in Kombination mit einer Chemotherapie-Behandlung angewendet, die ein Arzneimittel aus der Wirkstoffgruppe der Fluoropyrimidine enthält.</w:t>
      </w:r>
    </w:p>
    <w:p w14:paraId="1059882F" w14:textId="77777777" w:rsidR="00E2353A" w:rsidRPr="009737B5" w:rsidRDefault="00E2353A" w:rsidP="005F4D08">
      <w:pPr>
        <w:suppressAutoHyphens/>
        <w:spacing w:after="0" w:line="240" w:lineRule="auto"/>
        <w:rPr>
          <w:rFonts w:ascii="Times New Roman" w:hAnsi="Times New Roman" w:cs="Times New Roman"/>
          <w:lang w:val="de-DE"/>
        </w:rPr>
      </w:pPr>
    </w:p>
    <w:p w14:paraId="3BB14C1C" w14:textId="20F2FD07" w:rsidR="008D507C" w:rsidRDefault="00AD34F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wird ebenfalls zur Behandlung von erwachsenen Patienten mit metastasiertem Brustkrebs angewendet. In diesem Fall wird </w:t>
      </w: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zusammen mit einer Chemotherapie mit de</w:t>
      </w:r>
      <w:r w:rsidR="00723A02">
        <w:rPr>
          <w:rFonts w:ascii="Times New Roman" w:hAnsi="Times New Roman" w:cs="Times New Roman"/>
          <w:lang w:val="de-DE"/>
        </w:rPr>
        <w:t>n</w:t>
      </w:r>
      <w:r w:rsidR="00E2353A" w:rsidRPr="009737B5">
        <w:rPr>
          <w:rFonts w:ascii="Times New Roman" w:hAnsi="Times New Roman" w:cs="Times New Roman"/>
          <w:lang w:val="de-DE"/>
        </w:rPr>
        <w:t xml:space="preserve"> Wirkstoff</w:t>
      </w:r>
      <w:r w:rsidR="00723A02">
        <w:rPr>
          <w:rFonts w:ascii="Times New Roman" w:hAnsi="Times New Roman" w:cs="Times New Roman"/>
          <w:lang w:val="de-DE"/>
        </w:rPr>
        <w:t>en</w:t>
      </w:r>
      <w:r w:rsidR="00E2353A" w:rsidRPr="009737B5">
        <w:rPr>
          <w:rFonts w:ascii="Times New Roman" w:hAnsi="Times New Roman" w:cs="Times New Roman"/>
          <w:lang w:val="de-DE"/>
        </w:rPr>
        <w:t xml:space="preserve"> Paclitaxel</w:t>
      </w:r>
      <w:r w:rsidR="003653AE">
        <w:rPr>
          <w:rFonts w:ascii="Times New Roman" w:hAnsi="Times New Roman" w:cs="Times New Roman"/>
          <w:lang w:val="de-DE"/>
        </w:rPr>
        <w:t xml:space="preserve"> oder Capecitabin</w:t>
      </w:r>
      <w:r w:rsidR="00E2353A" w:rsidRPr="009737B5">
        <w:rPr>
          <w:rFonts w:ascii="Times New Roman" w:hAnsi="Times New Roman" w:cs="Times New Roman"/>
          <w:lang w:val="de-DE"/>
        </w:rPr>
        <w:t xml:space="preserve"> angewendet.</w:t>
      </w:r>
    </w:p>
    <w:p w14:paraId="68FFE577" w14:textId="77777777" w:rsidR="008D507C" w:rsidRPr="009737B5" w:rsidRDefault="008D507C" w:rsidP="005F4D08">
      <w:pPr>
        <w:suppressAutoHyphens/>
        <w:spacing w:after="0" w:line="240" w:lineRule="auto"/>
        <w:rPr>
          <w:rFonts w:ascii="Times New Roman" w:hAnsi="Times New Roman" w:cs="Times New Roman"/>
          <w:lang w:val="de-DE"/>
        </w:rPr>
      </w:pPr>
    </w:p>
    <w:p w14:paraId="46667E4B" w14:textId="77777777" w:rsidR="00E2353A"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wird auch zur Behandlung von erwachsenen Patiente</w:t>
      </w:r>
      <w:r w:rsidR="00182FFC" w:rsidRPr="009737B5">
        <w:rPr>
          <w:rFonts w:ascii="Times New Roman" w:hAnsi="Times New Roman" w:cs="Times New Roman"/>
          <w:lang w:val="de-DE"/>
        </w:rPr>
        <w:t>n mit fortgeschrittenem nicht-</w:t>
      </w:r>
      <w:r w:rsidR="00E2353A" w:rsidRPr="009737B5">
        <w:rPr>
          <w:rFonts w:ascii="Times New Roman" w:hAnsi="Times New Roman" w:cs="Times New Roman"/>
          <w:lang w:val="de-DE"/>
        </w:rPr>
        <w:t xml:space="preserve">kleinzelligem Lungenkrebs angewendet. </w:t>
      </w: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wird in diesem Fall zusammen mit einer platinhaltigen Chemotherapie angewendet.</w:t>
      </w:r>
    </w:p>
    <w:p w14:paraId="6507EC85" w14:textId="77777777" w:rsidR="00E2353A" w:rsidRPr="009737B5" w:rsidRDefault="00E2353A" w:rsidP="005F4D08">
      <w:pPr>
        <w:suppressAutoHyphens/>
        <w:spacing w:after="0" w:line="240" w:lineRule="auto"/>
        <w:rPr>
          <w:rFonts w:ascii="Times New Roman" w:hAnsi="Times New Roman" w:cs="Times New Roman"/>
          <w:lang w:val="de-DE"/>
        </w:rPr>
      </w:pPr>
    </w:p>
    <w:p w14:paraId="68F01D91" w14:textId="77777777" w:rsidR="008D507C" w:rsidRPr="001661A9" w:rsidRDefault="008D507C" w:rsidP="008D507C">
      <w:pPr>
        <w:suppressAutoHyphens/>
        <w:spacing w:after="0" w:line="240" w:lineRule="auto"/>
        <w:rPr>
          <w:rFonts w:ascii="Times New Roman" w:hAnsi="Times New Roman" w:cs="Times New Roman"/>
          <w:lang w:val="de-DE"/>
        </w:rPr>
      </w:pPr>
      <w:r w:rsidRPr="001661A9">
        <w:rPr>
          <w:rFonts w:ascii="Times New Roman" w:hAnsi="Times New Roman" w:cs="Times New Roman"/>
          <w:lang w:val="de-DE"/>
        </w:rPr>
        <w:t>MVASI wird auch zur Behandlung von erwachsenen Patienten mit fortgeschrittenem, nicht-kleinzelligem Lungenkrebs angewendet, wenn die Krebszellen eine bestimmte Mutation eines Proteins, dem epidermalen Wachstumsfaktorrezeptor (EGFR) haben. MVASI wird in diesem Fall zusammen mit Erlotinib angewendet.</w:t>
      </w:r>
    </w:p>
    <w:p w14:paraId="5EAB3AE3" w14:textId="77777777" w:rsidR="008D507C" w:rsidRPr="008D507C" w:rsidRDefault="008D507C" w:rsidP="008D507C">
      <w:pPr>
        <w:suppressAutoHyphens/>
        <w:spacing w:after="0" w:line="240" w:lineRule="auto"/>
        <w:rPr>
          <w:rFonts w:ascii="Times New Roman" w:hAnsi="Times New Roman" w:cs="Times New Roman"/>
          <w:lang w:val="de-DE"/>
        </w:rPr>
      </w:pPr>
    </w:p>
    <w:p w14:paraId="5C9846E0" w14:textId="77777777" w:rsidR="00E2353A"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lastRenderedPageBreak/>
        <w:t>MVASI</w:t>
      </w:r>
      <w:r w:rsidR="00E2353A" w:rsidRPr="009737B5">
        <w:rPr>
          <w:rFonts w:ascii="Times New Roman" w:hAnsi="Times New Roman" w:cs="Times New Roman"/>
          <w:lang w:val="de-DE"/>
        </w:rPr>
        <w:t xml:space="preserve"> wird des Weiteren zur Behandlung von erwachsenen Patienten mit fortgeschrittenem Nierenkrebs angewendet. In diesem Fall wird </w:t>
      </w: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zusammen mit einem anderen Arzneimittel mit dem Wirkstoff Interferon angewendet.</w:t>
      </w:r>
    </w:p>
    <w:p w14:paraId="58E3D58B" w14:textId="77777777" w:rsidR="0089185A" w:rsidRPr="009737B5" w:rsidRDefault="0089185A" w:rsidP="005F4D08">
      <w:pPr>
        <w:suppressAutoHyphens/>
        <w:spacing w:after="0" w:line="240" w:lineRule="auto"/>
        <w:rPr>
          <w:rFonts w:ascii="Times New Roman" w:hAnsi="Times New Roman" w:cs="Times New Roman"/>
          <w:lang w:val="de-DE"/>
        </w:rPr>
      </w:pPr>
    </w:p>
    <w:p w14:paraId="37840AFD" w14:textId="77777777" w:rsidR="00E2353A"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wird ebenfalls zur Erstbehandlung von erwachsenen Patienten mit fortgeschrittenem</w:t>
      </w:r>
      <w:r w:rsidR="0089185A" w:rsidRPr="009737B5">
        <w:rPr>
          <w:rFonts w:ascii="Times New Roman" w:hAnsi="Times New Roman" w:cs="Times New Roman"/>
          <w:lang w:val="de-DE"/>
        </w:rPr>
        <w:t xml:space="preserve"> </w:t>
      </w:r>
      <w:r w:rsidR="00755753" w:rsidRPr="009737B5">
        <w:rPr>
          <w:rFonts w:ascii="Times New Roman" w:hAnsi="Times New Roman" w:cs="Times New Roman"/>
          <w:lang w:val="de-DE"/>
        </w:rPr>
        <w:t xml:space="preserve">epithelialen </w:t>
      </w:r>
      <w:r w:rsidR="00E2353A" w:rsidRPr="009737B5">
        <w:rPr>
          <w:rFonts w:ascii="Times New Roman" w:hAnsi="Times New Roman" w:cs="Times New Roman"/>
          <w:lang w:val="de-DE"/>
        </w:rPr>
        <w:t xml:space="preserve">Eierstock- oder Eileiterkrebs oder primärem Bauchfellkrebs angewendet. Bei der Anwendung bei Patienten mit Eierstock- oder Eileiterkrebs oder primärem Bauchfellkrebs wird </w:t>
      </w: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in Kombination mit Carboplatin und Paclitaxel angewendet.</w:t>
      </w:r>
    </w:p>
    <w:p w14:paraId="5FA66F6A" w14:textId="77777777" w:rsidR="00E2353A" w:rsidRPr="009737B5" w:rsidRDefault="00E2353A" w:rsidP="005F4D08">
      <w:pPr>
        <w:suppressAutoHyphens/>
        <w:spacing w:after="0" w:line="240" w:lineRule="auto"/>
        <w:rPr>
          <w:rFonts w:ascii="Times New Roman" w:hAnsi="Times New Roman" w:cs="Times New Roman"/>
          <w:lang w:val="de-DE"/>
        </w:rPr>
      </w:pPr>
    </w:p>
    <w:p w14:paraId="0F0D17BE" w14:textId="7515F4F6"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erwachsenen Patienten mit fortgeschrittenem epithelialen Eierstockkrebs, Eileiterkrebs oder primärem Bauchfellkrebs, deren Erkrankung nach Ablauf von wenigstens 6</w:t>
      </w:r>
      <w:r w:rsidR="00740FE6">
        <w:rPr>
          <w:rFonts w:ascii="Times New Roman" w:hAnsi="Times New Roman" w:cs="Times New Roman"/>
          <w:lang w:val="de-DE"/>
        </w:rPr>
        <w:t> </w:t>
      </w:r>
      <w:r w:rsidRPr="009737B5">
        <w:rPr>
          <w:rFonts w:ascii="Times New Roman" w:hAnsi="Times New Roman" w:cs="Times New Roman"/>
          <w:lang w:val="de-DE"/>
        </w:rPr>
        <w:t xml:space="preserve">Monaten seit der letzten Behandlung mit einer platinhaltigen Chemotherapie wieder aufgetreten ist, wird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in Kombination mit Carboplatin und Gemcitabin oder mit Carboplatin und Paclitaxel angewendet.</w:t>
      </w:r>
    </w:p>
    <w:p w14:paraId="04548C86" w14:textId="77777777" w:rsidR="00E2353A" w:rsidRPr="009737B5" w:rsidRDefault="00E2353A" w:rsidP="005F4D08">
      <w:pPr>
        <w:suppressAutoHyphens/>
        <w:spacing w:after="0" w:line="240" w:lineRule="auto"/>
        <w:rPr>
          <w:rFonts w:ascii="Times New Roman" w:hAnsi="Times New Roman" w:cs="Times New Roman"/>
          <w:lang w:val="de-DE"/>
        </w:rPr>
      </w:pPr>
    </w:p>
    <w:p w14:paraId="3A9FA282" w14:textId="6663767A"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erwachsenen Patienten mit fortgeschrittenem epithelialen Eierstockkrebs, Eileiterkrebs oder primärem Bauchfellkrebs, deren Erkrankung bis zu 6</w:t>
      </w:r>
      <w:r w:rsidR="00740FE6">
        <w:rPr>
          <w:rFonts w:ascii="Times New Roman" w:hAnsi="Times New Roman" w:cs="Times New Roman"/>
          <w:lang w:val="de-DE"/>
        </w:rPr>
        <w:t> </w:t>
      </w:r>
      <w:r w:rsidRPr="009737B5">
        <w:rPr>
          <w:rFonts w:ascii="Times New Roman" w:hAnsi="Times New Roman" w:cs="Times New Roman"/>
          <w:lang w:val="de-DE"/>
        </w:rPr>
        <w:t xml:space="preserve">Monate nach der letzten Behandlung mit einer platinhaltigen Chemotherapie wieder aufgetreten ist, wird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in Kombination mit </w:t>
      </w:r>
      <w:r w:rsidR="002F74A8">
        <w:rPr>
          <w:rFonts w:ascii="Times New Roman" w:hAnsi="Times New Roman" w:cs="Times New Roman"/>
          <w:lang w:val="de-DE"/>
        </w:rPr>
        <w:t xml:space="preserve">Paclitaxel, </w:t>
      </w:r>
      <w:r w:rsidRPr="009737B5">
        <w:rPr>
          <w:rFonts w:ascii="Times New Roman" w:hAnsi="Times New Roman" w:cs="Times New Roman"/>
          <w:lang w:val="de-DE"/>
        </w:rPr>
        <w:t>Topotecan oder pegyliertem liposomalen Doxorubicin angewendet.</w:t>
      </w:r>
    </w:p>
    <w:p w14:paraId="192A270D" w14:textId="77777777" w:rsidR="00E2353A" w:rsidRPr="009737B5" w:rsidRDefault="00E2353A" w:rsidP="005F4D08">
      <w:pPr>
        <w:suppressAutoHyphens/>
        <w:spacing w:after="0" w:line="240" w:lineRule="auto"/>
        <w:rPr>
          <w:rFonts w:ascii="Times New Roman" w:hAnsi="Times New Roman" w:cs="Times New Roman"/>
          <w:lang w:val="de-DE"/>
        </w:rPr>
      </w:pPr>
    </w:p>
    <w:p w14:paraId="0128DEB1" w14:textId="77777777" w:rsidR="00E2353A"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wird auch zur Behandlung von erwachsenen Patienten mit Gebärmutterhalskrebs angewendet, wenn die Erkrankung andauert, wieder aufgetreten oder metastasiert ist. </w:t>
      </w: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wird in Kombination mit Paclitaxel und Cisplatin verabreicht oder alternativ mit Paclitaxel und Topotecan bei Patienten, die keine platinhaltige Therapie erhalten können.</w:t>
      </w:r>
    </w:p>
    <w:p w14:paraId="17F3CBEC" w14:textId="77777777" w:rsidR="00E2353A" w:rsidRPr="009737B5" w:rsidRDefault="00E2353A" w:rsidP="005F4D08">
      <w:pPr>
        <w:suppressAutoHyphens/>
        <w:spacing w:after="0" w:line="240" w:lineRule="auto"/>
        <w:rPr>
          <w:rFonts w:ascii="Times New Roman" w:hAnsi="Times New Roman" w:cs="Times New Roman"/>
          <w:lang w:val="de-DE"/>
        </w:rPr>
      </w:pPr>
    </w:p>
    <w:p w14:paraId="7EE2E93C" w14:textId="77777777" w:rsidR="00E2353A" w:rsidRPr="009737B5" w:rsidRDefault="00E2353A" w:rsidP="005F4D08">
      <w:pPr>
        <w:suppressAutoHyphens/>
        <w:spacing w:after="0" w:line="240" w:lineRule="auto"/>
        <w:rPr>
          <w:rFonts w:ascii="Times New Roman" w:hAnsi="Times New Roman" w:cs="Times New Roman"/>
          <w:lang w:val="de-DE"/>
        </w:rPr>
      </w:pPr>
    </w:p>
    <w:p w14:paraId="621A9998" w14:textId="77777777" w:rsidR="00E2353A" w:rsidRPr="009737B5" w:rsidRDefault="0089185A" w:rsidP="006C7EF0">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2.</w:t>
      </w:r>
      <w:r w:rsidR="00E2353A" w:rsidRPr="009737B5">
        <w:rPr>
          <w:rFonts w:ascii="Times New Roman" w:hAnsi="Times New Roman" w:cs="Times New Roman"/>
          <w:b/>
          <w:lang w:val="de-DE"/>
        </w:rPr>
        <w:tab/>
        <w:t xml:space="preserve">Was sollten Sie vor der Anwendung von </w:t>
      </w:r>
      <w:r w:rsidR="00885FD1" w:rsidRPr="009737B5">
        <w:rPr>
          <w:rFonts w:ascii="Times New Roman" w:hAnsi="Times New Roman" w:cs="Times New Roman"/>
          <w:b/>
          <w:lang w:val="de-DE"/>
        </w:rPr>
        <w:t>MVASI</w:t>
      </w:r>
      <w:r w:rsidR="00E2353A" w:rsidRPr="009737B5">
        <w:rPr>
          <w:rFonts w:ascii="Times New Roman" w:hAnsi="Times New Roman" w:cs="Times New Roman"/>
          <w:b/>
          <w:lang w:val="de-DE"/>
        </w:rPr>
        <w:t xml:space="preserve"> beachten?</w:t>
      </w:r>
    </w:p>
    <w:p w14:paraId="42444E19" w14:textId="77777777" w:rsidR="005F768D" w:rsidRPr="009737B5" w:rsidRDefault="005F768D" w:rsidP="000B6CC4">
      <w:pPr>
        <w:suppressAutoHyphens/>
        <w:spacing w:after="0" w:line="240" w:lineRule="auto"/>
        <w:rPr>
          <w:rFonts w:ascii="Times New Roman" w:hAnsi="Times New Roman" w:cs="Times New Roman"/>
          <w:lang w:val="de-DE"/>
        </w:rPr>
      </w:pPr>
    </w:p>
    <w:p w14:paraId="5174F4FD" w14:textId="3996AE65" w:rsidR="00E2353A" w:rsidRPr="009737B5" w:rsidRDefault="00885FD1"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MVASI</w:t>
      </w:r>
      <w:r w:rsidR="00762559" w:rsidRPr="009737B5">
        <w:rPr>
          <w:rFonts w:ascii="Times New Roman" w:hAnsi="Times New Roman" w:cs="Times New Roman"/>
          <w:b/>
          <w:lang w:val="de-DE"/>
        </w:rPr>
        <w:t xml:space="preserve"> darf nicht angewendet werden</w:t>
      </w:r>
      <w:r w:rsidR="002F74A8">
        <w:rPr>
          <w:rFonts w:ascii="Times New Roman" w:hAnsi="Times New Roman" w:cs="Times New Roman"/>
          <w:b/>
          <w:lang w:val="de-DE"/>
        </w:rPr>
        <w:t>,</w:t>
      </w:r>
    </w:p>
    <w:p w14:paraId="0EE77AEF" w14:textId="77777777" w:rsidR="00762559" w:rsidRPr="00FF7FCC" w:rsidRDefault="00762559" w:rsidP="00762559">
      <w:pPr>
        <w:keepNext/>
        <w:suppressAutoHyphens/>
        <w:spacing w:after="0" w:line="240" w:lineRule="auto"/>
        <w:rPr>
          <w:rFonts w:ascii="Times New Roman" w:hAnsi="Times New Roman" w:cs="Times New Roman"/>
          <w:b/>
          <w:lang w:val="de-DE"/>
        </w:rPr>
      </w:pPr>
    </w:p>
    <w:p w14:paraId="6163E150" w14:textId="10C522EE" w:rsidR="00E2353A" w:rsidRPr="009737B5" w:rsidRDefault="00E2353A"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wenn Sie allergisch gegen Bevacizumab oder einen der in Abschnitt</w:t>
      </w:r>
      <w:r w:rsidR="00740FE6">
        <w:rPr>
          <w:rFonts w:ascii="Times New Roman" w:hAnsi="Times New Roman" w:cs="Times New Roman"/>
          <w:lang w:val="de-DE"/>
        </w:rPr>
        <w:t> </w:t>
      </w:r>
      <w:r w:rsidRPr="009737B5">
        <w:rPr>
          <w:rFonts w:ascii="Times New Roman" w:hAnsi="Times New Roman" w:cs="Times New Roman"/>
          <w:lang w:val="de-DE"/>
        </w:rPr>
        <w:t>6. genannten sonstigen Bestandteile dieses Arzneimittels sind,</w:t>
      </w:r>
    </w:p>
    <w:p w14:paraId="4FC7A6A2" w14:textId="3CD6DF55" w:rsidR="00E2353A" w:rsidRPr="009737B5" w:rsidRDefault="00E2353A"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wenn Sie allergisch gegen CHO-Zellprodukte (CHO</w:t>
      </w:r>
      <w:r w:rsidR="00740FE6">
        <w:rPr>
          <w:rFonts w:ascii="Times New Roman" w:hAnsi="Times New Roman" w:cs="Times New Roman"/>
          <w:lang w:val="de-DE"/>
        </w:rPr>
        <w:t> </w:t>
      </w:r>
      <w:r w:rsidRPr="009737B5">
        <w:rPr>
          <w:rFonts w:ascii="Times New Roman" w:hAnsi="Times New Roman" w:cs="Times New Roman"/>
          <w:lang w:val="de-DE"/>
        </w:rPr>
        <w:t>=</w:t>
      </w:r>
      <w:r w:rsidR="00740FE6">
        <w:rPr>
          <w:rFonts w:ascii="Times New Roman" w:hAnsi="Times New Roman" w:cs="Times New Roman"/>
          <w:lang w:val="de-DE"/>
        </w:rPr>
        <w:t> </w:t>
      </w:r>
      <w:r w:rsidRPr="00D87918">
        <w:rPr>
          <w:rFonts w:ascii="Times New Roman" w:hAnsi="Times New Roman" w:cs="Times New Roman"/>
          <w:i/>
          <w:iCs/>
          <w:lang w:val="de-DE"/>
        </w:rPr>
        <w:t>Chinese Hamster Ovary</w:t>
      </w:r>
      <w:r w:rsidRPr="009737B5">
        <w:rPr>
          <w:rFonts w:ascii="Times New Roman" w:hAnsi="Times New Roman" w:cs="Times New Roman"/>
          <w:lang w:val="de-DE"/>
        </w:rPr>
        <w:t>, Eizellen des chinesischen Hamsters) oder andere rekombinante humane oder humanisierte Antikörper sind,</w:t>
      </w:r>
    </w:p>
    <w:p w14:paraId="39507642" w14:textId="77777777" w:rsidR="00E2353A" w:rsidRPr="009737B5" w:rsidRDefault="00E2353A"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wenn Sie schwanger sind.</w:t>
      </w:r>
    </w:p>
    <w:p w14:paraId="5ED5A0E9" w14:textId="77777777" w:rsidR="00E2353A" w:rsidRPr="00BD78D7" w:rsidRDefault="00E2353A" w:rsidP="005F4D08">
      <w:pPr>
        <w:suppressAutoHyphens/>
        <w:spacing w:after="0" w:line="240" w:lineRule="auto"/>
        <w:rPr>
          <w:rFonts w:ascii="Times New Roman" w:hAnsi="Times New Roman" w:cs="Times New Roman"/>
        </w:rPr>
      </w:pPr>
    </w:p>
    <w:p w14:paraId="448AE9CE" w14:textId="77777777" w:rsidR="00E2353A" w:rsidRPr="009737B5" w:rsidRDefault="00E2353A"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Warnhinweise und Vorsichtsmaßnahmen</w:t>
      </w:r>
    </w:p>
    <w:p w14:paraId="2038518A" w14:textId="77777777" w:rsidR="00762559" w:rsidRPr="009737B5" w:rsidRDefault="00762559" w:rsidP="00762559">
      <w:pPr>
        <w:keepNext/>
        <w:suppressAutoHyphens/>
        <w:spacing w:after="0" w:line="240" w:lineRule="auto"/>
        <w:rPr>
          <w:rFonts w:ascii="Times New Roman" w:hAnsi="Times New Roman" w:cs="Times New Roman"/>
          <w:lang w:val="de-DE"/>
        </w:rPr>
      </w:pPr>
    </w:p>
    <w:p w14:paraId="2B9CDC79"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Bitte sprechen Sie mit Ihrem Arzt, Apotheker oder dem medizinischen Fachpersonal, bevor Sie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anwenden.</w:t>
      </w:r>
    </w:p>
    <w:p w14:paraId="3BC2D06B" w14:textId="77777777" w:rsidR="00E2353A" w:rsidRPr="009737B5" w:rsidRDefault="00E2353A" w:rsidP="005F4D08">
      <w:pPr>
        <w:suppressAutoHyphens/>
        <w:spacing w:after="0" w:line="240" w:lineRule="auto"/>
        <w:rPr>
          <w:rFonts w:ascii="Times New Roman" w:hAnsi="Times New Roman" w:cs="Times New Roman"/>
          <w:lang w:val="de-DE"/>
        </w:rPr>
      </w:pPr>
    </w:p>
    <w:p w14:paraId="3BC27722" w14:textId="1A42A290" w:rsidR="00E2353A" w:rsidRPr="009737B5" w:rsidRDefault="00885FD1"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kann das Risiko erhöhen, Löcher in der Darmwand zu entwickeln. Wenn Sie Erkrankungen haben, die eine Entzündung im Bauchraum hervorrufen (z.</w:t>
      </w:r>
      <w:r w:rsidR="00905FDC">
        <w:rPr>
          <w:rFonts w:ascii="Times New Roman" w:hAnsi="Times New Roman" w:cs="Times New Roman"/>
          <w:lang w:val="de-DE"/>
        </w:rPr>
        <w:t> </w:t>
      </w:r>
      <w:r w:rsidR="00E2353A" w:rsidRPr="009737B5">
        <w:rPr>
          <w:rFonts w:ascii="Times New Roman" w:hAnsi="Times New Roman" w:cs="Times New Roman"/>
          <w:lang w:val="de-DE"/>
        </w:rPr>
        <w:t>B. Divertikulitis, Magengeschwüre, Entzündungen des Dickdarmes nach einer Chemotherapie), wenden Sie sich an Ihren Arzt.</w:t>
      </w:r>
    </w:p>
    <w:p w14:paraId="2E611A29" w14:textId="77777777" w:rsidR="00E2353A" w:rsidRPr="009737B5" w:rsidRDefault="00885FD1"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kann das Risiko erhöhen, eine anormale Verbindung oder einen Durchlass zwischen zwei Organen oder Gefäßen zu entwickeln. Das Risiko, dass sich Verbindungen zwischen der Vagina und Teilen des Darms bilden, kann erhöht sein, wenn Sie einen andauernden, wiederaufgetretenen oder metastasierten Gebärmutterhalskrebs haben.</w:t>
      </w:r>
    </w:p>
    <w:p w14:paraId="5E356352" w14:textId="6CEFA6F0" w:rsidR="00E2353A" w:rsidRPr="009737B5" w:rsidRDefault="00537F24" w:rsidP="001E050B">
      <w:pPr>
        <w:pStyle w:val="ListParagraph"/>
        <w:numPr>
          <w:ilvl w:val="0"/>
          <w:numId w:val="1"/>
        </w:numPr>
        <w:suppressAutoHyphens/>
        <w:spacing w:after="0" w:line="240" w:lineRule="auto"/>
        <w:ind w:left="567" w:hanging="567"/>
        <w:rPr>
          <w:rFonts w:ascii="Times New Roman" w:hAnsi="Times New Roman" w:cs="Times New Roman"/>
          <w:lang w:val="de-DE"/>
        </w:rPr>
      </w:pPr>
      <w:r>
        <w:rPr>
          <w:rFonts w:ascii="Times New Roman" w:hAnsi="Times New Roman" w:cs="Times New Roman"/>
          <w:lang w:val="de-DE"/>
        </w:rPr>
        <w:t>Dieses Arzneimittel</w:t>
      </w:r>
      <w:r w:rsidRPr="009737B5">
        <w:rPr>
          <w:rFonts w:ascii="Times New Roman" w:hAnsi="Times New Roman" w:cs="Times New Roman"/>
          <w:lang w:val="de-DE"/>
        </w:rPr>
        <w:t xml:space="preserve"> </w:t>
      </w:r>
      <w:r w:rsidR="00E2353A" w:rsidRPr="009737B5">
        <w:rPr>
          <w:rFonts w:ascii="Times New Roman" w:hAnsi="Times New Roman" w:cs="Times New Roman"/>
          <w:lang w:val="de-DE"/>
        </w:rPr>
        <w:t>kann das Risiko für Blutungen oder Wundheilungsstörungen nach einer Operation erhöhen. Wenn bei Ihnen in nächster Zeit eine Operation ansteht, wenn Sie sich in den letzten 28</w:t>
      </w:r>
      <w:r w:rsidR="00740FE6">
        <w:rPr>
          <w:rFonts w:ascii="Times New Roman" w:hAnsi="Times New Roman" w:cs="Times New Roman"/>
          <w:lang w:val="de-DE"/>
        </w:rPr>
        <w:t> </w:t>
      </w:r>
      <w:r w:rsidR="00E2353A" w:rsidRPr="009737B5">
        <w:rPr>
          <w:rFonts w:ascii="Times New Roman" w:hAnsi="Times New Roman" w:cs="Times New Roman"/>
          <w:lang w:val="de-DE"/>
        </w:rPr>
        <w:t>Tagen einer größeren Operation unterzogen haben oder wenn Sie eine noch nicht verheilte Operationswunde haben, sollen Sie dieses Arzneimittel nicht erhalten.</w:t>
      </w:r>
    </w:p>
    <w:p w14:paraId="4130251E" w14:textId="77777777" w:rsidR="00E2353A" w:rsidRPr="009737B5" w:rsidRDefault="00885FD1"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kann das Risiko für die Entwicklung schwerwiegender Infektionen der Haut oder unter der Haut liegender, tieferer Schichten erhöhen, insbesondere wenn Sie schon einmal Löcher in der Darmwand oder Probleme bei der Wundheilung hatten.</w:t>
      </w:r>
    </w:p>
    <w:p w14:paraId="6F0CD20D" w14:textId="77777777" w:rsidR="00E2353A" w:rsidRPr="009737B5" w:rsidRDefault="00885FD1"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kann die Häufigkeit des Auftretens von Bluthochdruck erhöhen. Wenn Sie unter Bluthochdruck leiden, der mit blutdrucksenkenden Mitteln nicht ausreichend beherrscht wird, </w:t>
      </w:r>
      <w:r w:rsidR="00E2353A" w:rsidRPr="009737B5">
        <w:rPr>
          <w:rFonts w:ascii="Times New Roman" w:hAnsi="Times New Roman" w:cs="Times New Roman"/>
          <w:lang w:val="de-DE"/>
        </w:rPr>
        <w:lastRenderedPageBreak/>
        <w:t xml:space="preserve">wenden Sie sich an Ihren Arzt, da es wichtig ist, vor Beginn der </w:t>
      </w:r>
      <w:r w:rsidRPr="009737B5">
        <w:rPr>
          <w:rFonts w:ascii="Times New Roman" w:hAnsi="Times New Roman" w:cs="Times New Roman"/>
          <w:lang w:val="de-DE"/>
        </w:rPr>
        <w:t>MVASI</w:t>
      </w:r>
      <w:r w:rsidR="005F768D" w:rsidRPr="009737B5">
        <w:rPr>
          <w:rFonts w:ascii="Times New Roman" w:hAnsi="Times New Roman" w:cs="Times New Roman"/>
          <w:lang w:val="de-DE"/>
        </w:rPr>
        <w:t>-</w:t>
      </w:r>
      <w:r w:rsidR="00E2353A" w:rsidRPr="009737B5">
        <w:rPr>
          <w:rFonts w:ascii="Times New Roman" w:hAnsi="Times New Roman" w:cs="Times New Roman"/>
          <w:lang w:val="de-DE"/>
        </w:rPr>
        <w:t>Behandlung sicherzustellen, dass Ihr Blutdruck eingestellt ist.</w:t>
      </w:r>
    </w:p>
    <w:p w14:paraId="59E33AFA" w14:textId="0B50583E" w:rsidR="00E2353A" w:rsidRPr="009737B5" w:rsidRDefault="00537F24" w:rsidP="001E050B">
      <w:pPr>
        <w:pStyle w:val="ListParagraph"/>
        <w:numPr>
          <w:ilvl w:val="0"/>
          <w:numId w:val="1"/>
        </w:numPr>
        <w:suppressAutoHyphens/>
        <w:spacing w:after="0" w:line="240" w:lineRule="auto"/>
        <w:ind w:left="567" w:hanging="567"/>
        <w:rPr>
          <w:rFonts w:ascii="Times New Roman" w:hAnsi="Times New Roman" w:cs="Times New Roman"/>
          <w:lang w:val="de-DE"/>
        </w:rPr>
      </w:pPr>
      <w:r>
        <w:rPr>
          <w:rFonts w:ascii="Times New Roman" w:hAnsi="Times New Roman" w:cs="Times New Roman"/>
          <w:lang w:val="de-DE"/>
        </w:rPr>
        <w:t>Dieses Arzneimittel</w:t>
      </w:r>
      <w:r w:rsidRPr="009737B5">
        <w:rPr>
          <w:rFonts w:ascii="Times New Roman" w:hAnsi="Times New Roman" w:cs="Times New Roman"/>
          <w:lang w:val="de-DE"/>
        </w:rPr>
        <w:t xml:space="preserve"> </w:t>
      </w:r>
      <w:r w:rsidR="00E2353A" w:rsidRPr="009737B5">
        <w:rPr>
          <w:rFonts w:ascii="Times New Roman" w:hAnsi="Times New Roman" w:cs="Times New Roman"/>
          <w:lang w:val="de-DE"/>
        </w:rPr>
        <w:t>erhöht das Risiko, dass Sie Eiweiß im Urin haben, insbesondere wenn Sie bereits unter Bluthochdruck leiden.</w:t>
      </w:r>
    </w:p>
    <w:p w14:paraId="7D5A6534" w14:textId="42B4A872" w:rsidR="00E2353A" w:rsidRPr="009737B5" w:rsidRDefault="00537F24" w:rsidP="001E050B">
      <w:pPr>
        <w:pStyle w:val="ListParagraph"/>
        <w:numPr>
          <w:ilvl w:val="0"/>
          <w:numId w:val="1"/>
        </w:numPr>
        <w:suppressAutoHyphens/>
        <w:spacing w:after="0" w:line="240" w:lineRule="auto"/>
        <w:ind w:left="567" w:hanging="567"/>
        <w:rPr>
          <w:rFonts w:ascii="Times New Roman" w:hAnsi="Times New Roman" w:cs="Times New Roman"/>
          <w:lang w:val="de-DE"/>
        </w:rPr>
      </w:pPr>
      <w:r>
        <w:rPr>
          <w:rFonts w:ascii="Times New Roman" w:hAnsi="Times New Roman" w:cs="Times New Roman"/>
          <w:lang w:val="de-DE"/>
        </w:rPr>
        <w:t>D</w:t>
      </w:r>
      <w:r w:rsidR="00E2353A" w:rsidRPr="009737B5">
        <w:rPr>
          <w:rFonts w:ascii="Times New Roman" w:hAnsi="Times New Roman" w:cs="Times New Roman"/>
          <w:lang w:val="de-DE"/>
        </w:rPr>
        <w:t>as Risiko, dass sich Blutgerinnsel in Ihren Arterien (Schlagadern, d.</w:t>
      </w:r>
      <w:r w:rsidR="00740FE6">
        <w:rPr>
          <w:rFonts w:ascii="Times New Roman" w:hAnsi="Times New Roman" w:cs="Times New Roman"/>
          <w:lang w:val="de-DE"/>
        </w:rPr>
        <w:t> </w:t>
      </w:r>
      <w:r w:rsidR="00E2353A" w:rsidRPr="009737B5">
        <w:rPr>
          <w:rFonts w:ascii="Times New Roman" w:hAnsi="Times New Roman" w:cs="Times New Roman"/>
          <w:lang w:val="de-DE"/>
        </w:rPr>
        <w:t>h.</w:t>
      </w:r>
      <w:r w:rsidR="0089185A" w:rsidRPr="009737B5">
        <w:rPr>
          <w:rFonts w:ascii="Times New Roman" w:hAnsi="Times New Roman" w:cs="Times New Roman"/>
          <w:lang w:val="de-DE"/>
        </w:rPr>
        <w:t xml:space="preserve"> </w:t>
      </w:r>
      <w:r w:rsidR="00E2353A" w:rsidRPr="009737B5">
        <w:rPr>
          <w:rFonts w:ascii="Times New Roman" w:hAnsi="Times New Roman" w:cs="Times New Roman"/>
          <w:lang w:val="de-DE"/>
        </w:rPr>
        <w:t xml:space="preserve">bestimmten Blutgefäßen) bilden, </w:t>
      </w:r>
      <w:r>
        <w:rPr>
          <w:rFonts w:ascii="Times New Roman" w:hAnsi="Times New Roman" w:cs="Times New Roman"/>
          <w:lang w:val="de-DE"/>
        </w:rPr>
        <w:t>kann</w:t>
      </w:r>
      <w:r w:rsidR="00CA2B95">
        <w:rPr>
          <w:rFonts w:ascii="Times New Roman" w:hAnsi="Times New Roman" w:cs="Times New Roman"/>
          <w:lang w:val="de-DE"/>
        </w:rPr>
        <w:t xml:space="preserve"> </w:t>
      </w:r>
      <w:r>
        <w:rPr>
          <w:rFonts w:ascii="Times New Roman" w:hAnsi="Times New Roman" w:cs="Times New Roman"/>
          <w:lang w:val="de-DE"/>
        </w:rPr>
        <w:t xml:space="preserve">sich erhöhen, </w:t>
      </w:r>
      <w:r w:rsidR="00E2353A" w:rsidRPr="009737B5">
        <w:rPr>
          <w:rFonts w:ascii="Times New Roman" w:hAnsi="Times New Roman" w:cs="Times New Roman"/>
          <w:lang w:val="de-DE"/>
        </w:rPr>
        <w:t>wenn Sie älter als 65</w:t>
      </w:r>
      <w:r w:rsidR="0091668D" w:rsidRPr="009737B5">
        <w:rPr>
          <w:rFonts w:ascii="Times New Roman" w:hAnsi="Times New Roman" w:cs="Times New Roman"/>
          <w:lang w:val="de-DE"/>
        </w:rPr>
        <w:t> </w:t>
      </w:r>
      <w:r w:rsidR="00E2353A" w:rsidRPr="009737B5">
        <w:rPr>
          <w:rFonts w:ascii="Times New Roman" w:hAnsi="Times New Roman" w:cs="Times New Roman"/>
          <w:lang w:val="de-DE"/>
        </w:rPr>
        <w:t>Jahre alt sind, wenn Sie unter Diabetes leiden oder wenn sich in Ihren Arterien schon einmal Blutgerinnsel gebildet haben. Bitte wenden Sie sich an Ihren Arzt, da Blutgerinnsel zu Herzattacken und Schlaganfall führen können.</w:t>
      </w:r>
    </w:p>
    <w:p w14:paraId="0FE97AAC" w14:textId="77777777" w:rsidR="00E2353A" w:rsidRPr="009737B5" w:rsidRDefault="00885FD1"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kann auch das Risiko erhöhen, dass Blutgerinnsel in Ihren Venen (eine bestimmte Art von Blutgefäßen) entstehen.</w:t>
      </w:r>
    </w:p>
    <w:p w14:paraId="0B13D8DA" w14:textId="7E058DA5" w:rsidR="00E2353A" w:rsidRPr="009737B5" w:rsidRDefault="00537F24" w:rsidP="001E050B">
      <w:pPr>
        <w:pStyle w:val="ListParagraph"/>
        <w:numPr>
          <w:ilvl w:val="0"/>
          <w:numId w:val="1"/>
        </w:numPr>
        <w:suppressAutoHyphens/>
        <w:spacing w:after="0" w:line="240" w:lineRule="auto"/>
        <w:ind w:left="567" w:hanging="567"/>
        <w:rPr>
          <w:rFonts w:ascii="Times New Roman" w:hAnsi="Times New Roman" w:cs="Times New Roman"/>
          <w:lang w:val="de-DE"/>
        </w:rPr>
      </w:pPr>
      <w:r>
        <w:rPr>
          <w:rFonts w:ascii="Times New Roman" w:hAnsi="Times New Roman" w:cs="Times New Roman"/>
          <w:lang w:val="de-DE"/>
        </w:rPr>
        <w:t>Dieses Arzneimittel</w:t>
      </w:r>
      <w:r w:rsidRPr="009737B5">
        <w:rPr>
          <w:rFonts w:ascii="Times New Roman" w:hAnsi="Times New Roman" w:cs="Times New Roman"/>
          <w:lang w:val="de-DE"/>
        </w:rPr>
        <w:t xml:space="preserve"> </w:t>
      </w:r>
      <w:r w:rsidR="00E2353A" w:rsidRPr="009737B5">
        <w:rPr>
          <w:rFonts w:ascii="Times New Roman" w:hAnsi="Times New Roman" w:cs="Times New Roman"/>
          <w:lang w:val="de-DE"/>
        </w:rPr>
        <w:t>kann zu Blutungen führen, insbesondere tumorbedingten Blutungen. Bitte wenden Sie sich an Ihren Arzt, wenn Sie oder einer Ihrer Angehörigen an Blutungsproblemen leiden oder wenn Sie blutverdünnende Arzneimittel einnehmen.</w:t>
      </w:r>
    </w:p>
    <w:p w14:paraId="1372D7CC" w14:textId="77777777" w:rsidR="00E2353A" w:rsidRPr="009737B5" w:rsidRDefault="00885FD1"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kann Blutungen in Ihrem Gehirn oder um Ihr Gehirn herum verursachen. Bitte wenden Sie sich an Ihren Arzt, wenn Sie eine metastasier</w:t>
      </w:r>
      <w:r w:rsidR="00755753" w:rsidRPr="009737B5">
        <w:rPr>
          <w:rFonts w:ascii="Times New Roman" w:hAnsi="Times New Roman" w:cs="Times New Roman"/>
          <w:lang w:val="de-DE"/>
        </w:rPr>
        <w:t>t</w:t>
      </w:r>
      <w:r w:rsidR="00E2353A" w:rsidRPr="009737B5">
        <w:rPr>
          <w:rFonts w:ascii="Times New Roman" w:hAnsi="Times New Roman" w:cs="Times New Roman"/>
          <w:lang w:val="de-DE"/>
        </w:rPr>
        <w:t>e Krebserkrankung haben, die Ihr Gehirn beeinträchtigt.</w:t>
      </w:r>
    </w:p>
    <w:p w14:paraId="37CD7438" w14:textId="77777777" w:rsidR="00E2353A" w:rsidRPr="009737B5" w:rsidRDefault="00885FD1"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kann das Risiko für Blutungen in Ihrer Lunge erhöhen, einschließlich </w:t>
      </w:r>
      <w:r w:rsidR="00755753" w:rsidRPr="009737B5">
        <w:rPr>
          <w:rFonts w:ascii="Times New Roman" w:hAnsi="Times New Roman" w:cs="Times New Roman"/>
          <w:lang w:val="de-DE"/>
        </w:rPr>
        <w:t xml:space="preserve">blutigen </w:t>
      </w:r>
      <w:r w:rsidR="00E2353A" w:rsidRPr="009737B5">
        <w:rPr>
          <w:rFonts w:ascii="Times New Roman" w:hAnsi="Times New Roman" w:cs="Times New Roman"/>
          <w:lang w:val="de-DE"/>
        </w:rPr>
        <w:t>Husten</w:t>
      </w:r>
      <w:r w:rsidR="00755753" w:rsidRPr="009737B5">
        <w:rPr>
          <w:rFonts w:ascii="Times New Roman" w:hAnsi="Times New Roman" w:cs="Times New Roman"/>
          <w:lang w:val="de-DE"/>
        </w:rPr>
        <w:t>s</w:t>
      </w:r>
      <w:r w:rsidR="00E2353A" w:rsidRPr="009737B5">
        <w:rPr>
          <w:rFonts w:ascii="Times New Roman" w:hAnsi="Times New Roman" w:cs="Times New Roman"/>
          <w:lang w:val="de-DE"/>
        </w:rPr>
        <w:t xml:space="preserve"> oder </w:t>
      </w:r>
      <w:r w:rsidR="00755753" w:rsidRPr="009737B5">
        <w:rPr>
          <w:rFonts w:ascii="Times New Roman" w:hAnsi="Times New Roman" w:cs="Times New Roman"/>
          <w:lang w:val="de-DE"/>
        </w:rPr>
        <w:t xml:space="preserve">blutigen </w:t>
      </w:r>
      <w:r w:rsidR="00E2353A" w:rsidRPr="009737B5">
        <w:rPr>
          <w:rFonts w:ascii="Times New Roman" w:hAnsi="Times New Roman" w:cs="Times New Roman"/>
          <w:lang w:val="de-DE"/>
        </w:rPr>
        <w:t>Speichel</w:t>
      </w:r>
      <w:r w:rsidR="00755753" w:rsidRPr="009737B5">
        <w:rPr>
          <w:rFonts w:ascii="Times New Roman" w:hAnsi="Times New Roman" w:cs="Times New Roman"/>
          <w:lang w:val="de-DE"/>
        </w:rPr>
        <w:t>s</w:t>
      </w:r>
      <w:r w:rsidR="00E2353A" w:rsidRPr="009737B5">
        <w:rPr>
          <w:rFonts w:ascii="Times New Roman" w:hAnsi="Times New Roman" w:cs="Times New Roman"/>
          <w:lang w:val="de-DE"/>
        </w:rPr>
        <w:t>. Bitte wenden Sie sich an Ihren Arzt, wenn das bei Ihnen schon einmal aufgetreten ist.</w:t>
      </w:r>
    </w:p>
    <w:p w14:paraId="5FF04A47" w14:textId="3966F41F" w:rsidR="00E2353A" w:rsidRPr="009737B5" w:rsidRDefault="00885FD1"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kann das Risiko erhöhen, eine Herzschwäche zu entwickeln. Es ist wichtig, dass Ihr Arzt weiß, ob Sie bereits einmal mit Anthracyclinen (z.</w:t>
      </w:r>
      <w:r w:rsidR="00740FE6">
        <w:rPr>
          <w:rFonts w:ascii="Times New Roman" w:hAnsi="Times New Roman" w:cs="Times New Roman"/>
          <w:lang w:val="de-DE"/>
        </w:rPr>
        <w:t> </w:t>
      </w:r>
      <w:r w:rsidR="00E2353A" w:rsidRPr="009737B5">
        <w:rPr>
          <w:rFonts w:ascii="Times New Roman" w:hAnsi="Times New Roman" w:cs="Times New Roman"/>
          <w:lang w:val="de-DE"/>
        </w:rPr>
        <w:t>B. Doxorubicin, einer besonderen Art von Chemotherapie zur Behandlung einiger Krebsarten) behandelt wurden oder wenn Ihr Brustkorb einer Strahlentherapie ausgesetzt wurde oder wenn Sie unter einer Herzerkrankung leiden.</w:t>
      </w:r>
    </w:p>
    <w:p w14:paraId="205E8001" w14:textId="4E95B2AC" w:rsidR="00E2353A" w:rsidRPr="009737B5" w:rsidRDefault="00537F24" w:rsidP="001E050B">
      <w:pPr>
        <w:pStyle w:val="ListParagraph"/>
        <w:numPr>
          <w:ilvl w:val="0"/>
          <w:numId w:val="1"/>
        </w:numPr>
        <w:suppressAutoHyphens/>
        <w:spacing w:after="0" w:line="240" w:lineRule="auto"/>
        <w:ind w:left="567" w:hanging="567"/>
        <w:rPr>
          <w:rFonts w:ascii="Times New Roman" w:hAnsi="Times New Roman" w:cs="Times New Roman"/>
          <w:lang w:val="de-DE"/>
        </w:rPr>
      </w:pPr>
      <w:r>
        <w:rPr>
          <w:rFonts w:ascii="Times New Roman" w:hAnsi="Times New Roman" w:cs="Times New Roman"/>
          <w:lang w:val="de-DE"/>
        </w:rPr>
        <w:t>Dieses Arzneimittel</w:t>
      </w:r>
      <w:r w:rsidRPr="009737B5">
        <w:rPr>
          <w:rFonts w:ascii="Times New Roman" w:hAnsi="Times New Roman" w:cs="Times New Roman"/>
          <w:lang w:val="de-DE"/>
        </w:rPr>
        <w:t xml:space="preserve"> </w:t>
      </w:r>
      <w:r w:rsidR="00E2353A" w:rsidRPr="009737B5">
        <w:rPr>
          <w:rFonts w:ascii="Times New Roman" w:hAnsi="Times New Roman" w:cs="Times New Roman"/>
          <w:lang w:val="de-DE"/>
        </w:rPr>
        <w:t>kann Infektionen und eine Verringerung der Anzahl Ihrer Neutrophilen verursachen (bestimmte Blutzellen, die zum Schutz vor Bakterien wichtig sind).</w:t>
      </w:r>
    </w:p>
    <w:p w14:paraId="646163A7" w14:textId="58D4D4A9" w:rsidR="00E2353A" w:rsidRPr="009737B5" w:rsidRDefault="00885FD1"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kann allergische </w:t>
      </w:r>
      <w:r w:rsidR="00537F24">
        <w:rPr>
          <w:rFonts w:ascii="Times New Roman" w:hAnsi="Times New Roman" w:cs="Times New Roman"/>
          <w:lang w:val="de-DE"/>
        </w:rPr>
        <w:t xml:space="preserve">(einschließlich anaphylaktischer Schock) </w:t>
      </w:r>
      <w:r w:rsidR="00E2353A" w:rsidRPr="009737B5">
        <w:rPr>
          <w:rFonts w:ascii="Times New Roman" w:hAnsi="Times New Roman" w:cs="Times New Roman"/>
          <w:lang w:val="de-DE"/>
        </w:rPr>
        <w:t>und/oder infusionsbedingte Reaktionen verursachen (Reaktionen, die mit der Injektion des Arzneimittels in Zusammenhang stehen). Bitte wenden Sie sich an Ihren</w:t>
      </w:r>
      <w:r w:rsidR="0089185A" w:rsidRPr="009737B5">
        <w:rPr>
          <w:rFonts w:ascii="Times New Roman" w:hAnsi="Times New Roman" w:cs="Times New Roman"/>
          <w:lang w:val="de-DE"/>
        </w:rPr>
        <w:t xml:space="preserve"> </w:t>
      </w:r>
      <w:r w:rsidR="00E2353A" w:rsidRPr="009737B5">
        <w:rPr>
          <w:rFonts w:ascii="Times New Roman" w:hAnsi="Times New Roman" w:cs="Times New Roman"/>
          <w:lang w:val="de-DE"/>
        </w:rPr>
        <w:t>Arzt, Apotheker oder das medizinische Fachpersonal, wenn Sie in der Vergangenheit nach einer Injektion schon einmal Probleme hatten. Diese schließen Schwindel/Gefühl</w:t>
      </w:r>
      <w:r w:rsidR="00755753" w:rsidRPr="009737B5">
        <w:rPr>
          <w:rFonts w:ascii="Times New Roman" w:hAnsi="Times New Roman" w:cs="Times New Roman"/>
          <w:lang w:val="de-DE"/>
        </w:rPr>
        <w:t>,</w:t>
      </w:r>
      <w:r w:rsidR="00E2353A" w:rsidRPr="009737B5">
        <w:rPr>
          <w:rFonts w:ascii="Times New Roman" w:hAnsi="Times New Roman" w:cs="Times New Roman"/>
          <w:lang w:val="de-DE"/>
        </w:rPr>
        <w:t xml:space="preserve"> ohnmächtig zu werden, Kurzatmigkeit, Schwellungen oder Hautausschlag ein.</w:t>
      </w:r>
    </w:p>
    <w:p w14:paraId="0738EDD7" w14:textId="048D2337" w:rsidR="00E2353A" w:rsidRDefault="00E2353A"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 xml:space="preserve">Eine seltene neurologische Nebenwirkung, ein sogenanntes posteriores reversibles Enzephalopathie-Syndrom (PRES), wurde mit der Behandlung mit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in Verbindung gebracht. Wenn Sie unter Kopfschmerzen, Sehstörungen, Verwirrtheit oder Krampfanfällen mit oder ohne hohen Blutdruck leiden, wenden Sie sich an Ihren Arzt.</w:t>
      </w:r>
    </w:p>
    <w:p w14:paraId="358C961A" w14:textId="25616593" w:rsidR="00290CB0" w:rsidRPr="009737B5" w:rsidRDefault="00290CB0" w:rsidP="001E050B">
      <w:pPr>
        <w:pStyle w:val="ListParagraph"/>
        <w:numPr>
          <w:ilvl w:val="0"/>
          <w:numId w:val="1"/>
        </w:numPr>
        <w:suppressAutoHyphens/>
        <w:spacing w:after="0" w:line="240" w:lineRule="auto"/>
        <w:ind w:left="567" w:hanging="567"/>
        <w:rPr>
          <w:rFonts w:ascii="Times New Roman" w:hAnsi="Times New Roman" w:cs="Times New Roman"/>
          <w:lang w:val="de-DE"/>
        </w:rPr>
      </w:pPr>
      <w:r>
        <w:rPr>
          <w:rFonts w:ascii="Times New Roman" w:hAnsi="Times New Roman" w:cs="Times New Roman"/>
          <w:lang w:val="de-DE"/>
        </w:rPr>
        <w:t>W</w:t>
      </w:r>
      <w:r w:rsidRPr="005D2ED1">
        <w:rPr>
          <w:rFonts w:ascii="Times New Roman" w:hAnsi="Times New Roman" w:cs="Times New Roman"/>
          <w:lang w:val="de-DE"/>
        </w:rPr>
        <w:t>enn Sie ein Aneurysma (Erweiterung und Schwächung einer Blutgefäßwand) oder einen Einriss in einer Blutgefäßwand haben oder hatten.</w:t>
      </w:r>
    </w:p>
    <w:p w14:paraId="2E09015C" w14:textId="77777777" w:rsidR="00E2353A" w:rsidRPr="009737B5" w:rsidRDefault="00E2353A" w:rsidP="005F4D08">
      <w:pPr>
        <w:suppressAutoHyphens/>
        <w:spacing w:after="0" w:line="240" w:lineRule="auto"/>
        <w:rPr>
          <w:rFonts w:ascii="Times New Roman" w:hAnsi="Times New Roman" w:cs="Times New Roman"/>
          <w:lang w:val="de-DE"/>
        </w:rPr>
      </w:pPr>
    </w:p>
    <w:p w14:paraId="2A85FF5D"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Bitte wenden Sie sich auch dann an Ihren Arzt, wenn eine dieser oben genannten Aussagen nur in der Vergangenheit </w:t>
      </w:r>
      <w:r w:rsidR="00755753" w:rsidRPr="009737B5">
        <w:rPr>
          <w:rFonts w:ascii="Times New Roman" w:hAnsi="Times New Roman" w:cs="Times New Roman"/>
          <w:lang w:val="de-DE"/>
        </w:rPr>
        <w:t xml:space="preserve">auf Sie </w:t>
      </w:r>
      <w:r w:rsidRPr="009737B5">
        <w:rPr>
          <w:rFonts w:ascii="Times New Roman" w:hAnsi="Times New Roman" w:cs="Times New Roman"/>
          <w:lang w:val="de-DE"/>
        </w:rPr>
        <w:t>zugetroffen hat.</w:t>
      </w:r>
    </w:p>
    <w:p w14:paraId="71A25D90" w14:textId="77777777" w:rsidR="00E2353A" w:rsidRPr="009737B5" w:rsidRDefault="00E2353A" w:rsidP="005F4D08">
      <w:pPr>
        <w:suppressAutoHyphens/>
        <w:spacing w:after="0" w:line="240" w:lineRule="auto"/>
        <w:rPr>
          <w:rFonts w:ascii="Times New Roman" w:hAnsi="Times New Roman" w:cs="Times New Roman"/>
          <w:lang w:val="de-DE"/>
        </w:rPr>
      </w:pPr>
    </w:p>
    <w:p w14:paraId="7CEC41CA" w14:textId="77777777" w:rsidR="00E2353A" w:rsidRPr="009737B5" w:rsidRDefault="00E2353A" w:rsidP="00762559">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Vor oder während der Behandlung mit </w:t>
      </w:r>
      <w:r w:rsidR="00885FD1" w:rsidRPr="009737B5">
        <w:rPr>
          <w:rFonts w:ascii="Times New Roman" w:hAnsi="Times New Roman" w:cs="Times New Roman"/>
          <w:lang w:val="de-DE"/>
        </w:rPr>
        <w:t>MVASI</w:t>
      </w:r>
      <w:r w:rsidRPr="009737B5">
        <w:rPr>
          <w:rFonts w:ascii="Times New Roman" w:hAnsi="Times New Roman" w:cs="Times New Roman"/>
          <w:lang w:val="de-DE"/>
        </w:rPr>
        <w:t>:</w:t>
      </w:r>
    </w:p>
    <w:p w14:paraId="0EA4D28E" w14:textId="77777777" w:rsidR="00762559" w:rsidRPr="00FF7FCC" w:rsidRDefault="00762559" w:rsidP="00762559">
      <w:pPr>
        <w:keepNext/>
        <w:suppressAutoHyphens/>
        <w:spacing w:after="0" w:line="240" w:lineRule="auto"/>
        <w:rPr>
          <w:rFonts w:ascii="Times New Roman" w:hAnsi="Times New Roman" w:cs="Times New Roman"/>
          <w:lang w:val="de-DE"/>
        </w:rPr>
      </w:pPr>
    </w:p>
    <w:p w14:paraId="642E41EA" w14:textId="77777777" w:rsidR="00E2353A" w:rsidRPr="009737B5" w:rsidRDefault="00E2353A"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Wenn Sie Schmerzen im Mund, an Zähnen und/oder im Kiefer, Schwellungen oder wunde Stellen im Mund, ein Taubheits- oder Schweregefühl im Kiefer oder Zahnlockerungen haben oder hatten, informieren Sie umgehend Ihren Arzt und Ihren Zahnarzt.</w:t>
      </w:r>
    </w:p>
    <w:p w14:paraId="5DA38DEA" w14:textId="77777777" w:rsidR="00E2353A" w:rsidRPr="009737B5" w:rsidRDefault="00E2353A" w:rsidP="001E050B">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 xml:space="preserve">Wenn Sie sich einer invasiven zahnärztlichen Behandlung oder einer Zahnoperation unterziehen müssen, informieren Sie Ihren Zahnarzt, dass Sie mit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w:t>
      </w:r>
      <w:r w:rsidR="005F768D" w:rsidRPr="009737B5">
        <w:rPr>
          <w:rFonts w:ascii="Times New Roman" w:hAnsi="Times New Roman" w:cs="Times New Roman"/>
          <w:lang w:val="de-DE"/>
        </w:rPr>
        <w:t xml:space="preserve">(Bevacizumab) </w:t>
      </w:r>
      <w:r w:rsidRPr="009737B5">
        <w:rPr>
          <w:rFonts w:ascii="Times New Roman" w:hAnsi="Times New Roman" w:cs="Times New Roman"/>
          <w:lang w:val="de-DE"/>
        </w:rPr>
        <w:t>behandelt werden, insbesondere wenn Sie ebenfalls eine Injektion von Bisphosphonaten in Ihr Blut erhalten oder erhalten haben.</w:t>
      </w:r>
    </w:p>
    <w:p w14:paraId="66883707" w14:textId="77777777" w:rsidR="00E2353A" w:rsidRPr="009737B5" w:rsidRDefault="00E2353A" w:rsidP="005F4D08">
      <w:pPr>
        <w:suppressAutoHyphens/>
        <w:spacing w:after="0" w:line="240" w:lineRule="auto"/>
        <w:rPr>
          <w:rFonts w:ascii="Times New Roman" w:hAnsi="Times New Roman" w:cs="Times New Roman"/>
          <w:lang w:val="de-DE"/>
        </w:rPr>
      </w:pPr>
    </w:p>
    <w:p w14:paraId="12B3EC66"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Es wird Ihnen möglicherweise geraten, eine zahnärztliche Kontrolluntersuchung vornehmen zu lassen, bevor Sie mit der Behandlung mit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beginnen.</w:t>
      </w:r>
    </w:p>
    <w:p w14:paraId="1B80CB44" w14:textId="77777777" w:rsidR="00E2353A" w:rsidRPr="009737B5" w:rsidRDefault="00E2353A" w:rsidP="005F4D08">
      <w:pPr>
        <w:suppressAutoHyphens/>
        <w:spacing w:after="0" w:line="240" w:lineRule="auto"/>
        <w:rPr>
          <w:rFonts w:ascii="Times New Roman" w:hAnsi="Times New Roman" w:cs="Times New Roman"/>
          <w:lang w:val="de-DE"/>
        </w:rPr>
      </w:pPr>
    </w:p>
    <w:p w14:paraId="3702AABF" w14:textId="77777777" w:rsidR="00E2353A" w:rsidRPr="009737B5" w:rsidRDefault="00E2353A"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lastRenderedPageBreak/>
        <w:t>Kinder und Jugendliche</w:t>
      </w:r>
    </w:p>
    <w:p w14:paraId="7C5D4051" w14:textId="77777777" w:rsidR="00762559" w:rsidRPr="009737B5" w:rsidRDefault="00762559" w:rsidP="00762559">
      <w:pPr>
        <w:keepNext/>
        <w:suppressAutoHyphens/>
        <w:spacing w:after="0" w:line="240" w:lineRule="auto"/>
        <w:rPr>
          <w:rFonts w:ascii="Times New Roman" w:hAnsi="Times New Roman" w:cs="Times New Roman"/>
          <w:lang w:val="de-DE"/>
        </w:rPr>
      </w:pPr>
    </w:p>
    <w:p w14:paraId="207968F3"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Eine Anwendung von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wird bei Kindern und Jugendlichen unter 18</w:t>
      </w:r>
      <w:r w:rsidR="0091668D" w:rsidRPr="009737B5">
        <w:rPr>
          <w:rFonts w:ascii="Times New Roman" w:hAnsi="Times New Roman" w:cs="Times New Roman"/>
          <w:lang w:val="de-DE"/>
        </w:rPr>
        <w:t> </w:t>
      </w:r>
      <w:r w:rsidRPr="009737B5">
        <w:rPr>
          <w:rFonts w:ascii="Times New Roman" w:hAnsi="Times New Roman" w:cs="Times New Roman"/>
          <w:lang w:val="de-DE"/>
        </w:rPr>
        <w:t>Jahren nicht empfohlen, da die Sicherheit und der Nutzen in diesen Patientengruppen nicht nachgewiesen sind.</w:t>
      </w:r>
    </w:p>
    <w:p w14:paraId="6CBC0020" w14:textId="77777777" w:rsidR="00E2353A" w:rsidRPr="009737B5" w:rsidRDefault="00E2353A" w:rsidP="005F4D08">
      <w:pPr>
        <w:suppressAutoHyphens/>
        <w:spacing w:after="0" w:line="240" w:lineRule="auto"/>
        <w:rPr>
          <w:rFonts w:ascii="Times New Roman" w:hAnsi="Times New Roman" w:cs="Times New Roman"/>
          <w:lang w:val="de-DE"/>
        </w:rPr>
      </w:pPr>
    </w:p>
    <w:p w14:paraId="035DC144"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Patienten unter 18</w:t>
      </w:r>
      <w:r w:rsidR="0091668D" w:rsidRPr="009737B5">
        <w:rPr>
          <w:rFonts w:ascii="Times New Roman" w:eastAsia="Microsoft Yi Baiti" w:hAnsi="Times New Roman" w:cs="Times New Roman"/>
          <w:lang w:val="de-DE"/>
        </w:rPr>
        <w:t> </w:t>
      </w:r>
      <w:r w:rsidRPr="009737B5">
        <w:rPr>
          <w:rFonts w:ascii="Times New Roman" w:hAnsi="Times New Roman" w:cs="Times New Roman"/>
          <w:lang w:val="de-DE"/>
        </w:rPr>
        <w:t xml:space="preserve">Jahren, die mit </w:t>
      </w:r>
      <w:r w:rsidR="005F768D" w:rsidRPr="009737B5">
        <w:rPr>
          <w:rFonts w:ascii="Times New Roman" w:hAnsi="Times New Roman" w:cs="Times New Roman"/>
          <w:lang w:val="de-DE"/>
        </w:rPr>
        <w:t xml:space="preserve">Bevacizumab </w:t>
      </w:r>
      <w:r w:rsidRPr="009737B5">
        <w:rPr>
          <w:rFonts w:ascii="Times New Roman" w:hAnsi="Times New Roman" w:cs="Times New Roman"/>
          <w:lang w:val="de-DE"/>
        </w:rPr>
        <w:t>behandelt wurden, wurde ein Absterben von Knochengewebe (Osteonekrose) bei anderen Knochen als dem Kieferknochen berichtet.</w:t>
      </w:r>
    </w:p>
    <w:p w14:paraId="3ECC0813" w14:textId="77777777" w:rsidR="00E2353A" w:rsidRPr="009737B5" w:rsidRDefault="00E2353A" w:rsidP="005F4D08">
      <w:pPr>
        <w:suppressAutoHyphens/>
        <w:spacing w:after="0" w:line="240" w:lineRule="auto"/>
        <w:rPr>
          <w:rFonts w:ascii="Times New Roman" w:hAnsi="Times New Roman" w:cs="Times New Roman"/>
          <w:lang w:val="de-DE"/>
        </w:rPr>
      </w:pPr>
    </w:p>
    <w:p w14:paraId="345E877C" w14:textId="77777777" w:rsidR="00E2353A" w:rsidRPr="009737B5" w:rsidRDefault="00E2353A"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 xml:space="preserve">Anwendung von </w:t>
      </w:r>
      <w:r w:rsidR="00885FD1" w:rsidRPr="009737B5">
        <w:rPr>
          <w:rFonts w:ascii="Times New Roman" w:hAnsi="Times New Roman" w:cs="Times New Roman"/>
          <w:b/>
          <w:lang w:val="de-DE"/>
        </w:rPr>
        <w:t>MVASI</w:t>
      </w:r>
      <w:r w:rsidRPr="009737B5">
        <w:rPr>
          <w:rFonts w:ascii="Times New Roman" w:hAnsi="Times New Roman" w:cs="Times New Roman"/>
          <w:b/>
          <w:lang w:val="de-DE"/>
        </w:rPr>
        <w:t xml:space="preserve"> zusammen mit anderen Arzneimitteln</w:t>
      </w:r>
    </w:p>
    <w:p w14:paraId="29807DEF" w14:textId="77777777" w:rsidR="00762559" w:rsidRPr="009737B5" w:rsidRDefault="00762559" w:rsidP="00762559">
      <w:pPr>
        <w:keepNext/>
        <w:suppressAutoHyphens/>
        <w:spacing w:after="0" w:line="240" w:lineRule="auto"/>
        <w:rPr>
          <w:rFonts w:ascii="Times New Roman" w:hAnsi="Times New Roman" w:cs="Times New Roman"/>
          <w:lang w:val="de-DE"/>
        </w:rPr>
      </w:pPr>
    </w:p>
    <w:p w14:paraId="416C0427"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Informieren Sie Ihren Arzt, Apotheker oder das medizinische Fachpersonal, wenn Sie andere Arzneimittel einnehmen/anwenden, kürzlich andere Arzneimittel eingenommen/angewendet haben oder beabsichtigen</w:t>
      </w:r>
      <w:r w:rsidR="00755753" w:rsidRPr="009737B5">
        <w:rPr>
          <w:rFonts w:ascii="Times New Roman" w:hAnsi="Times New Roman" w:cs="Times New Roman"/>
          <w:lang w:val="de-DE"/>
        </w:rPr>
        <w:t>,</w:t>
      </w:r>
      <w:r w:rsidRPr="009737B5">
        <w:rPr>
          <w:rFonts w:ascii="Times New Roman" w:hAnsi="Times New Roman" w:cs="Times New Roman"/>
          <w:lang w:val="de-DE"/>
        </w:rPr>
        <w:t xml:space="preserve"> andere Arzneimittel einzunehmen/anzuwenden.</w:t>
      </w:r>
    </w:p>
    <w:p w14:paraId="67E82D33" w14:textId="77777777" w:rsidR="00E2353A" w:rsidRPr="009737B5" w:rsidRDefault="00E2353A" w:rsidP="005F4D08">
      <w:pPr>
        <w:suppressAutoHyphens/>
        <w:spacing w:after="0" w:line="240" w:lineRule="auto"/>
        <w:rPr>
          <w:rFonts w:ascii="Times New Roman" w:hAnsi="Times New Roman" w:cs="Times New Roman"/>
          <w:lang w:val="de-DE"/>
        </w:rPr>
      </w:pPr>
    </w:p>
    <w:p w14:paraId="511ADFFB"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Kombination von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mit einem anderen Arzneimittel, Sunitinibmaleat genannt (zur</w:t>
      </w:r>
      <w:r w:rsidR="0089185A" w:rsidRPr="009737B5">
        <w:rPr>
          <w:rFonts w:ascii="Times New Roman" w:hAnsi="Times New Roman" w:cs="Times New Roman"/>
          <w:lang w:val="de-DE"/>
        </w:rPr>
        <w:t xml:space="preserve"> </w:t>
      </w:r>
      <w:r w:rsidRPr="009737B5">
        <w:rPr>
          <w:rFonts w:ascii="Times New Roman" w:hAnsi="Times New Roman" w:cs="Times New Roman"/>
          <w:lang w:val="de-DE"/>
        </w:rPr>
        <w:t>Behandlung von Nieren- und Magen- oder Darmkrebs verschrieben), kann zu schweren</w:t>
      </w:r>
      <w:r w:rsidR="0089185A" w:rsidRPr="009737B5">
        <w:rPr>
          <w:rFonts w:ascii="Times New Roman" w:hAnsi="Times New Roman" w:cs="Times New Roman"/>
          <w:lang w:val="de-DE"/>
        </w:rPr>
        <w:t xml:space="preserve"> </w:t>
      </w:r>
      <w:r w:rsidRPr="009737B5">
        <w:rPr>
          <w:rFonts w:ascii="Times New Roman" w:hAnsi="Times New Roman" w:cs="Times New Roman"/>
          <w:lang w:val="de-DE"/>
        </w:rPr>
        <w:t>Nebenwirkungen führen. Sprechen Sie mit Ihrem Arzt, um sicherzugehen, dass Sie diese Arzneimittel nicht gleichzeitig anwenden.</w:t>
      </w:r>
    </w:p>
    <w:p w14:paraId="0F0F93F3" w14:textId="77777777" w:rsidR="00E2353A" w:rsidRPr="009737B5" w:rsidRDefault="00E2353A" w:rsidP="005F4D08">
      <w:pPr>
        <w:suppressAutoHyphens/>
        <w:spacing w:after="0" w:line="240" w:lineRule="auto"/>
        <w:rPr>
          <w:rFonts w:ascii="Times New Roman" w:hAnsi="Times New Roman" w:cs="Times New Roman"/>
          <w:lang w:val="de-DE"/>
        </w:rPr>
      </w:pPr>
    </w:p>
    <w:p w14:paraId="63AB9D1A"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Informieren Sie Ihren Arzt, wenn Sie eine platin- oder taxanbasierte Therapie gegen Lungen- oder metastasierten Brustkrebs anwenden. Diese Therapien können in Kombination mit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das Risiko schwerer Nebenwirkungen erhöhen.</w:t>
      </w:r>
    </w:p>
    <w:p w14:paraId="49B6E7C1" w14:textId="77777777" w:rsidR="00E2353A" w:rsidRPr="009737B5" w:rsidRDefault="00E2353A" w:rsidP="005F4D08">
      <w:pPr>
        <w:suppressAutoHyphens/>
        <w:spacing w:after="0" w:line="240" w:lineRule="auto"/>
        <w:rPr>
          <w:rFonts w:ascii="Times New Roman" w:hAnsi="Times New Roman" w:cs="Times New Roman"/>
          <w:lang w:val="de-DE"/>
        </w:rPr>
      </w:pPr>
    </w:p>
    <w:p w14:paraId="08E5B3E1"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Bitte informieren Sie Ihren Arzt, wenn Sie vor </w:t>
      </w:r>
      <w:r w:rsidR="00755753" w:rsidRPr="009737B5">
        <w:rPr>
          <w:rFonts w:ascii="Times New Roman" w:hAnsi="Times New Roman" w:cs="Times New Roman"/>
          <w:lang w:val="de-DE"/>
        </w:rPr>
        <w:t xml:space="preserve">Kurzem </w:t>
      </w:r>
      <w:r w:rsidRPr="009737B5">
        <w:rPr>
          <w:rFonts w:ascii="Times New Roman" w:hAnsi="Times New Roman" w:cs="Times New Roman"/>
          <w:lang w:val="de-DE"/>
        </w:rPr>
        <w:t>eine Strahlentherapie erhalten haben oder wenn Sie diese gegenwärtig bekommen.</w:t>
      </w:r>
    </w:p>
    <w:p w14:paraId="6F326D44" w14:textId="77777777" w:rsidR="00E2353A" w:rsidRPr="009737B5" w:rsidRDefault="00E2353A" w:rsidP="005F4D08">
      <w:pPr>
        <w:suppressAutoHyphens/>
        <w:spacing w:after="0" w:line="240" w:lineRule="auto"/>
        <w:rPr>
          <w:rFonts w:ascii="Times New Roman" w:hAnsi="Times New Roman" w:cs="Times New Roman"/>
          <w:lang w:val="de-DE"/>
        </w:rPr>
      </w:pPr>
    </w:p>
    <w:p w14:paraId="7C96C22F" w14:textId="77777777" w:rsidR="00E2353A" w:rsidRPr="009737B5" w:rsidRDefault="00E2353A"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Schwangerschaft, Stillzeit und Fortpflanzungsfähigkeit</w:t>
      </w:r>
    </w:p>
    <w:p w14:paraId="3EA48846" w14:textId="77777777" w:rsidR="00762559" w:rsidRPr="009737B5" w:rsidRDefault="00762559" w:rsidP="00762559">
      <w:pPr>
        <w:keepNext/>
        <w:suppressAutoHyphens/>
        <w:spacing w:after="0" w:line="240" w:lineRule="auto"/>
        <w:rPr>
          <w:rFonts w:ascii="Times New Roman" w:hAnsi="Times New Roman" w:cs="Times New Roman"/>
          <w:lang w:val="de-DE"/>
        </w:rPr>
      </w:pPr>
    </w:p>
    <w:p w14:paraId="490CC15E" w14:textId="3DB01B75"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Sie dürfen dieses Arzneimittel nicht anwenden, wenn Sie schwanger sind.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kann Ihr ungeborenes Kind schädigen, da es die Bildung neuer Blutgefäße unterbinden kann. Sprechen Sie mit Ihrem Arzt darüber, welche Methode der Empfängnisverhütung Sie während der Behandlung mit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und noch für mindestens 6</w:t>
      </w:r>
      <w:r w:rsidR="00740FE6">
        <w:rPr>
          <w:rFonts w:ascii="Times New Roman" w:hAnsi="Times New Roman" w:cs="Times New Roman"/>
          <w:lang w:val="de-DE"/>
        </w:rPr>
        <w:t> </w:t>
      </w:r>
      <w:r w:rsidRPr="009737B5">
        <w:rPr>
          <w:rFonts w:ascii="Times New Roman" w:hAnsi="Times New Roman" w:cs="Times New Roman"/>
          <w:lang w:val="de-DE"/>
        </w:rPr>
        <w:t xml:space="preserve">Monate nach der letzten Dosis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anwenden sollen.</w:t>
      </w:r>
    </w:p>
    <w:p w14:paraId="0963081F" w14:textId="77777777" w:rsidR="00E2353A" w:rsidRPr="009737B5" w:rsidRDefault="00E2353A" w:rsidP="005F4D08">
      <w:pPr>
        <w:suppressAutoHyphens/>
        <w:spacing w:after="0" w:line="240" w:lineRule="auto"/>
        <w:rPr>
          <w:rFonts w:ascii="Times New Roman" w:hAnsi="Times New Roman" w:cs="Times New Roman"/>
          <w:lang w:val="de-DE"/>
        </w:rPr>
      </w:pPr>
    </w:p>
    <w:p w14:paraId="373B3FFD"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Wenn Sie schwanger sind oder stillen, oder wenn Sie vermuten, schwanger zu sein oder beabsichtigen, schwanger zu werden, fragen Sie vor der Anwendung dieses Arzneimittels Ihren Arzt um Rat.</w:t>
      </w:r>
    </w:p>
    <w:p w14:paraId="7712A59F" w14:textId="77777777" w:rsidR="00E2353A" w:rsidRPr="009737B5" w:rsidRDefault="00E2353A" w:rsidP="005F4D08">
      <w:pPr>
        <w:suppressAutoHyphens/>
        <w:spacing w:after="0" w:line="240" w:lineRule="auto"/>
        <w:rPr>
          <w:rFonts w:ascii="Times New Roman" w:hAnsi="Times New Roman" w:cs="Times New Roman"/>
          <w:lang w:val="de-DE"/>
        </w:rPr>
      </w:pPr>
    </w:p>
    <w:p w14:paraId="2168C75D" w14:textId="281A3B4F"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Während einer Behandlung mit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und auch noch mindestens 6</w:t>
      </w:r>
      <w:r w:rsidR="00740FE6">
        <w:rPr>
          <w:rFonts w:ascii="Times New Roman" w:hAnsi="Times New Roman" w:cs="Times New Roman"/>
          <w:lang w:val="de-DE"/>
        </w:rPr>
        <w:t> </w:t>
      </w:r>
      <w:r w:rsidRPr="009737B5">
        <w:rPr>
          <w:rFonts w:ascii="Times New Roman" w:hAnsi="Times New Roman" w:cs="Times New Roman"/>
          <w:lang w:val="de-DE"/>
        </w:rPr>
        <w:t xml:space="preserve">Monate nach der letzten Dosis von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dürfen Sie nicht stillen, da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das Wachstum und die Entwicklung Ihres Kindes beeinträchtigen kann.</w:t>
      </w:r>
    </w:p>
    <w:p w14:paraId="4BB50557" w14:textId="77777777" w:rsidR="00E2353A" w:rsidRPr="009737B5" w:rsidRDefault="00E2353A" w:rsidP="005F4D08">
      <w:pPr>
        <w:suppressAutoHyphens/>
        <w:spacing w:after="0" w:line="240" w:lineRule="auto"/>
        <w:rPr>
          <w:rFonts w:ascii="Times New Roman" w:hAnsi="Times New Roman" w:cs="Times New Roman"/>
          <w:lang w:val="de-DE"/>
        </w:rPr>
      </w:pPr>
    </w:p>
    <w:p w14:paraId="7A9AAA2D" w14:textId="77777777" w:rsidR="00E2353A"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kann die weibliche Fruchtbarkeit beeinträchtigen. Bitte wenden Sie sich für nähere Informationen an Ihren Arzt.</w:t>
      </w:r>
    </w:p>
    <w:p w14:paraId="1A7F7CCE" w14:textId="77777777" w:rsidR="00E2353A" w:rsidRPr="009737B5" w:rsidRDefault="00E2353A" w:rsidP="005F4D08">
      <w:pPr>
        <w:suppressAutoHyphens/>
        <w:spacing w:after="0" w:line="240" w:lineRule="auto"/>
        <w:rPr>
          <w:rFonts w:ascii="Times New Roman" w:hAnsi="Times New Roman" w:cs="Times New Roman"/>
          <w:lang w:val="de-DE"/>
        </w:rPr>
      </w:pPr>
    </w:p>
    <w:p w14:paraId="27E3B970"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Fragen Sie vor der Einnahme von allen Arzneimitteln Ihren Arzt, Apotheker oder das medizinische Fachpersonal um Rat.</w:t>
      </w:r>
    </w:p>
    <w:p w14:paraId="664DC5EB" w14:textId="77777777" w:rsidR="00E2353A" w:rsidRPr="009737B5" w:rsidRDefault="00E2353A" w:rsidP="005F4D08">
      <w:pPr>
        <w:suppressAutoHyphens/>
        <w:spacing w:after="0" w:line="240" w:lineRule="auto"/>
        <w:rPr>
          <w:rFonts w:ascii="Times New Roman" w:hAnsi="Times New Roman" w:cs="Times New Roman"/>
          <w:lang w:val="de-DE"/>
        </w:rPr>
      </w:pPr>
    </w:p>
    <w:p w14:paraId="50AEA61B" w14:textId="77777777" w:rsidR="00E2353A" w:rsidRPr="009737B5" w:rsidRDefault="00E2353A"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Verkehrstüchtigkeit und Fähigkeit zum Bedienen von Maschinen</w:t>
      </w:r>
    </w:p>
    <w:p w14:paraId="57273C90" w14:textId="77777777" w:rsidR="00762559" w:rsidRPr="009737B5" w:rsidRDefault="00762559" w:rsidP="00762559">
      <w:pPr>
        <w:keepNext/>
        <w:suppressAutoHyphens/>
        <w:spacing w:after="0" w:line="240" w:lineRule="auto"/>
        <w:rPr>
          <w:rFonts w:ascii="Times New Roman" w:hAnsi="Times New Roman" w:cs="Times New Roman"/>
          <w:lang w:val="de-DE"/>
        </w:rPr>
      </w:pPr>
    </w:p>
    <w:p w14:paraId="174B4997"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Für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wurde kein negativer Einfluss auf Ihre Verkehrstüchtigkeit oder Ihre Fähigkeit zum</w:t>
      </w:r>
      <w:r w:rsidR="0089185A" w:rsidRPr="009737B5">
        <w:rPr>
          <w:rFonts w:ascii="Times New Roman" w:hAnsi="Times New Roman" w:cs="Times New Roman"/>
          <w:lang w:val="de-DE"/>
        </w:rPr>
        <w:t xml:space="preserve"> </w:t>
      </w:r>
      <w:r w:rsidRPr="009737B5">
        <w:rPr>
          <w:rFonts w:ascii="Times New Roman" w:hAnsi="Times New Roman" w:cs="Times New Roman"/>
          <w:lang w:val="de-DE"/>
        </w:rPr>
        <w:t>Bedienen von Werkzeugen oder Maschinen nachgewiesen. Jedoch wurden Schläfrigkeit und</w:t>
      </w:r>
      <w:r w:rsidR="0089185A" w:rsidRPr="009737B5">
        <w:rPr>
          <w:rFonts w:ascii="Times New Roman" w:hAnsi="Times New Roman" w:cs="Times New Roman"/>
          <w:lang w:val="de-DE"/>
        </w:rPr>
        <w:t xml:space="preserve"> </w:t>
      </w:r>
      <w:r w:rsidRPr="009737B5">
        <w:rPr>
          <w:rFonts w:ascii="Times New Roman" w:hAnsi="Times New Roman" w:cs="Times New Roman"/>
          <w:lang w:val="de-DE"/>
        </w:rPr>
        <w:t xml:space="preserve">Ohnmacht während der Anwendung von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beobachtet. Wenn Sie Symptome wahrnehmen, die Ihr Sehvermögen, Ihre Konzentration oder Ihre Reaktionsfähigkeit beeinträchtigen, fahren Sie nicht selbst und bedienen Sie keine Maschinen, bis die Symptome verschwinden.</w:t>
      </w:r>
    </w:p>
    <w:p w14:paraId="19D8FB48" w14:textId="77777777" w:rsidR="001B2020" w:rsidRDefault="001B2020" w:rsidP="001B2020">
      <w:pPr>
        <w:suppressAutoHyphens/>
        <w:spacing w:after="0" w:line="240" w:lineRule="auto"/>
        <w:rPr>
          <w:rFonts w:ascii="Times New Roman" w:hAnsi="Times New Roman" w:cs="Times New Roman"/>
          <w:lang w:val="de-DE"/>
        </w:rPr>
      </w:pPr>
    </w:p>
    <w:p w14:paraId="342CB553" w14:textId="77777777" w:rsidR="001B2020" w:rsidRDefault="001B2020" w:rsidP="00123832">
      <w:pPr>
        <w:keepNext/>
        <w:suppressAutoHyphens/>
        <w:spacing w:after="0" w:line="240" w:lineRule="auto"/>
        <w:rPr>
          <w:rFonts w:ascii="Times New Roman" w:hAnsi="Times New Roman" w:cs="Times New Roman"/>
          <w:b/>
          <w:lang w:val="de-DE"/>
        </w:rPr>
      </w:pPr>
      <w:r>
        <w:rPr>
          <w:rFonts w:ascii="Times New Roman" w:hAnsi="Times New Roman" w:cs="Times New Roman"/>
          <w:b/>
          <w:lang w:val="de-DE"/>
        </w:rPr>
        <w:lastRenderedPageBreak/>
        <w:t>MVASI enthält Natrium</w:t>
      </w:r>
    </w:p>
    <w:p w14:paraId="32350586" w14:textId="77777777" w:rsidR="001B2020" w:rsidRDefault="001B2020" w:rsidP="00123832">
      <w:pPr>
        <w:keepNext/>
        <w:suppressAutoHyphens/>
        <w:spacing w:after="0" w:line="240" w:lineRule="auto"/>
        <w:rPr>
          <w:rFonts w:ascii="Times New Roman" w:hAnsi="Times New Roman" w:cs="Times New Roman"/>
          <w:b/>
          <w:lang w:val="de-DE"/>
        </w:rPr>
      </w:pPr>
    </w:p>
    <w:p w14:paraId="3721AD63" w14:textId="77777777" w:rsidR="001B2020" w:rsidRDefault="001B2020" w:rsidP="00123832">
      <w:pPr>
        <w:keepNext/>
        <w:suppressAutoHyphens/>
        <w:spacing w:after="0" w:line="240" w:lineRule="auto"/>
        <w:rPr>
          <w:rFonts w:ascii="Times New Roman" w:hAnsi="Times New Roman" w:cs="Times New Roman"/>
          <w:u w:val="single"/>
          <w:lang w:val="de-DE"/>
        </w:rPr>
      </w:pPr>
      <w:r>
        <w:rPr>
          <w:rFonts w:ascii="Times New Roman" w:hAnsi="Times New Roman" w:cs="Times New Roman"/>
          <w:u w:val="single"/>
          <w:lang w:val="de-DE"/>
        </w:rPr>
        <w:t>MVASI 25 mg/ml Konzentrat zur Herstellung einer Infusionslösung (4 ml)</w:t>
      </w:r>
    </w:p>
    <w:p w14:paraId="2205824A" w14:textId="77777777" w:rsidR="001B2020" w:rsidRDefault="001B2020" w:rsidP="001B2020">
      <w:pPr>
        <w:keepLines/>
        <w:suppressAutoHyphens/>
        <w:spacing w:after="0" w:line="240" w:lineRule="auto"/>
        <w:rPr>
          <w:rFonts w:ascii="Times New Roman" w:hAnsi="Times New Roman" w:cs="Times New Roman"/>
          <w:u w:val="single"/>
          <w:lang w:val="de-DE"/>
        </w:rPr>
      </w:pPr>
    </w:p>
    <w:p w14:paraId="486403C2" w14:textId="62840812" w:rsidR="001B2020" w:rsidRDefault="001B2020" w:rsidP="001B2020">
      <w:pPr>
        <w:keepLines/>
        <w:suppressAutoHyphens/>
        <w:spacing w:after="0" w:line="240" w:lineRule="auto"/>
        <w:rPr>
          <w:rFonts w:ascii="Times New Roman" w:hAnsi="Times New Roman" w:cs="Times New Roman"/>
          <w:lang w:val="de-DE"/>
        </w:rPr>
      </w:pPr>
      <w:r>
        <w:rPr>
          <w:rFonts w:ascii="Times New Roman" w:hAnsi="Times New Roman" w:cs="Times New Roman"/>
          <w:lang w:val="de-DE"/>
        </w:rPr>
        <w:t xml:space="preserve">Dieses Arzneimittel enthält </w:t>
      </w:r>
      <w:r w:rsidR="00781DEB">
        <w:rPr>
          <w:rFonts w:ascii="Times New Roman" w:hAnsi="Times New Roman" w:cs="Times New Roman"/>
          <w:lang w:val="de-DE"/>
        </w:rPr>
        <w:t>5,4</w:t>
      </w:r>
      <w:r>
        <w:rPr>
          <w:rFonts w:ascii="Times New Roman" w:hAnsi="Times New Roman" w:cs="Times New Roman"/>
          <w:lang w:val="de-DE"/>
        </w:rPr>
        <w:t> mg Natrium (Hauptbestandteil von Kochsalz/Speisesalz) pro 4 ml Durchstechflasche. Dies entspricht 0,</w:t>
      </w:r>
      <w:r w:rsidR="00781DEB">
        <w:rPr>
          <w:rFonts w:ascii="Times New Roman" w:hAnsi="Times New Roman" w:cs="Times New Roman"/>
          <w:lang w:val="de-DE"/>
        </w:rPr>
        <w:t>3</w:t>
      </w:r>
      <w:r>
        <w:rPr>
          <w:rFonts w:ascii="Times New Roman" w:hAnsi="Times New Roman" w:cs="Times New Roman"/>
          <w:lang w:val="de-DE"/>
        </w:rPr>
        <w:t> % der für einen Erwachsenen empfohlenen maximalen täglichen Natriumaufnahme mit der Nahrung.</w:t>
      </w:r>
    </w:p>
    <w:p w14:paraId="3FF11021" w14:textId="77777777" w:rsidR="001B2020" w:rsidRDefault="001B2020" w:rsidP="001B2020">
      <w:pPr>
        <w:suppressAutoHyphens/>
        <w:spacing w:after="0" w:line="240" w:lineRule="auto"/>
        <w:rPr>
          <w:rFonts w:ascii="Times New Roman" w:hAnsi="Times New Roman" w:cs="Times New Roman"/>
          <w:lang w:val="de-DE"/>
        </w:rPr>
      </w:pPr>
    </w:p>
    <w:p w14:paraId="1E0495FC" w14:textId="77777777" w:rsidR="001B2020" w:rsidRDefault="001B2020" w:rsidP="001B2020">
      <w:pPr>
        <w:suppressAutoHyphens/>
        <w:spacing w:after="0" w:line="240" w:lineRule="auto"/>
        <w:rPr>
          <w:rFonts w:ascii="Times New Roman" w:hAnsi="Times New Roman" w:cs="Times New Roman"/>
          <w:u w:val="single"/>
          <w:lang w:val="de-DE"/>
        </w:rPr>
      </w:pPr>
      <w:r>
        <w:rPr>
          <w:rFonts w:ascii="Times New Roman" w:hAnsi="Times New Roman" w:cs="Times New Roman"/>
          <w:u w:val="single"/>
          <w:lang w:val="de-DE"/>
        </w:rPr>
        <w:t>MVASI 25 mg/ml Konzentrat zur Herstellung einer Infusionslösung (16 ml)</w:t>
      </w:r>
    </w:p>
    <w:p w14:paraId="30FAAFC7" w14:textId="77777777" w:rsidR="001B2020" w:rsidRDefault="001B2020" w:rsidP="001B2020">
      <w:pPr>
        <w:suppressAutoHyphens/>
        <w:spacing w:after="0" w:line="240" w:lineRule="auto"/>
        <w:rPr>
          <w:rFonts w:ascii="Times New Roman" w:hAnsi="Times New Roman" w:cs="Times New Roman"/>
          <w:u w:val="single"/>
          <w:lang w:val="de-DE"/>
        </w:rPr>
      </w:pPr>
    </w:p>
    <w:p w14:paraId="1C3626DC" w14:textId="0ACAD706" w:rsidR="001B2020" w:rsidRDefault="001B2020" w:rsidP="001B2020">
      <w:pPr>
        <w:suppressAutoHyphens/>
        <w:spacing w:after="0" w:line="240" w:lineRule="auto"/>
        <w:rPr>
          <w:rFonts w:ascii="Times New Roman" w:hAnsi="Times New Roman" w:cs="Times New Roman"/>
          <w:lang w:val="de-DE"/>
        </w:rPr>
      </w:pPr>
      <w:r>
        <w:rPr>
          <w:rFonts w:ascii="Times New Roman" w:hAnsi="Times New Roman" w:cs="Times New Roman"/>
          <w:lang w:val="de-DE"/>
        </w:rPr>
        <w:t xml:space="preserve">Dieses Arzneimittel enthält </w:t>
      </w:r>
      <w:r w:rsidR="00781DEB">
        <w:rPr>
          <w:rFonts w:ascii="Times New Roman" w:hAnsi="Times New Roman" w:cs="Times New Roman"/>
          <w:lang w:val="de-DE"/>
        </w:rPr>
        <w:t>21,7</w:t>
      </w:r>
      <w:r>
        <w:rPr>
          <w:rFonts w:ascii="Times New Roman" w:hAnsi="Times New Roman" w:cs="Times New Roman"/>
          <w:lang w:val="de-DE"/>
        </w:rPr>
        <w:t xml:space="preserve"> mg Natrium (Hauptbestandteil von Kochsalz/Speisesalz) pro 16 ml Durchstechflasche. Dies entspricht </w:t>
      </w:r>
      <w:r w:rsidR="00781DEB">
        <w:rPr>
          <w:rFonts w:ascii="Times New Roman" w:hAnsi="Times New Roman" w:cs="Times New Roman"/>
          <w:lang w:val="de-DE"/>
        </w:rPr>
        <w:t>1,1</w:t>
      </w:r>
      <w:r>
        <w:rPr>
          <w:rFonts w:ascii="Times New Roman" w:hAnsi="Times New Roman" w:cs="Times New Roman"/>
          <w:lang w:val="de-DE"/>
        </w:rPr>
        <w:t> % der für einen Erwachsenen empfohlenen maximalen täglichen Natriumaufnahme mit der Nahrung.</w:t>
      </w:r>
    </w:p>
    <w:p w14:paraId="3E52E133" w14:textId="77777777" w:rsidR="00E2353A" w:rsidRPr="009737B5" w:rsidRDefault="00E2353A" w:rsidP="005F4D08">
      <w:pPr>
        <w:suppressAutoHyphens/>
        <w:spacing w:after="0" w:line="240" w:lineRule="auto"/>
        <w:rPr>
          <w:rFonts w:ascii="Times New Roman" w:hAnsi="Times New Roman" w:cs="Times New Roman"/>
          <w:lang w:val="de-DE"/>
        </w:rPr>
      </w:pPr>
    </w:p>
    <w:p w14:paraId="0C9635FA" w14:textId="77777777" w:rsidR="00E2353A" w:rsidRPr="009737B5" w:rsidRDefault="00E2353A" w:rsidP="005F4D08">
      <w:pPr>
        <w:suppressAutoHyphens/>
        <w:spacing w:after="0" w:line="240" w:lineRule="auto"/>
        <w:rPr>
          <w:rFonts w:ascii="Times New Roman" w:hAnsi="Times New Roman" w:cs="Times New Roman"/>
          <w:lang w:val="de-DE"/>
        </w:rPr>
      </w:pPr>
    </w:p>
    <w:p w14:paraId="79A16021" w14:textId="77777777" w:rsidR="00E2353A" w:rsidRPr="009737B5" w:rsidRDefault="0089185A" w:rsidP="00762559">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3.</w:t>
      </w:r>
      <w:r w:rsidR="00E2353A" w:rsidRPr="009737B5">
        <w:rPr>
          <w:rFonts w:ascii="Times New Roman" w:hAnsi="Times New Roman" w:cs="Times New Roman"/>
          <w:b/>
          <w:lang w:val="de-DE"/>
        </w:rPr>
        <w:tab/>
        <w:t xml:space="preserve">Wie ist </w:t>
      </w:r>
      <w:r w:rsidR="00885FD1" w:rsidRPr="009737B5">
        <w:rPr>
          <w:rFonts w:ascii="Times New Roman" w:hAnsi="Times New Roman" w:cs="Times New Roman"/>
          <w:b/>
          <w:lang w:val="de-DE"/>
        </w:rPr>
        <w:t>MVASI</w:t>
      </w:r>
      <w:r w:rsidR="00E2353A" w:rsidRPr="009737B5">
        <w:rPr>
          <w:rFonts w:ascii="Times New Roman" w:hAnsi="Times New Roman" w:cs="Times New Roman"/>
          <w:b/>
          <w:lang w:val="de-DE"/>
        </w:rPr>
        <w:t xml:space="preserve"> anzuwenden?</w:t>
      </w:r>
    </w:p>
    <w:p w14:paraId="3EF1C78D" w14:textId="77777777" w:rsidR="00E2353A" w:rsidRPr="009737B5" w:rsidRDefault="00E2353A" w:rsidP="00762559">
      <w:pPr>
        <w:keepNext/>
        <w:suppressAutoHyphens/>
        <w:spacing w:after="0" w:line="240" w:lineRule="auto"/>
        <w:rPr>
          <w:rFonts w:ascii="Times New Roman" w:hAnsi="Times New Roman" w:cs="Times New Roman"/>
          <w:lang w:val="de-DE"/>
        </w:rPr>
      </w:pPr>
    </w:p>
    <w:p w14:paraId="5C8145E9" w14:textId="3F9A94FB" w:rsidR="00E2353A" w:rsidRPr="009737B5" w:rsidRDefault="00E2353A"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Dosi</w:t>
      </w:r>
      <w:r w:rsidR="004A041E">
        <w:rPr>
          <w:rFonts w:ascii="Times New Roman" w:hAnsi="Times New Roman" w:cs="Times New Roman"/>
          <w:b/>
          <w:lang w:val="de-DE"/>
        </w:rPr>
        <w:t>s</w:t>
      </w:r>
      <w:r w:rsidRPr="009737B5">
        <w:rPr>
          <w:rFonts w:ascii="Times New Roman" w:hAnsi="Times New Roman" w:cs="Times New Roman"/>
          <w:b/>
          <w:lang w:val="de-DE"/>
        </w:rPr>
        <w:t xml:space="preserve"> und Häufigkeit der Anwendung</w:t>
      </w:r>
    </w:p>
    <w:p w14:paraId="6663E5BE" w14:textId="77777777" w:rsidR="00762559" w:rsidRPr="009737B5" w:rsidRDefault="00762559" w:rsidP="00762559">
      <w:pPr>
        <w:keepNext/>
        <w:suppressAutoHyphens/>
        <w:spacing w:after="0" w:line="240" w:lineRule="auto"/>
        <w:rPr>
          <w:rFonts w:ascii="Times New Roman" w:hAnsi="Times New Roman" w:cs="Times New Roman"/>
          <w:lang w:val="de-DE"/>
        </w:rPr>
      </w:pPr>
    </w:p>
    <w:p w14:paraId="21718BA8" w14:textId="11621D72"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Ihre </w:t>
      </w:r>
      <w:r w:rsidR="00885FD1" w:rsidRPr="009737B5">
        <w:rPr>
          <w:rFonts w:ascii="Times New Roman" w:hAnsi="Times New Roman" w:cs="Times New Roman"/>
          <w:lang w:val="de-DE"/>
        </w:rPr>
        <w:t>MVASI</w:t>
      </w:r>
      <w:r w:rsidR="00526D67" w:rsidRPr="009737B5">
        <w:rPr>
          <w:rFonts w:ascii="Times New Roman" w:hAnsi="Times New Roman" w:cs="Times New Roman"/>
          <w:lang w:val="de-DE"/>
        </w:rPr>
        <w:t>-</w:t>
      </w:r>
      <w:r w:rsidRPr="009737B5">
        <w:rPr>
          <w:rFonts w:ascii="Times New Roman" w:hAnsi="Times New Roman" w:cs="Times New Roman"/>
          <w:lang w:val="de-DE"/>
        </w:rPr>
        <w:t>Dosis richtet sich nach Ihrem Körpergewicht und der Art der zu behandelnden</w:t>
      </w:r>
      <w:r w:rsidR="0089185A" w:rsidRPr="009737B5">
        <w:rPr>
          <w:rFonts w:ascii="Times New Roman" w:hAnsi="Times New Roman" w:cs="Times New Roman"/>
          <w:lang w:val="de-DE"/>
        </w:rPr>
        <w:t xml:space="preserve"> </w:t>
      </w:r>
      <w:r w:rsidRPr="009737B5">
        <w:rPr>
          <w:rFonts w:ascii="Times New Roman" w:hAnsi="Times New Roman" w:cs="Times New Roman"/>
          <w:lang w:val="de-DE"/>
        </w:rPr>
        <w:t>Krebserkrankung. Die empfohlene Dosis beträgt 5</w:t>
      </w:r>
      <w:r w:rsidR="00AB26B9" w:rsidRPr="009737B5">
        <w:rPr>
          <w:rFonts w:ascii="Times New Roman" w:hAnsi="Times New Roman" w:cs="Times New Roman"/>
          <w:lang w:val="de-DE"/>
        </w:rPr>
        <w:t> mg</w:t>
      </w:r>
      <w:r w:rsidRPr="009737B5">
        <w:rPr>
          <w:rFonts w:ascii="Times New Roman" w:hAnsi="Times New Roman" w:cs="Times New Roman"/>
          <w:lang w:val="de-DE"/>
        </w:rPr>
        <w:t>, 7,5</w:t>
      </w:r>
      <w:r w:rsidR="00AB26B9" w:rsidRPr="009737B5">
        <w:rPr>
          <w:rFonts w:ascii="Times New Roman" w:hAnsi="Times New Roman" w:cs="Times New Roman"/>
          <w:lang w:val="de-DE"/>
        </w:rPr>
        <w:t> mg</w:t>
      </w:r>
      <w:r w:rsidRPr="009737B5">
        <w:rPr>
          <w:rFonts w:ascii="Times New Roman" w:hAnsi="Times New Roman" w:cs="Times New Roman"/>
          <w:lang w:val="de-DE"/>
        </w:rPr>
        <w:t>, 10</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 oder 15</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 pro Kilogramm Ihres Körpergewichtes. Ihr Arzt wird Ihnen die Dosis verschreiben, die für Sie richtig ist. Sie erhalten einmal alle 2 oder 3</w:t>
      </w:r>
      <w:r w:rsidR="00740FE6">
        <w:rPr>
          <w:rFonts w:ascii="Times New Roman" w:hAnsi="Times New Roman" w:cs="Times New Roman"/>
          <w:lang w:val="de-DE"/>
        </w:rPr>
        <w:t> </w:t>
      </w:r>
      <w:r w:rsidRPr="009737B5">
        <w:rPr>
          <w:rFonts w:ascii="Times New Roman" w:hAnsi="Times New Roman" w:cs="Times New Roman"/>
          <w:lang w:val="de-DE"/>
        </w:rPr>
        <w:t xml:space="preserve">Wochen eine Behandlung mit </w:t>
      </w:r>
      <w:r w:rsidR="00885FD1" w:rsidRPr="009737B5">
        <w:rPr>
          <w:rFonts w:ascii="Times New Roman" w:hAnsi="Times New Roman" w:cs="Times New Roman"/>
          <w:lang w:val="de-DE"/>
        </w:rPr>
        <w:t>MVASI</w:t>
      </w:r>
      <w:r w:rsidRPr="009737B5">
        <w:rPr>
          <w:rFonts w:ascii="Times New Roman" w:hAnsi="Times New Roman" w:cs="Times New Roman"/>
          <w:lang w:val="de-DE"/>
        </w:rPr>
        <w:t>. Die Zahl der Infusionen hängt davon ab,</w:t>
      </w:r>
      <w:r w:rsidR="0089185A" w:rsidRPr="009737B5">
        <w:rPr>
          <w:rFonts w:ascii="Times New Roman" w:hAnsi="Times New Roman" w:cs="Times New Roman"/>
          <w:lang w:val="de-DE"/>
        </w:rPr>
        <w:t xml:space="preserve"> </w:t>
      </w:r>
      <w:r w:rsidRPr="009737B5">
        <w:rPr>
          <w:rFonts w:ascii="Times New Roman" w:hAnsi="Times New Roman" w:cs="Times New Roman"/>
          <w:lang w:val="de-DE"/>
        </w:rPr>
        <w:t xml:space="preserve">wie Sie auf die Behandlung reagieren. Sie sollten die Therapie fortsetzen, bis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das Tumorwachstum nicht länger aufhalten kann. Ihr Arzt wird mit Ihnen darüber sprechen.</w:t>
      </w:r>
    </w:p>
    <w:p w14:paraId="1C077982" w14:textId="77777777" w:rsidR="00E2353A" w:rsidRPr="009737B5" w:rsidRDefault="00E2353A" w:rsidP="005F4D08">
      <w:pPr>
        <w:suppressAutoHyphens/>
        <w:spacing w:after="0" w:line="240" w:lineRule="auto"/>
        <w:rPr>
          <w:rFonts w:ascii="Times New Roman" w:hAnsi="Times New Roman" w:cs="Times New Roman"/>
          <w:lang w:val="de-DE"/>
        </w:rPr>
      </w:pPr>
    </w:p>
    <w:p w14:paraId="65CD4305" w14:textId="77777777" w:rsidR="00E2353A" w:rsidRPr="009737B5" w:rsidRDefault="00E2353A"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Art der Anwendung</w:t>
      </w:r>
    </w:p>
    <w:p w14:paraId="0E910C02" w14:textId="77777777" w:rsidR="00762559" w:rsidRPr="009737B5" w:rsidRDefault="00762559" w:rsidP="00762559">
      <w:pPr>
        <w:keepNext/>
        <w:suppressAutoHyphens/>
        <w:spacing w:after="0" w:line="240" w:lineRule="auto"/>
        <w:rPr>
          <w:rFonts w:ascii="Times New Roman" w:hAnsi="Times New Roman" w:cs="Times New Roman"/>
          <w:lang w:val="de-DE"/>
        </w:rPr>
      </w:pPr>
    </w:p>
    <w:p w14:paraId="6D865F7F" w14:textId="1C0537D0" w:rsidR="00E2353A" w:rsidRPr="009737B5" w:rsidRDefault="00BC44E1" w:rsidP="005F4D08">
      <w:pPr>
        <w:suppressAutoHyphens/>
        <w:spacing w:after="0" w:line="240" w:lineRule="auto"/>
        <w:rPr>
          <w:rFonts w:ascii="Times New Roman" w:hAnsi="Times New Roman" w:cs="Times New Roman"/>
          <w:lang w:val="de-DE"/>
        </w:rPr>
      </w:pPr>
      <w:r w:rsidRPr="00BC44E1">
        <w:rPr>
          <w:rFonts w:ascii="Times New Roman" w:hAnsi="Times New Roman" w:cs="Times New Roman"/>
          <w:lang w:val="de-DE"/>
        </w:rPr>
        <w:t>Durchstechflasche nicht schütteln.</w:t>
      </w:r>
      <w:r>
        <w:rPr>
          <w:rFonts w:ascii="Times New Roman" w:hAnsi="Times New Roman" w:cs="Times New Roman"/>
          <w:lang w:val="de-DE"/>
        </w:rPr>
        <w:t xml:space="preserve"> </w:t>
      </w:r>
      <w:r w:rsidR="00885FD1" w:rsidRPr="009737B5">
        <w:rPr>
          <w:rFonts w:ascii="Times New Roman" w:hAnsi="Times New Roman" w:cs="Times New Roman"/>
          <w:lang w:val="de-DE"/>
        </w:rPr>
        <w:t>MVASI</w:t>
      </w:r>
      <w:r w:rsidR="00E2353A" w:rsidRPr="009737B5">
        <w:rPr>
          <w:rFonts w:ascii="Times New Roman" w:hAnsi="Times New Roman" w:cs="Times New Roman"/>
          <w:lang w:val="de-DE"/>
        </w:rPr>
        <w:t xml:space="preserve"> ist ein Konzentrat zur Herstellung einer Infusionslösung. Je nach der Ihnen verschriebenen</w:t>
      </w:r>
      <w:r w:rsidR="0089185A" w:rsidRPr="009737B5">
        <w:rPr>
          <w:rFonts w:ascii="Times New Roman" w:hAnsi="Times New Roman" w:cs="Times New Roman"/>
          <w:lang w:val="de-DE"/>
        </w:rPr>
        <w:t xml:space="preserve"> </w:t>
      </w:r>
      <w:r w:rsidR="00E2353A" w:rsidRPr="009737B5">
        <w:rPr>
          <w:rFonts w:ascii="Times New Roman" w:hAnsi="Times New Roman" w:cs="Times New Roman"/>
          <w:lang w:val="de-DE"/>
        </w:rPr>
        <w:t xml:space="preserve">Dosis wird ein Teil oder der gesamte Inhalt der </w:t>
      </w:r>
      <w:r w:rsidR="00885FD1" w:rsidRPr="009737B5">
        <w:rPr>
          <w:rFonts w:ascii="Times New Roman" w:hAnsi="Times New Roman" w:cs="Times New Roman"/>
          <w:lang w:val="de-DE"/>
        </w:rPr>
        <w:t>MVASI</w:t>
      </w:r>
      <w:r w:rsidR="00526D67" w:rsidRPr="009737B5">
        <w:rPr>
          <w:rFonts w:ascii="Times New Roman" w:hAnsi="Times New Roman" w:cs="Times New Roman"/>
          <w:lang w:val="de-DE"/>
        </w:rPr>
        <w:t>-</w:t>
      </w:r>
      <w:r w:rsidR="00E2353A" w:rsidRPr="009737B5">
        <w:rPr>
          <w:rFonts w:ascii="Times New Roman" w:hAnsi="Times New Roman" w:cs="Times New Roman"/>
          <w:lang w:val="de-DE"/>
        </w:rPr>
        <w:t xml:space="preserve">Durchstechflasche vor der Anwendung mit Kochsalzlösung verdünnt. Ein Arzt, eine Krankenschwester oder ein Pfleger wird Ihnen diese verdünnte </w:t>
      </w:r>
      <w:r w:rsidR="00885FD1" w:rsidRPr="009737B5">
        <w:rPr>
          <w:rFonts w:ascii="Times New Roman" w:hAnsi="Times New Roman" w:cs="Times New Roman"/>
          <w:lang w:val="de-DE"/>
        </w:rPr>
        <w:t>MVASI</w:t>
      </w:r>
      <w:r w:rsidR="00526D67" w:rsidRPr="009737B5">
        <w:rPr>
          <w:rFonts w:ascii="Times New Roman" w:hAnsi="Times New Roman" w:cs="Times New Roman"/>
          <w:lang w:val="de-DE"/>
        </w:rPr>
        <w:t>-</w:t>
      </w:r>
      <w:r w:rsidR="00E2353A" w:rsidRPr="009737B5">
        <w:rPr>
          <w:rFonts w:ascii="Times New Roman" w:hAnsi="Times New Roman" w:cs="Times New Roman"/>
          <w:lang w:val="de-DE"/>
        </w:rPr>
        <w:t>Lösung über eine intravenöse Infusion (über einen Tropf in Ihre Vene) geben. Die erste Infusion läuft über einen Zeitraum von 90</w:t>
      </w:r>
      <w:r w:rsidR="00740FE6">
        <w:rPr>
          <w:rFonts w:ascii="Times New Roman" w:hAnsi="Times New Roman" w:cs="Times New Roman"/>
          <w:lang w:val="de-DE"/>
        </w:rPr>
        <w:t> </w:t>
      </w:r>
      <w:r w:rsidR="00E2353A" w:rsidRPr="009737B5">
        <w:rPr>
          <w:rFonts w:ascii="Times New Roman" w:hAnsi="Times New Roman" w:cs="Times New Roman"/>
          <w:lang w:val="de-DE"/>
        </w:rPr>
        <w:t>Minuten. Wenn Sie diese erste Infusion gut vertragen, kann die nächste Infusion über einen Zeitraum von 60</w:t>
      </w:r>
      <w:r w:rsidR="00740FE6">
        <w:rPr>
          <w:rFonts w:ascii="Times New Roman" w:hAnsi="Times New Roman" w:cs="Times New Roman"/>
          <w:lang w:val="de-DE"/>
        </w:rPr>
        <w:t> </w:t>
      </w:r>
      <w:r w:rsidR="00E2353A" w:rsidRPr="009737B5">
        <w:rPr>
          <w:rFonts w:ascii="Times New Roman" w:hAnsi="Times New Roman" w:cs="Times New Roman"/>
          <w:lang w:val="de-DE"/>
        </w:rPr>
        <w:t>Minuten gegeben werden. Bei Folgeinfusionen kann sich dieser Zeitraum auf 30</w:t>
      </w:r>
      <w:r w:rsidR="00740FE6">
        <w:rPr>
          <w:rFonts w:ascii="Times New Roman" w:hAnsi="Times New Roman" w:cs="Times New Roman"/>
          <w:lang w:val="de-DE"/>
        </w:rPr>
        <w:t> </w:t>
      </w:r>
      <w:r w:rsidR="00E2353A" w:rsidRPr="009737B5">
        <w:rPr>
          <w:rFonts w:ascii="Times New Roman" w:hAnsi="Times New Roman" w:cs="Times New Roman"/>
          <w:lang w:val="de-DE"/>
        </w:rPr>
        <w:t>Minuten verkürzen.</w:t>
      </w:r>
    </w:p>
    <w:p w14:paraId="570A82DF" w14:textId="77777777" w:rsidR="00E2353A" w:rsidRPr="009737B5" w:rsidRDefault="00E2353A" w:rsidP="005F4D08">
      <w:pPr>
        <w:suppressAutoHyphens/>
        <w:spacing w:after="0" w:line="240" w:lineRule="auto"/>
        <w:rPr>
          <w:rFonts w:ascii="Times New Roman" w:hAnsi="Times New Roman" w:cs="Times New Roman"/>
          <w:lang w:val="de-DE"/>
        </w:rPr>
      </w:pPr>
    </w:p>
    <w:p w14:paraId="494B890A" w14:textId="5ECF1F98" w:rsidR="00E2353A" w:rsidRPr="009737B5" w:rsidRDefault="00E2353A"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 xml:space="preserve">Die Anwendung von </w:t>
      </w:r>
      <w:r w:rsidR="00885FD1" w:rsidRPr="009737B5">
        <w:rPr>
          <w:rFonts w:ascii="Times New Roman" w:hAnsi="Times New Roman" w:cs="Times New Roman"/>
          <w:b/>
          <w:lang w:val="de-DE"/>
        </w:rPr>
        <w:t>MVASI</w:t>
      </w:r>
      <w:r w:rsidRPr="009737B5">
        <w:rPr>
          <w:rFonts w:ascii="Times New Roman" w:hAnsi="Times New Roman" w:cs="Times New Roman"/>
          <w:b/>
          <w:lang w:val="de-DE"/>
        </w:rPr>
        <w:t xml:space="preserve"> sollte vorübergehend unterbrochen werden</w:t>
      </w:r>
      <w:r w:rsidR="00CA2B95">
        <w:rPr>
          <w:rFonts w:ascii="Times New Roman" w:hAnsi="Times New Roman" w:cs="Times New Roman"/>
          <w:b/>
          <w:lang w:val="de-DE"/>
        </w:rPr>
        <w:t>,</w:t>
      </w:r>
    </w:p>
    <w:p w14:paraId="71D53147" w14:textId="77777777" w:rsidR="00762559" w:rsidRPr="009737B5" w:rsidRDefault="00762559" w:rsidP="00762559">
      <w:pPr>
        <w:keepNext/>
        <w:suppressAutoHyphens/>
        <w:spacing w:after="0" w:line="240" w:lineRule="auto"/>
        <w:rPr>
          <w:rFonts w:ascii="Times New Roman" w:hAnsi="Times New Roman" w:cs="Times New Roman"/>
          <w:b/>
          <w:lang w:val="de-DE"/>
        </w:rPr>
      </w:pPr>
    </w:p>
    <w:p w14:paraId="1AD0592C"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wenn Sie sehr hohen Blutdruck entwickeln, der eine Behandlung mit blutdrucksenkenden Mitteln erfordert,</w:t>
      </w:r>
    </w:p>
    <w:p w14:paraId="45F9A182"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wenn Sie nach Operationen Störungen bei der Wundheilung haben,</w:t>
      </w:r>
    </w:p>
    <w:p w14:paraId="14B5DEBB"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wenn Sie operiert werden.</w:t>
      </w:r>
    </w:p>
    <w:p w14:paraId="202E71FE" w14:textId="77777777" w:rsidR="00E2353A" w:rsidRPr="0021398C" w:rsidRDefault="00E2353A" w:rsidP="0021398C">
      <w:pPr>
        <w:suppressAutoHyphens/>
        <w:spacing w:after="0" w:line="240" w:lineRule="auto"/>
        <w:rPr>
          <w:rFonts w:ascii="Times New Roman" w:hAnsi="Times New Roman" w:cs="Times New Roman"/>
          <w:lang w:val="de-DE"/>
        </w:rPr>
      </w:pPr>
    </w:p>
    <w:p w14:paraId="30D7F0BF" w14:textId="77777777" w:rsidR="00E2353A" w:rsidRPr="009737B5" w:rsidRDefault="00E2353A"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 xml:space="preserve">Die Anwendung von </w:t>
      </w:r>
      <w:r w:rsidR="00885FD1" w:rsidRPr="009737B5">
        <w:rPr>
          <w:rFonts w:ascii="Times New Roman" w:hAnsi="Times New Roman" w:cs="Times New Roman"/>
          <w:b/>
          <w:lang w:val="de-DE"/>
        </w:rPr>
        <w:t>MVASI</w:t>
      </w:r>
      <w:r w:rsidRPr="009737B5">
        <w:rPr>
          <w:rFonts w:ascii="Times New Roman" w:hAnsi="Times New Roman" w:cs="Times New Roman"/>
          <w:b/>
          <w:lang w:val="de-DE"/>
        </w:rPr>
        <w:t xml:space="preserve"> sollte endgültig abgesetzt werden</w:t>
      </w:r>
      <w:r w:rsidR="00762559" w:rsidRPr="009737B5">
        <w:rPr>
          <w:rFonts w:ascii="Times New Roman" w:hAnsi="Times New Roman" w:cs="Times New Roman"/>
          <w:b/>
          <w:lang w:val="de-DE"/>
        </w:rPr>
        <w:t>, wenn Sie Folgendes entwickeln</w:t>
      </w:r>
      <w:r w:rsidR="00755753" w:rsidRPr="009737B5">
        <w:rPr>
          <w:rFonts w:ascii="Times New Roman" w:hAnsi="Times New Roman" w:cs="Times New Roman"/>
          <w:b/>
          <w:lang w:val="de-DE"/>
        </w:rPr>
        <w:t>:</w:t>
      </w:r>
    </w:p>
    <w:p w14:paraId="673B9033" w14:textId="77777777" w:rsidR="00762559" w:rsidRPr="009737B5" w:rsidRDefault="00762559" w:rsidP="00762559">
      <w:pPr>
        <w:keepNext/>
        <w:suppressAutoHyphens/>
        <w:spacing w:after="0" w:line="240" w:lineRule="auto"/>
        <w:rPr>
          <w:rFonts w:ascii="Times New Roman" w:hAnsi="Times New Roman" w:cs="Times New Roman"/>
          <w:b/>
          <w:lang w:val="de-DE"/>
        </w:rPr>
      </w:pPr>
    </w:p>
    <w:p w14:paraId="7317D2EF"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sehr hohen Blutdruck, der sich nicht mit blutdrucksenkenden Mitteln beherrschen lässt; oder eine plötzliche, ernstzunehmende Blutdruckerhöhung,</w:t>
      </w:r>
    </w:p>
    <w:p w14:paraId="740415EE"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Eiweiß im Urin, begleitet von Schwellungen am Körper,</w:t>
      </w:r>
    </w:p>
    <w:p w14:paraId="5BCA3615"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ein Loch in Ihrer Darmwand,</w:t>
      </w:r>
    </w:p>
    <w:p w14:paraId="7789AFBF"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eine anormale, röhrenartige Verbindung oder einen Durchlass zwischen Luft- und Speiseröhre, zwischen inneren Organen und der Haut, zwischen der Vagina und Teilen des Darms oder zwischen anderen Geweben, die normalerweise nicht miteinander verbunden sind (Fisteln) und die durch den behandelnden Arzt als schwerwiegend beurteilt wird,</w:t>
      </w:r>
    </w:p>
    <w:p w14:paraId="782836B5"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schwerwiegende Infektionen der Haut oder unter der Haut liegender, tieferer Schichten,</w:t>
      </w:r>
    </w:p>
    <w:p w14:paraId="39C7B591"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ein Blutgerinnsel in den Arterien,</w:t>
      </w:r>
    </w:p>
    <w:p w14:paraId="3D8D403C"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ein Blutgerinnsel in den Blutgefäßen Ihrer Lunge,</w:t>
      </w:r>
    </w:p>
    <w:p w14:paraId="6EE61F5A"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lastRenderedPageBreak/>
        <w:t>irgendeine schwere Blutung.</w:t>
      </w:r>
    </w:p>
    <w:p w14:paraId="0D4DAC92" w14:textId="77777777" w:rsidR="00E2353A" w:rsidRPr="009737B5" w:rsidRDefault="00E2353A" w:rsidP="005F4D08">
      <w:pPr>
        <w:suppressAutoHyphens/>
        <w:spacing w:after="0" w:line="240" w:lineRule="auto"/>
        <w:rPr>
          <w:rFonts w:ascii="Times New Roman" w:hAnsi="Times New Roman" w:cs="Times New Roman"/>
          <w:lang w:val="de-DE"/>
        </w:rPr>
      </w:pPr>
    </w:p>
    <w:p w14:paraId="77E20DAA" w14:textId="77777777" w:rsidR="00E2353A" w:rsidRPr="009737B5" w:rsidRDefault="00E2353A"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 xml:space="preserve">Wenn bei Ihnen eine größere Menge von </w:t>
      </w:r>
      <w:r w:rsidR="00885FD1" w:rsidRPr="009737B5">
        <w:rPr>
          <w:rFonts w:ascii="Times New Roman" w:hAnsi="Times New Roman" w:cs="Times New Roman"/>
          <w:b/>
          <w:lang w:val="de-DE"/>
        </w:rPr>
        <w:t>MVASI</w:t>
      </w:r>
      <w:r w:rsidRPr="009737B5">
        <w:rPr>
          <w:rFonts w:ascii="Times New Roman" w:hAnsi="Times New Roman" w:cs="Times New Roman"/>
          <w:b/>
          <w:lang w:val="de-DE"/>
        </w:rPr>
        <w:t xml:space="preserve"> angewendet wurde, als </w:t>
      </w:r>
      <w:r w:rsidR="00380D1C" w:rsidRPr="009737B5">
        <w:rPr>
          <w:rFonts w:ascii="Times New Roman" w:hAnsi="Times New Roman" w:cs="Times New Roman"/>
          <w:b/>
          <w:lang w:val="de-DE"/>
        </w:rPr>
        <w:t xml:space="preserve">man </w:t>
      </w:r>
      <w:r w:rsidRPr="009737B5">
        <w:rPr>
          <w:rFonts w:ascii="Times New Roman" w:hAnsi="Times New Roman" w:cs="Times New Roman"/>
          <w:b/>
          <w:lang w:val="de-DE"/>
        </w:rPr>
        <w:t>sollte</w:t>
      </w:r>
    </w:p>
    <w:p w14:paraId="36332E8A" w14:textId="77777777" w:rsidR="00762559" w:rsidRPr="009737B5" w:rsidRDefault="00762559" w:rsidP="00762559">
      <w:pPr>
        <w:keepNext/>
        <w:suppressAutoHyphens/>
        <w:spacing w:after="0" w:line="240" w:lineRule="auto"/>
        <w:rPr>
          <w:rFonts w:ascii="Times New Roman" w:hAnsi="Times New Roman" w:cs="Times New Roman"/>
          <w:b/>
          <w:lang w:val="de-DE"/>
        </w:rPr>
      </w:pPr>
    </w:p>
    <w:p w14:paraId="648D40AB" w14:textId="77777777" w:rsidR="00E2353A" w:rsidRPr="009737B5" w:rsidRDefault="00E2353A" w:rsidP="00434AA4">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können Sie schwere Migräne bekommen. Sprechen Sie in diesem Fall sofort mit Ihrem Arzt, Apotheker oder dem medizinischen Fachpersonal.</w:t>
      </w:r>
    </w:p>
    <w:p w14:paraId="19F6C67A" w14:textId="77777777" w:rsidR="00E2353A" w:rsidRPr="009737B5" w:rsidRDefault="00E2353A" w:rsidP="005F4D08">
      <w:pPr>
        <w:suppressAutoHyphens/>
        <w:spacing w:after="0" w:line="240" w:lineRule="auto"/>
        <w:rPr>
          <w:rFonts w:ascii="Times New Roman" w:hAnsi="Times New Roman" w:cs="Times New Roman"/>
          <w:lang w:val="de-DE"/>
        </w:rPr>
      </w:pPr>
    </w:p>
    <w:p w14:paraId="2B28EE71" w14:textId="77777777" w:rsidR="00E2353A" w:rsidRPr="009737B5" w:rsidRDefault="00E2353A"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 xml:space="preserve">Wenn bei Ihnen die Anwendung von </w:t>
      </w:r>
      <w:r w:rsidR="00885FD1" w:rsidRPr="009737B5">
        <w:rPr>
          <w:rFonts w:ascii="Times New Roman" w:hAnsi="Times New Roman" w:cs="Times New Roman"/>
          <w:b/>
          <w:lang w:val="de-DE"/>
        </w:rPr>
        <w:t>MVASI</w:t>
      </w:r>
      <w:r w:rsidRPr="009737B5">
        <w:rPr>
          <w:rFonts w:ascii="Times New Roman" w:hAnsi="Times New Roman" w:cs="Times New Roman"/>
          <w:b/>
          <w:lang w:val="de-DE"/>
        </w:rPr>
        <w:t xml:space="preserve"> vergessen wurde</w:t>
      </w:r>
    </w:p>
    <w:p w14:paraId="5C5040C3" w14:textId="77777777" w:rsidR="00762559" w:rsidRPr="009737B5" w:rsidRDefault="00762559" w:rsidP="00762559">
      <w:pPr>
        <w:keepNext/>
        <w:suppressAutoHyphens/>
        <w:spacing w:after="0" w:line="240" w:lineRule="auto"/>
        <w:rPr>
          <w:rFonts w:ascii="Times New Roman" w:hAnsi="Times New Roman" w:cs="Times New Roman"/>
          <w:b/>
          <w:lang w:val="de-DE"/>
        </w:rPr>
      </w:pPr>
    </w:p>
    <w:p w14:paraId="0DD15F45" w14:textId="77777777" w:rsidR="00E2353A" w:rsidRPr="009737B5" w:rsidRDefault="00E2353A" w:rsidP="00434AA4">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 xml:space="preserve">Ihr Arzt wird darüber entscheiden, wann Sie die nächste </w:t>
      </w:r>
      <w:r w:rsidR="00885FD1" w:rsidRPr="009737B5">
        <w:rPr>
          <w:rFonts w:ascii="Times New Roman" w:hAnsi="Times New Roman" w:cs="Times New Roman"/>
          <w:lang w:val="de-DE"/>
        </w:rPr>
        <w:t>MVASI</w:t>
      </w:r>
      <w:r w:rsidR="00526D67" w:rsidRPr="009737B5">
        <w:rPr>
          <w:rFonts w:ascii="Times New Roman" w:hAnsi="Times New Roman" w:cs="Times New Roman"/>
          <w:lang w:val="de-DE"/>
        </w:rPr>
        <w:t>-</w:t>
      </w:r>
      <w:r w:rsidRPr="009737B5">
        <w:rPr>
          <w:rFonts w:ascii="Times New Roman" w:hAnsi="Times New Roman" w:cs="Times New Roman"/>
          <w:lang w:val="de-DE"/>
        </w:rPr>
        <w:t>Dosis erhalten werden. Sie sollten dies mit Ihrem Arzt besprechen.</w:t>
      </w:r>
    </w:p>
    <w:p w14:paraId="34409928" w14:textId="77777777" w:rsidR="00E2353A" w:rsidRPr="009737B5" w:rsidRDefault="00E2353A" w:rsidP="005F4D08">
      <w:pPr>
        <w:suppressAutoHyphens/>
        <w:spacing w:after="0" w:line="240" w:lineRule="auto"/>
        <w:rPr>
          <w:rFonts w:ascii="Times New Roman" w:hAnsi="Times New Roman" w:cs="Times New Roman"/>
          <w:lang w:val="de-DE"/>
        </w:rPr>
      </w:pPr>
    </w:p>
    <w:p w14:paraId="2D406B20" w14:textId="77777777" w:rsidR="00E2353A" w:rsidRPr="009737B5" w:rsidRDefault="00E2353A" w:rsidP="00762559">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 xml:space="preserve">Wenn Sie die Anwendung von </w:t>
      </w:r>
      <w:r w:rsidR="00885FD1" w:rsidRPr="009737B5">
        <w:rPr>
          <w:rFonts w:ascii="Times New Roman" w:hAnsi="Times New Roman" w:cs="Times New Roman"/>
          <w:b/>
          <w:lang w:val="de-DE"/>
        </w:rPr>
        <w:t>MVASI</w:t>
      </w:r>
      <w:r w:rsidRPr="009737B5">
        <w:rPr>
          <w:rFonts w:ascii="Times New Roman" w:hAnsi="Times New Roman" w:cs="Times New Roman"/>
          <w:b/>
          <w:lang w:val="de-DE"/>
        </w:rPr>
        <w:t xml:space="preserve"> abbrechen</w:t>
      </w:r>
    </w:p>
    <w:p w14:paraId="1B5A6B11" w14:textId="77777777" w:rsidR="00762559" w:rsidRPr="009737B5" w:rsidRDefault="00762559" w:rsidP="00762559">
      <w:pPr>
        <w:keepNext/>
        <w:suppressAutoHyphens/>
        <w:spacing w:after="0" w:line="240" w:lineRule="auto"/>
        <w:rPr>
          <w:rFonts w:ascii="Times New Roman" w:hAnsi="Times New Roman" w:cs="Times New Roman"/>
          <w:lang w:val="de-DE"/>
        </w:rPr>
      </w:pPr>
    </w:p>
    <w:p w14:paraId="76CA26BE"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Ein Abbruch der </w:t>
      </w:r>
      <w:r w:rsidR="00885FD1" w:rsidRPr="009737B5">
        <w:rPr>
          <w:rFonts w:ascii="Times New Roman" w:hAnsi="Times New Roman" w:cs="Times New Roman"/>
          <w:lang w:val="de-DE"/>
        </w:rPr>
        <w:t>MVASI</w:t>
      </w:r>
      <w:r w:rsidR="00526D67" w:rsidRPr="009737B5">
        <w:rPr>
          <w:rFonts w:ascii="Times New Roman" w:hAnsi="Times New Roman" w:cs="Times New Roman"/>
          <w:lang w:val="de-DE"/>
        </w:rPr>
        <w:t>-</w:t>
      </w:r>
      <w:r w:rsidRPr="009737B5">
        <w:rPr>
          <w:rFonts w:ascii="Times New Roman" w:hAnsi="Times New Roman" w:cs="Times New Roman"/>
          <w:lang w:val="de-DE"/>
        </w:rPr>
        <w:t xml:space="preserve">Behandlung kann die Wirkung auf das Tumorwachstum beenden. Brechen Sie Ihre </w:t>
      </w:r>
      <w:r w:rsidR="00885FD1" w:rsidRPr="009737B5">
        <w:rPr>
          <w:rFonts w:ascii="Times New Roman" w:hAnsi="Times New Roman" w:cs="Times New Roman"/>
          <w:lang w:val="de-DE"/>
        </w:rPr>
        <w:t>MVASI</w:t>
      </w:r>
      <w:r w:rsidR="00526D67" w:rsidRPr="009737B5">
        <w:rPr>
          <w:rFonts w:ascii="Times New Roman" w:hAnsi="Times New Roman" w:cs="Times New Roman"/>
          <w:lang w:val="de-DE"/>
        </w:rPr>
        <w:t>-</w:t>
      </w:r>
      <w:r w:rsidRPr="009737B5">
        <w:rPr>
          <w:rFonts w:ascii="Times New Roman" w:hAnsi="Times New Roman" w:cs="Times New Roman"/>
          <w:lang w:val="de-DE"/>
        </w:rPr>
        <w:t>Behandlung nicht ab, ohne darüber mit Ihrem Arzt zu sprechen.</w:t>
      </w:r>
    </w:p>
    <w:p w14:paraId="443D305F" w14:textId="77777777" w:rsidR="00E2353A" w:rsidRPr="009737B5" w:rsidRDefault="00E2353A" w:rsidP="005F4D08">
      <w:pPr>
        <w:suppressAutoHyphens/>
        <w:spacing w:after="0" w:line="240" w:lineRule="auto"/>
        <w:rPr>
          <w:rFonts w:ascii="Times New Roman" w:hAnsi="Times New Roman" w:cs="Times New Roman"/>
          <w:lang w:val="de-DE"/>
        </w:rPr>
      </w:pPr>
    </w:p>
    <w:p w14:paraId="7A759555"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Wenn Sie weitere Fragen zur Anwendung dieses Arzneimittels haben, wenden Sie sich an Ihren Arzt, Apotheker oder das medizinische Fachpersonal.</w:t>
      </w:r>
    </w:p>
    <w:p w14:paraId="0BEEE281" w14:textId="77777777" w:rsidR="00E2353A" w:rsidRPr="009737B5" w:rsidRDefault="00E2353A" w:rsidP="005F4D08">
      <w:pPr>
        <w:suppressAutoHyphens/>
        <w:spacing w:after="0" w:line="240" w:lineRule="auto"/>
        <w:rPr>
          <w:rFonts w:ascii="Times New Roman" w:hAnsi="Times New Roman" w:cs="Times New Roman"/>
          <w:lang w:val="de-DE"/>
        </w:rPr>
      </w:pPr>
    </w:p>
    <w:p w14:paraId="667435D1" w14:textId="77777777" w:rsidR="00E2353A" w:rsidRPr="009737B5" w:rsidRDefault="00E2353A" w:rsidP="005F4D08">
      <w:pPr>
        <w:suppressAutoHyphens/>
        <w:spacing w:after="0" w:line="240" w:lineRule="auto"/>
        <w:rPr>
          <w:rFonts w:ascii="Times New Roman" w:hAnsi="Times New Roman" w:cs="Times New Roman"/>
          <w:lang w:val="de-DE"/>
        </w:rPr>
      </w:pPr>
    </w:p>
    <w:p w14:paraId="134193A8" w14:textId="77777777" w:rsidR="00E2353A" w:rsidRPr="009737B5" w:rsidRDefault="0008062B" w:rsidP="00762559">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4.</w:t>
      </w:r>
      <w:r w:rsidR="00E2353A" w:rsidRPr="009737B5">
        <w:rPr>
          <w:rFonts w:ascii="Times New Roman" w:hAnsi="Times New Roman" w:cs="Times New Roman"/>
          <w:b/>
          <w:lang w:val="de-DE"/>
        </w:rPr>
        <w:tab/>
        <w:t>Welche Nebenwirkungen sind möglich?</w:t>
      </w:r>
    </w:p>
    <w:p w14:paraId="55CA49C1" w14:textId="77777777" w:rsidR="00E2353A" w:rsidRPr="009737B5" w:rsidRDefault="00E2353A" w:rsidP="00762559">
      <w:pPr>
        <w:keepNext/>
        <w:suppressAutoHyphens/>
        <w:spacing w:after="0" w:line="240" w:lineRule="auto"/>
        <w:rPr>
          <w:rFonts w:ascii="Times New Roman" w:hAnsi="Times New Roman" w:cs="Times New Roman"/>
          <w:lang w:val="de-DE"/>
        </w:rPr>
      </w:pPr>
    </w:p>
    <w:p w14:paraId="4C7C5405"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Wie alle Arzneimittel kann auch dieses Arzneimittel Nebenwirkungen haben, die aber nicht bei jedem auftreten müssen.</w:t>
      </w:r>
    </w:p>
    <w:p w14:paraId="58B014AA" w14:textId="77777777" w:rsidR="00E2353A" w:rsidRPr="009737B5" w:rsidRDefault="00E2353A" w:rsidP="005F4D08">
      <w:pPr>
        <w:suppressAutoHyphens/>
        <w:spacing w:after="0" w:line="240" w:lineRule="auto"/>
        <w:rPr>
          <w:rFonts w:ascii="Times New Roman" w:hAnsi="Times New Roman" w:cs="Times New Roman"/>
          <w:lang w:val="de-DE"/>
        </w:rPr>
      </w:pPr>
    </w:p>
    <w:p w14:paraId="76159738"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Wenn Sie Nebenwirkungen bemerken, wenden Sie sich an Ihren Arzt, Apotheker oder das medizinische Fachpersonal. Dies gilt auch für Nebenwirkungen, die nicht in dieser Packungsbeilage angegeben sind.</w:t>
      </w:r>
    </w:p>
    <w:p w14:paraId="35573AE7" w14:textId="77777777" w:rsidR="00E2353A" w:rsidRPr="009737B5" w:rsidRDefault="00E2353A" w:rsidP="005F4D08">
      <w:pPr>
        <w:suppressAutoHyphens/>
        <w:spacing w:after="0" w:line="240" w:lineRule="auto"/>
        <w:rPr>
          <w:rFonts w:ascii="Times New Roman" w:hAnsi="Times New Roman" w:cs="Times New Roman"/>
          <w:lang w:val="de-DE"/>
        </w:rPr>
      </w:pPr>
    </w:p>
    <w:p w14:paraId="6E7B779F"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Die unten aufgeführten Nebenwirkungen wurden beobachtet, wenn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zusammen mit einer Chemotherapie angewendet wurde. Dies bedeutet nicht notwendigerweise, dass diese Nebenwirkungen direkt eine Folge von </w:t>
      </w:r>
      <w:r w:rsidR="00885FD1" w:rsidRPr="009737B5">
        <w:rPr>
          <w:rFonts w:ascii="Times New Roman" w:hAnsi="Times New Roman" w:cs="Times New Roman"/>
          <w:lang w:val="de-DE"/>
        </w:rPr>
        <w:t>MVASI</w:t>
      </w:r>
      <w:r w:rsidRPr="009737B5">
        <w:rPr>
          <w:rFonts w:ascii="Times New Roman" w:hAnsi="Times New Roman" w:cs="Times New Roman"/>
          <w:lang w:val="de-DE"/>
        </w:rPr>
        <w:t xml:space="preserve"> waren.</w:t>
      </w:r>
    </w:p>
    <w:p w14:paraId="11A90873" w14:textId="77777777" w:rsidR="00E2353A" w:rsidRPr="009737B5" w:rsidRDefault="00E2353A" w:rsidP="005F4D08">
      <w:pPr>
        <w:suppressAutoHyphens/>
        <w:spacing w:after="0" w:line="240" w:lineRule="auto"/>
        <w:rPr>
          <w:rFonts w:ascii="Times New Roman" w:hAnsi="Times New Roman" w:cs="Times New Roman"/>
          <w:lang w:val="de-DE"/>
        </w:rPr>
      </w:pPr>
    </w:p>
    <w:p w14:paraId="1CB5D6A8" w14:textId="77777777" w:rsidR="00E2353A" w:rsidRPr="009737B5" w:rsidRDefault="00E2353A" w:rsidP="00384C1C">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Allergische Reaktionen</w:t>
      </w:r>
    </w:p>
    <w:p w14:paraId="06F8AB53" w14:textId="77777777" w:rsidR="00384C1C" w:rsidRPr="009737B5" w:rsidRDefault="00384C1C" w:rsidP="00384C1C">
      <w:pPr>
        <w:keepNext/>
        <w:suppressAutoHyphens/>
        <w:spacing w:after="0" w:line="240" w:lineRule="auto"/>
        <w:rPr>
          <w:rFonts w:ascii="Times New Roman" w:hAnsi="Times New Roman" w:cs="Times New Roman"/>
          <w:lang w:val="de-DE"/>
        </w:rPr>
      </w:pPr>
    </w:p>
    <w:p w14:paraId="0CD13CCA" w14:textId="3AFC3681" w:rsidR="00E2353A" w:rsidRPr="009853A1"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Teilen Sie Ihrem Arzt oder dem Pflegepersonal umgehend mit, wenn bei Ihnen allergische Reaktionen auftreten. Die Anzeichen hierfür können sein: Atemnot oder Schmerzen im Brustkorb; Hitzegefühl, Rötung oder Ausschlag; Kältegefü</w:t>
      </w:r>
      <w:r w:rsidRPr="009853A1">
        <w:rPr>
          <w:rFonts w:ascii="Times New Roman" w:hAnsi="Times New Roman" w:cs="Times New Roman"/>
          <w:lang w:val="de-DE"/>
        </w:rPr>
        <w:t>hl und Schüttelfrost; Übelkeit oder Erbrechen</w:t>
      </w:r>
      <w:r w:rsidR="00537F24" w:rsidRPr="009853A1">
        <w:rPr>
          <w:rFonts w:ascii="Times New Roman" w:hAnsi="Times New Roman" w:cs="Times New Roman"/>
          <w:lang w:val="de-DE"/>
        </w:rPr>
        <w:t>; Schwellungen; Benommenheit; schneller Herzschlag und Bewu</w:t>
      </w:r>
      <w:r w:rsidR="00D26E12" w:rsidRPr="009853A1">
        <w:rPr>
          <w:rFonts w:ascii="Times New Roman" w:hAnsi="Times New Roman" w:cs="Times New Roman"/>
          <w:lang w:val="de-DE"/>
        </w:rPr>
        <w:t>ss</w:t>
      </w:r>
      <w:r w:rsidR="00537F24" w:rsidRPr="009853A1">
        <w:rPr>
          <w:rFonts w:ascii="Times New Roman" w:hAnsi="Times New Roman" w:cs="Times New Roman"/>
          <w:lang w:val="de-DE"/>
        </w:rPr>
        <w:t>tlosigkeit.</w:t>
      </w:r>
    </w:p>
    <w:p w14:paraId="5215B63F" w14:textId="77777777" w:rsidR="00E2353A" w:rsidRPr="009853A1" w:rsidRDefault="00E2353A" w:rsidP="005F4D08">
      <w:pPr>
        <w:suppressAutoHyphens/>
        <w:spacing w:after="0" w:line="240" w:lineRule="auto"/>
        <w:rPr>
          <w:rFonts w:ascii="Times New Roman" w:hAnsi="Times New Roman" w:cs="Times New Roman"/>
          <w:lang w:val="de-DE"/>
        </w:rPr>
      </w:pPr>
    </w:p>
    <w:p w14:paraId="25FD76D0" w14:textId="77777777" w:rsidR="00E2353A" w:rsidRPr="009737B5" w:rsidRDefault="00E2353A" w:rsidP="00384C1C">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Wenn eine der untengenannten Nebenwirkungen bei Ihnen auftritt, sollten Sie unverzüglich ärztliche Hilfe aufsuchen.</w:t>
      </w:r>
    </w:p>
    <w:p w14:paraId="07C3E0EF" w14:textId="77777777" w:rsidR="00E2353A" w:rsidRPr="009737B5" w:rsidRDefault="00E2353A" w:rsidP="00384C1C">
      <w:pPr>
        <w:keepNext/>
        <w:suppressAutoHyphens/>
        <w:spacing w:after="0" w:line="240" w:lineRule="auto"/>
        <w:rPr>
          <w:rFonts w:ascii="Times New Roman" w:hAnsi="Times New Roman" w:cs="Times New Roman"/>
          <w:lang w:val="de-DE"/>
        </w:rPr>
      </w:pPr>
    </w:p>
    <w:p w14:paraId="0098DC5D" w14:textId="38CBE5E7" w:rsidR="00384C1C" w:rsidRPr="009737B5" w:rsidRDefault="00E2353A" w:rsidP="00384C1C">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Zu schweren Nebenwirkungen, die </w:t>
      </w:r>
      <w:r w:rsidRPr="009737B5">
        <w:rPr>
          <w:rFonts w:ascii="Times New Roman" w:hAnsi="Times New Roman" w:cs="Times New Roman"/>
          <w:b/>
          <w:lang w:val="de-DE"/>
        </w:rPr>
        <w:t>sehr häufig</w:t>
      </w:r>
      <w:r w:rsidRPr="009737B5">
        <w:rPr>
          <w:rFonts w:ascii="Times New Roman" w:hAnsi="Times New Roman" w:cs="Times New Roman"/>
          <w:lang w:val="de-DE"/>
        </w:rPr>
        <w:t xml:space="preserve"> auftreten können (kann mehr als 1 von 10</w:t>
      </w:r>
      <w:r w:rsidR="00740FE6">
        <w:rPr>
          <w:rFonts w:ascii="Times New Roman" w:hAnsi="Times New Roman" w:cs="Times New Roman"/>
          <w:lang w:val="de-DE"/>
        </w:rPr>
        <w:t> </w:t>
      </w:r>
      <w:r w:rsidR="00E80B45" w:rsidRPr="009737B5">
        <w:rPr>
          <w:rFonts w:ascii="Times New Roman" w:hAnsi="Times New Roman" w:cs="Times New Roman"/>
          <w:lang w:val="de-DE"/>
        </w:rPr>
        <w:t>Personen</w:t>
      </w:r>
      <w:r w:rsidRPr="009737B5">
        <w:rPr>
          <w:rFonts w:ascii="Times New Roman" w:hAnsi="Times New Roman" w:cs="Times New Roman"/>
          <w:lang w:val="de-DE"/>
        </w:rPr>
        <w:t xml:space="preserve"> betreffen), zählen:</w:t>
      </w:r>
    </w:p>
    <w:p w14:paraId="034A7D5B" w14:textId="77777777" w:rsidR="00E2353A" w:rsidRPr="009737B5" w:rsidRDefault="00380D1C"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 xml:space="preserve">hoher </w:t>
      </w:r>
      <w:r w:rsidR="00E2353A" w:rsidRPr="009737B5">
        <w:rPr>
          <w:rFonts w:ascii="Times New Roman" w:hAnsi="Times New Roman" w:cs="Times New Roman"/>
          <w:lang w:val="de-DE"/>
        </w:rPr>
        <w:t>Blutdruck,</w:t>
      </w:r>
    </w:p>
    <w:p w14:paraId="5BB7CDEC"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Taubheitsgefühl oder Kribbeln in den Händen oder Füßen,</w:t>
      </w:r>
    </w:p>
    <w:p w14:paraId="3563AF1C"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verringerte Zahl von Blutzellen, einschließlich weißer Blutzellen, welche zur Bekämpfung von Infektionen dienen (dies kann mit Fieber einhergehen), und Zellen, die die Blutgerinnung fördern,</w:t>
      </w:r>
    </w:p>
    <w:p w14:paraId="4C41A4A1" w14:textId="77777777" w:rsidR="001411E1"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Schwä</w:t>
      </w:r>
      <w:r w:rsidR="001411E1" w:rsidRPr="009737B5">
        <w:rPr>
          <w:rFonts w:ascii="Times New Roman" w:hAnsi="Times New Roman" w:cs="Times New Roman"/>
          <w:lang w:val="de-DE"/>
        </w:rPr>
        <w:t>chegefühl und Energielosigkeit,</w:t>
      </w:r>
    </w:p>
    <w:p w14:paraId="0D559E11"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Müdigkeit,</w:t>
      </w:r>
    </w:p>
    <w:p w14:paraId="289DA308"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Durchfall, Übelkeit, Erbrechen und Bauchschmerzen.</w:t>
      </w:r>
    </w:p>
    <w:p w14:paraId="42842DDE" w14:textId="77777777" w:rsidR="00E2353A" w:rsidRPr="009737B5" w:rsidRDefault="00E2353A" w:rsidP="005F4D08">
      <w:pPr>
        <w:suppressAutoHyphens/>
        <w:spacing w:after="0" w:line="240" w:lineRule="auto"/>
        <w:rPr>
          <w:rFonts w:ascii="Times New Roman" w:hAnsi="Times New Roman" w:cs="Times New Roman"/>
          <w:lang w:val="de-DE"/>
        </w:rPr>
      </w:pPr>
    </w:p>
    <w:p w14:paraId="63E06DD2" w14:textId="013F9847" w:rsidR="00E2353A" w:rsidRPr="009737B5" w:rsidRDefault="00E2353A" w:rsidP="00384C1C">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lastRenderedPageBreak/>
        <w:t xml:space="preserve">Zu schweren Nebenwirkungen, die </w:t>
      </w:r>
      <w:r w:rsidRPr="009737B5">
        <w:rPr>
          <w:rFonts w:ascii="Times New Roman" w:hAnsi="Times New Roman" w:cs="Times New Roman"/>
          <w:b/>
          <w:lang w:val="de-DE"/>
        </w:rPr>
        <w:t>häufig</w:t>
      </w:r>
      <w:r w:rsidRPr="009737B5">
        <w:rPr>
          <w:rFonts w:ascii="Times New Roman" w:hAnsi="Times New Roman" w:cs="Times New Roman"/>
          <w:lang w:val="de-DE"/>
        </w:rPr>
        <w:t xml:space="preserve"> auftreten können (kann bis zu 1 von 10</w:t>
      </w:r>
      <w:r w:rsidR="00740FE6">
        <w:rPr>
          <w:rFonts w:ascii="Times New Roman" w:hAnsi="Times New Roman" w:cs="Times New Roman"/>
          <w:lang w:val="de-DE"/>
        </w:rPr>
        <w:t> </w:t>
      </w:r>
      <w:r w:rsidR="00E80B45" w:rsidRPr="009737B5">
        <w:rPr>
          <w:rFonts w:ascii="Times New Roman" w:hAnsi="Times New Roman" w:cs="Times New Roman"/>
          <w:lang w:val="de-DE"/>
        </w:rPr>
        <w:t>Personen</w:t>
      </w:r>
      <w:r w:rsidRPr="009737B5">
        <w:rPr>
          <w:rFonts w:ascii="Times New Roman" w:hAnsi="Times New Roman" w:cs="Times New Roman"/>
          <w:lang w:val="de-DE"/>
        </w:rPr>
        <w:t xml:space="preserve"> betreffen), zählen:</w:t>
      </w:r>
    </w:p>
    <w:p w14:paraId="33E1F8C4"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Lochbildung im Darm,</w:t>
      </w:r>
    </w:p>
    <w:p w14:paraId="7F114B1F"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Blutungen, einschließlich Blutungen in der Lunge bei Patienten mit nicht-kleinzelligem Lungenkrebs,</w:t>
      </w:r>
    </w:p>
    <w:p w14:paraId="557BCEE2"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Verschluss von Arterien durch ein Blutgerinnsel,</w:t>
      </w:r>
    </w:p>
    <w:p w14:paraId="09BCA03A"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Verschluss von Venen durch ein Blutgerinnsel,</w:t>
      </w:r>
    </w:p>
    <w:p w14:paraId="245B88AB"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Verschluss von Blutgefäßen in der Lunge durch ein Blutgerinnsel,</w:t>
      </w:r>
    </w:p>
    <w:p w14:paraId="6696D96B"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Verschluss von Venen in den Beinen durch ein Blutgerinnsel,</w:t>
      </w:r>
    </w:p>
    <w:p w14:paraId="441FBAC8"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Herzschwäche,</w:t>
      </w:r>
    </w:p>
    <w:p w14:paraId="104D6D7D"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Wundheilungsstörungen nach einer Operation,</w:t>
      </w:r>
    </w:p>
    <w:p w14:paraId="056E1E4B"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Rötung, sich schälende Haut, Empfindlichkeit, Schmerzen oder Blasenbildung an Fingern oder Füßen,</w:t>
      </w:r>
    </w:p>
    <w:p w14:paraId="6C8CDA77"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verringerte Zahl roter Blutzellen,</w:t>
      </w:r>
    </w:p>
    <w:p w14:paraId="72A60269"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Kraftlosigkeit,</w:t>
      </w:r>
    </w:p>
    <w:p w14:paraId="65B767A9"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Magen- und Darmbeschwerden,</w:t>
      </w:r>
    </w:p>
    <w:p w14:paraId="48109F6D"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Muskel- und Gelenkschmerzen, Muskelschwäche,</w:t>
      </w:r>
    </w:p>
    <w:p w14:paraId="40C0FB0E" w14:textId="376AC1E6"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trockener Mund zusammen mit Durstgefühl und/oder verringerter oder dunkel gefärbter Urin</w:t>
      </w:r>
      <w:r w:rsidR="008758F8">
        <w:rPr>
          <w:rFonts w:ascii="Times New Roman" w:hAnsi="Times New Roman" w:cs="Times New Roman"/>
          <w:lang w:val="de-DE"/>
        </w:rPr>
        <w:t>,</w:t>
      </w:r>
    </w:p>
    <w:p w14:paraId="466C157D"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Entzündung der Schleimhaut im Mund und Darm, in den Lungen und Atemwegen, Fortpflanzungsorganen und Harnwegen,</w:t>
      </w:r>
    </w:p>
    <w:p w14:paraId="3B81283D"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wunde Stellen im Mund und der Speiseröhre, welche schmerzhaft sein können und Schwierigkeiten beim Schlucken verursachen können,</w:t>
      </w:r>
    </w:p>
    <w:p w14:paraId="64F17F1B"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Schmerzen, einschließlich Kopfschmerzen, Rückenschmerzen, Schmerzen im Becken- und im Analbereich,</w:t>
      </w:r>
    </w:p>
    <w:p w14:paraId="1FA60B92"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Eiteransammlung,</w:t>
      </w:r>
    </w:p>
    <w:p w14:paraId="4016B4EF"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Infektionen, insbesondere Blutvergiftung oder Blaseninfektion,</w:t>
      </w:r>
    </w:p>
    <w:p w14:paraId="422806F2"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Durchblutungsstörungen im Gehirn oder Schlaganfall,</w:t>
      </w:r>
    </w:p>
    <w:p w14:paraId="149F4EC1"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Schläfrigkeit,</w:t>
      </w:r>
    </w:p>
    <w:p w14:paraId="3E9CF79D"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Nasenbluten,</w:t>
      </w:r>
    </w:p>
    <w:p w14:paraId="26D4100A"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erhöhte Herzschlagfolge (Puls),</w:t>
      </w:r>
    </w:p>
    <w:p w14:paraId="3078067B"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Darmverschluss,</w:t>
      </w:r>
    </w:p>
    <w:p w14:paraId="079D7507"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abweichende Harnwerte (Eiweiß im Harn),</w:t>
      </w:r>
    </w:p>
    <w:p w14:paraId="3E9F46F0"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Kurzatmigkeit oder niedriger Gehalt an Blutsauerstoff,</w:t>
      </w:r>
    </w:p>
    <w:p w14:paraId="7F714445"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Infektionen der Haut oder tieferer Schichten unter der Haut,</w:t>
      </w:r>
    </w:p>
    <w:p w14:paraId="099D0731" w14:textId="77777777" w:rsidR="00537F24"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 xml:space="preserve">Fistel: </w:t>
      </w:r>
      <w:r w:rsidR="00380D1C" w:rsidRPr="009737B5">
        <w:rPr>
          <w:rFonts w:ascii="Times New Roman" w:hAnsi="Times New Roman" w:cs="Times New Roman"/>
          <w:lang w:val="de-DE"/>
        </w:rPr>
        <w:t xml:space="preserve">eine </w:t>
      </w:r>
      <w:r w:rsidRPr="009737B5">
        <w:rPr>
          <w:rFonts w:ascii="Times New Roman" w:hAnsi="Times New Roman" w:cs="Times New Roman"/>
          <w:lang w:val="de-DE"/>
        </w:rPr>
        <w:t>anormale, röhrenartige Verbindung zwischen inneren Organen und der Haut oder anderen Geweben, die normalerweise nicht miteinander verbunden sind, einschließlich Verbindungen zwischen Vagina und dem Darm bei Patienten mit Gebärmutterhalskrebs</w:t>
      </w:r>
      <w:r w:rsidR="00537F24">
        <w:rPr>
          <w:rFonts w:ascii="Times New Roman" w:hAnsi="Times New Roman" w:cs="Times New Roman"/>
          <w:lang w:val="de-DE"/>
        </w:rPr>
        <w:t>,</w:t>
      </w:r>
    </w:p>
    <w:p w14:paraId="68299586" w14:textId="78C3C9C7" w:rsidR="00537F24" w:rsidRPr="00E15D7A" w:rsidRDefault="00537F24" w:rsidP="00537F24">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allergische Reaktionen (die Anzeichen h</w:t>
      </w:r>
      <w:r w:rsidRPr="00E15D7A">
        <w:rPr>
          <w:rFonts w:ascii="Times New Roman" w:hAnsi="Times New Roman" w:cs="Times New Roman"/>
          <w:lang w:val="de-DE"/>
        </w:rPr>
        <w:t xml:space="preserve">ierfür können sein: Atemnot, Rötungen im Gesicht, Hautausschlag, niedriger oder hoher Blutdruck, Sauerstoffmangel </w:t>
      </w:r>
      <w:r w:rsidR="008F0304" w:rsidRPr="00E15D7A">
        <w:rPr>
          <w:rFonts w:ascii="Times New Roman" w:hAnsi="Times New Roman" w:cs="Times New Roman"/>
          <w:lang w:val="de-DE"/>
        </w:rPr>
        <w:t>im</w:t>
      </w:r>
      <w:r w:rsidRPr="00E15D7A">
        <w:rPr>
          <w:rFonts w:ascii="Times New Roman" w:hAnsi="Times New Roman" w:cs="Times New Roman"/>
          <w:lang w:val="de-DE"/>
        </w:rPr>
        <w:t xml:space="preserve"> Blut, Schmerzen im Brustkorb oder Übelkeit/Erbrechen).</w:t>
      </w:r>
    </w:p>
    <w:p w14:paraId="3754F82A" w14:textId="0A20CC1C" w:rsidR="00E2353A" w:rsidRPr="009737B5" w:rsidRDefault="00E2353A" w:rsidP="00E66954">
      <w:pPr>
        <w:pStyle w:val="ListParagraph"/>
        <w:suppressAutoHyphens/>
        <w:spacing w:after="0" w:line="240" w:lineRule="auto"/>
        <w:ind w:left="567"/>
        <w:rPr>
          <w:rFonts w:ascii="Times New Roman" w:hAnsi="Times New Roman" w:cs="Times New Roman"/>
          <w:lang w:val="de-DE"/>
        </w:rPr>
      </w:pPr>
    </w:p>
    <w:p w14:paraId="6BEE80F5" w14:textId="4AFBE375" w:rsidR="00537F24" w:rsidRDefault="00537F24" w:rsidP="00537F24">
      <w:pPr>
        <w:pStyle w:val="ListParagraph"/>
        <w:suppressAutoHyphens/>
        <w:spacing w:after="0" w:line="240" w:lineRule="auto"/>
        <w:ind w:left="0"/>
        <w:rPr>
          <w:rFonts w:ascii="Times New Roman" w:hAnsi="Times New Roman" w:cs="Times New Roman"/>
          <w:lang w:val="de-DE"/>
        </w:rPr>
      </w:pPr>
      <w:r>
        <w:rPr>
          <w:rFonts w:ascii="Times New Roman" w:hAnsi="Times New Roman" w:cs="Times New Roman"/>
          <w:lang w:val="de-DE"/>
        </w:rPr>
        <w:t xml:space="preserve">Zu schweren Nebenwirkungen, die </w:t>
      </w:r>
      <w:r w:rsidRPr="00BB7852">
        <w:rPr>
          <w:rFonts w:ascii="Times New Roman" w:hAnsi="Times New Roman" w:cs="Times New Roman"/>
          <w:b/>
          <w:bCs/>
          <w:lang w:val="de-DE"/>
        </w:rPr>
        <w:t>selten</w:t>
      </w:r>
      <w:r>
        <w:rPr>
          <w:rFonts w:ascii="Times New Roman" w:hAnsi="Times New Roman" w:cs="Times New Roman"/>
          <w:lang w:val="de-DE"/>
        </w:rPr>
        <w:t xml:space="preserve"> auftreten können (kann bis zu 1 von 1</w:t>
      </w:r>
      <w:r w:rsidR="00CA2B95">
        <w:rPr>
          <w:rFonts w:ascii="Times New Roman" w:hAnsi="Times New Roman" w:cs="Times New Roman"/>
          <w:lang w:val="de-DE"/>
        </w:rPr>
        <w:t> </w:t>
      </w:r>
      <w:r>
        <w:rPr>
          <w:rFonts w:ascii="Times New Roman" w:hAnsi="Times New Roman" w:cs="Times New Roman"/>
          <w:lang w:val="de-DE"/>
        </w:rPr>
        <w:t>000 Behandelten betreffen), zählen:</w:t>
      </w:r>
    </w:p>
    <w:p w14:paraId="37D625F9" w14:textId="77777777" w:rsidR="00537F24" w:rsidRPr="00BB7852" w:rsidRDefault="00537F24" w:rsidP="00537F24">
      <w:pPr>
        <w:pStyle w:val="ListParagraph"/>
        <w:numPr>
          <w:ilvl w:val="0"/>
          <w:numId w:val="1"/>
        </w:numPr>
        <w:suppressAutoHyphens/>
        <w:spacing w:after="0" w:line="240" w:lineRule="auto"/>
        <w:ind w:left="567" w:hanging="567"/>
        <w:rPr>
          <w:rFonts w:ascii="Times New Roman" w:hAnsi="Times New Roman" w:cs="Times New Roman"/>
          <w:lang w:val="de-DE"/>
        </w:rPr>
      </w:pPr>
      <w:r>
        <w:rPr>
          <w:rFonts w:ascii="Times New Roman" w:hAnsi="Times New Roman" w:cs="Times New Roman"/>
          <w:lang w:val="de-DE"/>
        </w:rPr>
        <w:t>plötzliche, schwere allergische Reaktion mit Atemnot, Schwellungen, Benommenheit, schnellem Herzschlag, Schwitzen und Bewusstlosigkeit (anaphylaktischer Schock).</w:t>
      </w:r>
    </w:p>
    <w:p w14:paraId="51C128B7" w14:textId="77777777" w:rsidR="00EF6BB5" w:rsidRPr="009737B5" w:rsidRDefault="00EF6BB5" w:rsidP="00EF6BB5">
      <w:pPr>
        <w:suppressAutoHyphens/>
        <w:spacing w:after="0" w:line="240" w:lineRule="auto"/>
        <w:rPr>
          <w:rFonts w:ascii="Times New Roman" w:hAnsi="Times New Roman" w:cs="Times New Roman"/>
          <w:lang w:val="de-DE"/>
        </w:rPr>
      </w:pPr>
    </w:p>
    <w:p w14:paraId="7A43DCED" w14:textId="77777777" w:rsidR="00E2353A" w:rsidRPr="009737B5" w:rsidRDefault="00E2353A" w:rsidP="00384C1C">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Zu schweren Nebenwirkungen </w:t>
      </w:r>
      <w:r w:rsidRPr="009737B5">
        <w:rPr>
          <w:rFonts w:ascii="Times New Roman" w:hAnsi="Times New Roman" w:cs="Times New Roman"/>
          <w:b/>
          <w:lang w:val="de-DE"/>
        </w:rPr>
        <w:t>unbekannter</w:t>
      </w:r>
      <w:r w:rsidRPr="009737B5">
        <w:rPr>
          <w:rFonts w:ascii="Times New Roman" w:hAnsi="Times New Roman" w:cs="Times New Roman"/>
          <w:lang w:val="de-DE"/>
        </w:rPr>
        <w:t xml:space="preserve"> Häufigkeit (Häufigkeit auf Grundlage der verfügbaren Daten nicht abschätzbar) zählen:</w:t>
      </w:r>
    </w:p>
    <w:p w14:paraId="187F783F"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Schwerwiegende Infektionen der Haut oder unter der Haut liegender, tieferer Schichten, insbesondere wenn Sie schon einmal Löcher in der Darmwand oder Probleme bei der Wundheilung hatten,</w:t>
      </w:r>
    </w:p>
    <w:p w14:paraId="1B6A4A9D"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negative Auswirkungen auf die Gebärfähigkeit der Frau (siehe Absatz unterhalb der Liste der Nebenwirkungen für weitere Hinweise),</w:t>
      </w:r>
    </w:p>
    <w:p w14:paraId="109375E1" w14:textId="51B0C2A0" w:rsidR="00E2353A" w:rsidRPr="009D5F2D"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D5F2D">
        <w:rPr>
          <w:rFonts w:ascii="Times New Roman" w:hAnsi="Times New Roman" w:cs="Times New Roman"/>
          <w:lang w:val="de-DE"/>
        </w:rPr>
        <w:t>Hirnleiden mit Symptomen wie epileptische Anfälle, Kopfschmerzen, Verwirrtheit und</w:t>
      </w:r>
      <w:r w:rsidR="006F18DE" w:rsidRPr="009D5F2D">
        <w:rPr>
          <w:rFonts w:ascii="Times New Roman" w:hAnsi="Times New Roman" w:cs="Times New Roman"/>
          <w:lang w:val="de-DE"/>
        </w:rPr>
        <w:t xml:space="preserve"> </w:t>
      </w:r>
      <w:r w:rsidRPr="009D5F2D">
        <w:rPr>
          <w:rFonts w:ascii="Times New Roman" w:hAnsi="Times New Roman" w:cs="Times New Roman"/>
          <w:lang w:val="de-DE"/>
        </w:rPr>
        <w:t>Änderungen des Sehvermögens (posteriores reversibles Enzephalopathie-Syndrom [PRES]),</w:t>
      </w:r>
    </w:p>
    <w:p w14:paraId="041E03BF"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Symptome, die für eine Veränderung der normalen Gehirnfunktion sprechen (Kopfschmerzen, Änderungen des Sehvermögens, Verwirrtheit oder Krampfanfälle)</w:t>
      </w:r>
      <w:r w:rsidR="00380D1C" w:rsidRPr="009737B5">
        <w:rPr>
          <w:rFonts w:ascii="Times New Roman" w:hAnsi="Times New Roman" w:cs="Times New Roman"/>
          <w:lang w:val="de-DE"/>
        </w:rPr>
        <w:t>,</w:t>
      </w:r>
      <w:r w:rsidRPr="009737B5">
        <w:rPr>
          <w:rFonts w:ascii="Times New Roman" w:hAnsi="Times New Roman" w:cs="Times New Roman"/>
          <w:lang w:val="de-DE"/>
        </w:rPr>
        <w:t xml:space="preserve"> und hoher Blutdruck,</w:t>
      </w:r>
    </w:p>
    <w:p w14:paraId="0E82630C"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lastRenderedPageBreak/>
        <w:t>Verstopfung sehr kleiner Blutgefäße in der Niere,</w:t>
      </w:r>
    </w:p>
    <w:p w14:paraId="3B1E80BA"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anormal hoher Blutdruck in den Blutgefäßen der Lungen, der die rechte Seite des Herzens mehr als üblich belastet,</w:t>
      </w:r>
    </w:p>
    <w:p w14:paraId="1C3D3058"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ein Loch in der Trennwand aus Knorpelgewebe zwischen den beiden Nasenlöchern der Nase,</w:t>
      </w:r>
    </w:p>
    <w:p w14:paraId="72747276"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ein Loch im Magen oder Darm,</w:t>
      </w:r>
    </w:p>
    <w:p w14:paraId="66B27A1D" w14:textId="046CEDCB" w:rsidR="00E2353A" w:rsidRPr="00BB366A"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BB366A">
        <w:rPr>
          <w:rFonts w:ascii="Times New Roman" w:hAnsi="Times New Roman" w:cs="Times New Roman"/>
          <w:lang w:val="de-DE"/>
        </w:rPr>
        <w:t>eine offene wunde Stelle oder ein Loch in der Magenschleimhaut oder im Dünndarm</w:t>
      </w:r>
      <w:r w:rsidR="00BB366A" w:rsidRPr="00BB366A">
        <w:rPr>
          <w:rFonts w:ascii="Times New Roman" w:hAnsi="Times New Roman" w:cs="Times New Roman"/>
          <w:lang w:val="de-DE"/>
        </w:rPr>
        <w:t xml:space="preserve"> </w:t>
      </w:r>
      <w:r w:rsidRPr="00BB366A">
        <w:rPr>
          <w:rFonts w:ascii="Times New Roman" w:hAnsi="Times New Roman" w:cs="Times New Roman"/>
          <w:lang w:val="de-DE"/>
        </w:rPr>
        <w:t>(Anzeichen hierfür können sein: Bauchschmerzen, Blähgefühl, schwarze, teerartige Stühle oder Blut im Stuhl bzw. in Erbrochenem),</w:t>
      </w:r>
    </w:p>
    <w:p w14:paraId="6803A0D8"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Blutungen aus dem Enddarm,</w:t>
      </w:r>
    </w:p>
    <w:p w14:paraId="6E3E7767"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Zahnfleischläsionen mit einem freiliegenden Kieferknochen, die nicht heilen und mit Schmerzen und Entzündungen des umliegenden Gewebes in Zusammenhang stehen können</w:t>
      </w:r>
      <w:r w:rsidR="00473C51" w:rsidRPr="009737B5">
        <w:rPr>
          <w:rFonts w:ascii="Times New Roman" w:hAnsi="Times New Roman" w:cs="Times New Roman"/>
          <w:lang w:val="de-DE"/>
        </w:rPr>
        <w:t xml:space="preserve"> </w:t>
      </w:r>
      <w:r w:rsidRPr="009737B5">
        <w:rPr>
          <w:rFonts w:ascii="Times New Roman" w:hAnsi="Times New Roman" w:cs="Times New Roman"/>
          <w:lang w:val="de-DE"/>
        </w:rPr>
        <w:t>(siehe Absatz unterhalb der Liste der Nebenwirkungen für weitere Hinweise),</w:t>
      </w:r>
    </w:p>
    <w:p w14:paraId="6D778AB3" w14:textId="6150BC02" w:rsidR="00E2353A"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ein Loch in der Gallenblase (Symptome und Anzeichen hierfür können sein: Bauchschmerzen, Fieber und Übelkeit/Erbrechen)</w:t>
      </w:r>
      <w:r w:rsidR="00861260">
        <w:rPr>
          <w:rFonts w:ascii="Times New Roman" w:hAnsi="Times New Roman" w:cs="Times New Roman"/>
          <w:lang w:val="de-DE"/>
        </w:rPr>
        <w:t>,</w:t>
      </w:r>
    </w:p>
    <w:p w14:paraId="093A21A2" w14:textId="3A7D3C05" w:rsidR="007F0C5B" w:rsidRPr="009737B5" w:rsidRDefault="007F0C5B"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5D2ED1">
        <w:rPr>
          <w:rFonts w:ascii="Times New Roman" w:hAnsi="Times New Roman" w:cs="Times New Roman"/>
          <w:lang w:val="de-DE"/>
        </w:rPr>
        <w:t>Erweiterung und Schwächung einer Blutgefäßwand oder Einriss in einer Blutgefäßwand (Aneurysmen und Arteriendissektionen).</w:t>
      </w:r>
    </w:p>
    <w:p w14:paraId="1E10DE9B" w14:textId="77777777" w:rsidR="00E2353A" w:rsidRPr="009737B5" w:rsidRDefault="00E2353A" w:rsidP="00EF6BB5">
      <w:pPr>
        <w:suppressAutoHyphens/>
        <w:spacing w:after="0" w:line="240" w:lineRule="auto"/>
        <w:rPr>
          <w:rFonts w:ascii="Times New Roman" w:hAnsi="Times New Roman" w:cs="Times New Roman"/>
          <w:lang w:val="de-DE"/>
        </w:rPr>
      </w:pPr>
    </w:p>
    <w:p w14:paraId="0838913E" w14:textId="77777777" w:rsidR="00E2353A" w:rsidRPr="009737B5" w:rsidRDefault="00E2353A" w:rsidP="00384C1C">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 xml:space="preserve">Wenn eine der untengenannten Nebenwirkungen bei Ihnen auftritt, sollten Sie so bald </w:t>
      </w:r>
      <w:r w:rsidR="00380D1C" w:rsidRPr="009737B5">
        <w:rPr>
          <w:rFonts w:ascii="Times New Roman" w:hAnsi="Times New Roman" w:cs="Times New Roman"/>
          <w:b/>
          <w:lang w:val="de-DE"/>
        </w:rPr>
        <w:t xml:space="preserve">wie </w:t>
      </w:r>
      <w:r w:rsidRPr="009737B5">
        <w:rPr>
          <w:rFonts w:ascii="Times New Roman" w:hAnsi="Times New Roman" w:cs="Times New Roman"/>
          <w:b/>
          <w:lang w:val="de-DE"/>
        </w:rPr>
        <w:t>möglich ärztliche Hilfe aufsuchen.</w:t>
      </w:r>
    </w:p>
    <w:p w14:paraId="7D289C16" w14:textId="77777777" w:rsidR="00E2353A" w:rsidRPr="009737B5" w:rsidRDefault="00E2353A" w:rsidP="00384C1C">
      <w:pPr>
        <w:keepNext/>
        <w:suppressAutoHyphens/>
        <w:spacing w:after="0" w:line="240" w:lineRule="auto"/>
        <w:rPr>
          <w:rFonts w:ascii="Times New Roman" w:hAnsi="Times New Roman" w:cs="Times New Roman"/>
          <w:lang w:val="de-DE"/>
        </w:rPr>
      </w:pPr>
    </w:p>
    <w:p w14:paraId="19F8EA69" w14:textId="7FC18899" w:rsidR="00E2353A" w:rsidRPr="009737B5" w:rsidRDefault="00E2353A" w:rsidP="00384C1C">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Zu </w:t>
      </w:r>
      <w:r w:rsidRPr="009737B5">
        <w:rPr>
          <w:rFonts w:ascii="Times New Roman" w:hAnsi="Times New Roman" w:cs="Times New Roman"/>
          <w:b/>
          <w:lang w:val="de-DE"/>
        </w:rPr>
        <w:t>sehr häufigen</w:t>
      </w:r>
      <w:r w:rsidRPr="009737B5">
        <w:rPr>
          <w:rFonts w:ascii="Times New Roman" w:hAnsi="Times New Roman" w:cs="Times New Roman"/>
          <w:lang w:val="de-DE"/>
        </w:rPr>
        <w:t xml:space="preserve"> Nebenwirkungen (kann mehr als 1 von 10</w:t>
      </w:r>
      <w:r w:rsidR="00740FE6">
        <w:rPr>
          <w:rFonts w:ascii="Times New Roman" w:hAnsi="Times New Roman" w:cs="Times New Roman"/>
          <w:lang w:val="de-DE"/>
        </w:rPr>
        <w:t> </w:t>
      </w:r>
      <w:r w:rsidR="00E80B45" w:rsidRPr="009737B5">
        <w:rPr>
          <w:rFonts w:ascii="Times New Roman" w:hAnsi="Times New Roman" w:cs="Times New Roman"/>
          <w:lang w:val="de-DE"/>
        </w:rPr>
        <w:t>Personen</w:t>
      </w:r>
      <w:r w:rsidRPr="009737B5">
        <w:rPr>
          <w:rFonts w:ascii="Times New Roman" w:hAnsi="Times New Roman" w:cs="Times New Roman"/>
          <w:lang w:val="de-DE"/>
        </w:rPr>
        <w:t xml:space="preserve"> betreffen), die jedoch nicht schwer waren, zählen:</w:t>
      </w:r>
    </w:p>
    <w:p w14:paraId="7D457FB4"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Verstopfung,</w:t>
      </w:r>
    </w:p>
    <w:p w14:paraId="6E411A1E"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Appetitlosigkeit,</w:t>
      </w:r>
    </w:p>
    <w:p w14:paraId="5293E94F"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Fieber,</w:t>
      </w:r>
    </w:p>
    <w:p w14:paraId="0F6A51A5"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Augenbeschwerden, einschließlich erhöhter Tränenbildung,</w:t>
      </w:r>
    </w:p>
    <w:p w14:paraId="7CCAE787" w14:textId="77777777" w:rsidR="00E2353A" w:rsidRPr="009737B5" w:rsidRDefault="00E2353A" w:rsidP="0021398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Veränderungen der Sprechweise,</w:t>
      </w:r>
    </w:p>
    <w:p w14:paraId="0F2115EA"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verändertes Geschmacksempfinden,</w:t>
      </w:r>
    </w:p>
    <w:p w14:paraId="03526CD5"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laufende Nase,</w:t>
      </w:r>
    </w:p>
    <w:p w14:paraId="0C25CB0C" w14:textId="77777777" w:rsidR="00380D1C"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trockene Haut, schuppende und entzündete Haut, Veränderungen der Hautfarbe,</w:t>
      </w:r>
    </w:p>
    <w:p w14:paraId="20EB5086"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Gewichtsverlust,</w:t>
      </w:r>
    </w:p>
    <w:p w14:paraId="7E7CE1E2"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Nasenbluten.</w:t>
      </w:r>
    </w:p>
    <w:p w14:paraId="17F29B6B" w14:textId="77777777" w:rsidR="00E2353A" w:rsidRPr="009737B5" w:rsidRDefault="00E2353A" w:rsidP="005F4D08">
      <w:pPr>
        <w:suppressAutoHyphens/>
        <w:spacing w:after="0" w:line="240" w:lineRule="auto"/>
        <w:rPr>
          <w:rFonts w:ascii="Times New Roman" w:hAnsi="Times New Roman" w:cs="Times New Roman"/>
          <w:lang w:val="de-DE"/>
        </w:rPr>
      </w:pPr>
    </w:p>
    <w:p w14:paraId="514120ED" w14:textId="3EA24740" w:rsidR="00E2353A" w:rsidRPr="009737B5" w:rsidRDefault="00E2353A" w:rsidP="00384C1C">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Zu </w:t>
      </w:r>
      <w:r w:rsidRPr="009737B5">
        <w:rPr>
          <w:rFonts w:ascii="Times New Roman" w:hAnsi="Times New Roman" w:cs="Times New Roman"/>
          <w:b/>
          <w:lang w:val="de-DE"/>
        </w:rPr>
        <w:t>häufigen</w:t>
      </w:r>
      <w:r w:rsidRPr="009737B5">
        <w:rPr>
          <w:rFonts w:ascii="Times New Roman" w:hAnsi="Times New Roman" w:cs="Times New Roman"/>
          <w:lang w:val="de-DE"/>
        </w:rPr>
        <w:t xml:space="preserve"> Nebenwirkungen (kann bis zu 1 von 10</w:t>
      </w:r>
      <w:r w:rsidR="00740FE6">
        <w:rPr>
          <w:rFonts w:ascii="Times New Roman" w:hAnsi="Times New Roman" w:cs="Times New Roman"/>
          <w:lang w:val="de-DE"/>
        </w:rPr>
        <w:t> </w:t>
      </w:r>
      <w:r w:rsidR="00E80B45" w:rsidRPr="009737B5">
        <w:rPr>
          <w:rFonts w:ascii="Times New Roman" w:hAnsi="Times New Roman" w:cs="Times New Roman"/>
          <w:lang w:val="de-DE"/>
        </w:rPr>
        <w:t>Personen</w:t>
      </w:r>
      <w:r w:rsidRPr="009737B5">
        <w:rPr>
          <w:rFonts w:ascii="Times New Roman" w:hAnsi="Times New Roman" w:cs="Times New Roman"/>
          <w:lang w:val="de-DE"/>
        </w:rPr>
        <w:t xml:space="preserve"> betreffen), die jedoch nicht schwer waren, zählen:</w:t>
      </w:r>
    </w:p>
    <w:p w14:paraId="4A9901C2"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Veränderungen der Stimme und Heiserkeit.</w:t>
      </w:r>
    </w:p>
    <w:p w14:paraId="6AE54B43" w14:textId="77777777" w:rsidR="00E2353A" w:rsidRPr="009737B5" w:rsidRDefault="00E2353A" w:rsidP="005F4D08">
      <w:pPr>
        <w:suppressAutoHyphens/>
        <w:spacing w:after="0" w:line="240" w:lineRule="auto"/>
        <w:rPr>
          <w:rFonts w:ascii="Times New Roman" w:hAnsi="Times New Roman" w:cs="Times New Roman"/>
          <w:lang w:val="de-DE"/>
        </w:rPr>
      </w:pPr>
    </w:p>
    <w:p w14:paraId="798536BB" w14:textId="77777777" w:rsidR="00E2353A" w:rsidRPr="009737B5" w:rsidRDefault="00E2353A" w:rsidP="00384C1C">
      <w:pPr>
        <w:keepNext/>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Patienten, die älter als 65</w:t>
      </w:r>
      <w:r w:rsidR="0091668D" w:rsidRPr="009737B5">
        <w:rPr>
          <w:rFonts w:ascii="Times New Roman" w:hAnsi="Times New Roman" w:cs="Times New Roman"/>
          <w:lang w:val="de-DE"/>
        </w:rPr>
        <w:t> </w:t>
      </w:r>
      <w:r w:rsidRPr="009737B5">
        <w:rPr>
          <w:rFonts w:ascii="Times New Roman" w:hAnsi="Times New Roman" w:cs="Times New Roman"/>
          <w:lang w:val="de-DE"/>
        </w:rPr>
        <w:t>Jahre sind, haben ein erhöhtes Risiko für folgende Nebenwirkungen:</w:t>
      </w:r>
    </w:p>
    <w:p w14:paraId="0691ABA2"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Blutgerinnsel in den Arterien, die zu einem Schlaganfall oder zu einer Herzattacke führen können,</w:t>
      </w:r>
    </w:p>
    <w:p w14:paraId="1D721788"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Abnahme der Zahl der weißen Blutzellen und derjenigen Zellen, die die Blutgerinnung fördern,</w:t>
      </w:r>
    </w:p>
    <w:p w14:paraId="3CFD804B"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Durchfall,</w:t>
      </w:r>
    </w:p>
    <w:p w14:paraId="642F8673"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Übelkeit,</w:t>
      </w:r>
    </w:p>
    <w:p w14:paraId="0E45D561"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Kopfschmerzen,</w:t>
      </w:r>
    </w:p>
    <w:p w14:paraId="2817976C"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Erschöpfung,</w:t>
      </w:r>
    </w:p>
    <w:p w14:paraId="2C18D204"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hoher Blutdruck.</w:t>
      </w:r>
    </w:p>
    <w:p w14:paraId="4F3DBDBE" w14:textId="77777777" w:rsidR="00E2353A" w:rsidRPr="009737B5" w:rsidRDefault="00E2353A" w:rsidP="005F4D08">
      <w:pPr>
        <w:suppressAutoHyphens/>
        <w:spacing w:after="0" w:line="240" w:lineRule="auto"/>
        <w:rPr>
          <w:rFonts w:ascii="Times New Roman" w:hAnsi="Times New Roman" w:cs="Times New Roman"/>
          <w:lang w:val="de-DE"/>
        </w:rPr>
      </w:pPr>
    </w:p>
    <w:p w14:paraId="0EA4F725" w14:textId="77777777" w:rsidR="00E2353A" w:rsidRPr="009737B5" w:rsidRDefault="00885FD1"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kann auch zu Veränderungen bei den Laborwerten führen, die Ihr Arzt erhebt. Dies sind u. a. eine verringerte Anzahl weißer Blutzellen, insbesondere der Neutrophilen im Blut (eine bestimmte Art weißer Blutzellen zur Infektionsabwehr), Eiweiß im Urin, erniedrigter Kalium-, Natrium- oder Phosphorgehalt im Blut (Mineralstoffe), erhöhter Blutzucker, vermehrte alkalische Phosphatase im Blut (ein Enzym), erhöhtes Serumkreatinin (ein Protein, das mit einem Bluttest gemessen wird, um zu sehen, wie gut Ihre Nieren funktionieren), Abnahme des Hämoglobins (Träger des Sauerstoffs in den roten Blutzellen), die schwerwiegend sein kann.</w:t>
      </w:r>
    </w:p>
    <w:p w14:paraId="69AA071A" w14:textId="77777777" w:rsidR="00E2353A" w:rsidRPr="009737B5" w:rsidRDefault="00E2353A" w:rsidP="005F4D08">
      <w:pPr>
        <w:suppressAutoHyphens/>
        <w:spacing w:after="0" w:line="240" w:lineRule="auto"/>
        <w:rPr>
          <w:rFonts w:ascii="Times New Roman" w:hAnsi="Times New Roman" w:cs="Times New Roman"/>
          <w:lang w:val="de-DE"/>
        </w:rPr>
      </w:pPr>
    </w:p>
    <w:p w14:paraId="3ADF6748"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Schmerzen im Mund, an Zähnen und/oder im Kiefer, Schwellungen </w:t>
      </w:r>
      <w:r w:rsidR="00380D1C" w:rsidRPr="009737B5">
        <w:rPr>
          <w:rFonts w:ascii="Times New Roman" w:hAnsi="Times New Roman" w:cs="Times New Roman"/>
          <w:lang w:val="de-DE"/>
        </w:rPr>
        <w:t xml:space="preserve">oder </w:t>
      </w:r>
      <w:r w:rsidRPr="009737B5">
        <w:rPr>
          <w:rFonts w:ascii="Times New Roman" w:hAnsi="Times New Roman" w:cs="Times New Roman"/>
          <w:lang w:val="de-DE"/>
        </w:rPr>
        <w:t>wunde Stellen im Mund,</w:t>
      </w:r>
      <w:r w:rsidR="00384C1C" w:rsidRPr="009737B5">
        <w:rPr>
          <w:rFonts w:ascii="Times New Roman" w:hAnsi="Times New Roman" w:cs="Times New Roman"/>
          <w:lang w:val="de-DE"/>
        </w:rPr>
        <w:t xml:space="preserve"> </w:t>
      </w:r>
      <w:r w:rsidRPr="009737B5">
        <w:rPr>
          <w:rFonts w:ascii="Times New Roman" w:hAnsi="Times New Roman" w:cs="Times New Roman"/>
          <w:lang w:val="de-DE"/>
        </w:rPr>
        <w:t xml:space="preserve">Taubheits- und Schweregefühl im Kiefer oder Zahnlockerungen. Dies können Anzeichen und </w:t>
      </w:r>
      <w:r w:rsidRPr="009737B5">
        <w:rPr>
          <w:rFonts w:ascii="Times New Roman" w:hAnsi="Times New Roman" w:cs="Times New Roman"/>
          <w:lang w:val="de-DE"/>
        </w:rPr>
        <w:lastRenderedPageBreak/>
        <w:t>Symptome einer Knochenschädigung im Kiefer (Osteonekrose) sein. Informieren Sie Ihren Arzt und Ihren Zahnarzt umgehend, wenn eines dieser Symptome bei Ihnen auftritt.</w:t>
      </w:r>
    </w:p>
    <w:p w14:paraId="278A1225" w14:textId="77777777" w:rsidR="00E2353A" w:rsidRPr="009737B5" w:rsidRDefault="00E2353A" w:rsidP="005F4D08">
      <w:pPr>
        <w:suppressAutoHyphens/>
        <w:spacing w:after="0" w:line="240" w:lineRule="auto"/>
        <w:rPr>
          <w:rFonts w:ascii="Times New Roman" w:hAnsi="Times New Roman" w:cs="Times New Roman"/>
          <w:lang w:val="de-DE"/>
        </w:rPr>
      </w:pPr>
    </w:p>
    <w:p w14:paraId="76E6D8E0"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Bei Frauen vor der Menopause (Frauen mit Monatsblutung) kann es zu unregelmäßigen Monatsblutungen oder einem Ausbleiben der Monatsblutung kommen</w:t>
      </w:r>
      <w:r w:rsidR="00380D1C" w:rsidRPr="009737B5">
        <w:rPr>
          <w:rFonts w:ascii="Times New Roman" w:hAnsi="Times New Roman" w:cs="Times New Roman"/>
          <w:lang w:val="de-DE"/>
        </w:rPr>
        <w:t>,</w:t>
      </w:r>
      <w:r w:rsidRPr="009737B5">
        <w:rPr>
          <w:rFonts w:ascii="Times New Roman" w:hAnsi="Times New Roman" w:cs="Times New Roman"/>
          <w:lang w:val="de-DE"/>
        </w:rPr>
        <w:t xml:space="preserve"> und die Fruchtbarkeit kann beeinträchtigt sein. Wenn Sie Kinder bekommen möchten, sollten Sie deshalb vor Beginn Ihrer Behandlung mit Ihrem Arzt darüber sprechen.</w:t>
      </w:r>
    </w:p>
    <w:p w14:paraId="111AF580" w14:textId="77777777" w:rsidR="00E2353A" w:rsidRPr="009737B5" w:rsidRDefault="00E2353A" w:rsidP="005F4D08">
      <w:pPr>
        <w:suppressAutoHyphens/>
        <w:spacing w:after="0" w:line="240" w:lineRule="auto"/>
        <w:rPr>
          <w:rFonts w:ascii="Times New Roman" w:hAnsi="Times New Roman" w:cs="Times New Roman"/>
          <w:lang w:val="de-DE"/>
        </w:rPr>
      </w:pPr>
    </w:p>
    <w:p w14:paraId="5248E72C" w14:textId="77777777" w:rsidR="00E2353A" w:rsidRPr="009737B5" w:rsidRDefault="00885FD1" w:rsidP="00BD272D">
      <w:pPr>
        <w:keepNext/>
        <w:keepLines/>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wurde für die Behandlung von Krebserkrankungen durch Einspritzen in die Blutbahn entwickelt und wird dafür hergestellt. </w:t>
      </w: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wurde nicht zum Einspritzen ins Auge entwickelt oder hergestellt und ist deshalb für diese Art der Anwendung nicht zugelassen. Wenn </w:t>
      </w:r>
      <w:r w:rsidR="00526D67" w:rsidRPr="009737B5">
        <w:rPr>
          <w:rFonts w:ascii="Times New Roman" w:hAnsi="Times New Roman" w:cs="Times New Roman"/>
          <w:lang w:val="de-DE"/>
        </w:rPr>
        <w:t xml:space="preserve">Bevacizumab </w:t>
      </w:r>
      <w:r w:rsidR="00E2353A" w:rsidRPr="009737B5">
        <w:rPr>
          <w:rFonts w:ascii="Times New Roman" w:hAnsi="Times New Roman" w:cs="Times New Roman"/>
          <w:lang w:val="de-DE"/>
        </w:rPr>
        <w:t>direkt ins Auge gespritzt wird (nicht zugelassene Anwendung), sind die folgenden Nebenwirkungen möglich:</w:t>
      </w:r>
    </w:p>
    <w:p w14:paraId="51D95B40" w14:textId="77777777" w:rsidR="00E2353A" w:rsidRPr="009737B5" w:rsidRDefault="00E2353A" w:rsidP="00BD272D">
      <w:pPr>
        <w:keepNext/>
        <w:keepLines/>
        <w:spacing w:after="0" w:line="240" w:lineRule="auto"/>
        <w:rPr>
          <w:rFonts w:ascii="Times New Roman" w:hAnsi="Times New Roman" w:cs="Times New Roman"/>
          <w:lang w:val="de-DE"/>
        </w:rPr>
      </w:pPr>
    </w:p>
    <w:p w14:paraId="1A8E7F0B" w14:textId="77777777" w:rsidR="00E2353A" w:rsidRPr="009737B5" w:rsidRDefault="00E2353A">
      <w:pPr>
        <w:pStyle w:val="ListParagraph"/>
        <w:keepNext/>
        <w:keepLines/>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Infektion oder Entzündung des Augapfels,</w:t>
      </w:r>
    </w:p>
    <w:p w14:paraId="67AC85D6" w14:textId="77777777" w:rsidR="00E2353A" w:rsidRPr="009737B5" w:rsidRDefault="00E2353A" w:rsidP="00E95E0B">
      <w:pPr>
        <w:pStyle w:val="ListParagraph"/>
        <w:keepNext/>
        <w:keepLines/>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Rötung des Auges, Sehen von kleinen Flecken oder Punkten („Mückensehen“), Augenschmerzen,</w:t>
      </w:r>
    </w:p>
    <w:p w14:paraId="60974F76" w14:textId="77777777" w:rsidR="008C71F3"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Sehen von Lichtblitzen zusammen mit „Mückensehen“, fortschreitend bis hin zu teilweisem Sehverlust,</w:t>
      </w:r>
    </w:p>
    <w:p w14:paraId="27D05136"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erhöhter Augendruck,</w:t>
      </w:r>
    </w:p>
    <w:p w14:paraId="7DC85B4E" w14:textId="77777777"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Blutungen im Auge.</w:t>
      </w:r>
    </w:p>
    <w:p w14:paraId="0A63C59C" w14:textId="77777777" w:rsidR="00E2353A" w:rsidRPr="009737B5" w:rsidRDefault="00E2353A" w:rsidP="005F4D08">
      <w:pPr>
        <w:suppressAutoHyphens/>
        <w:spacing w:after="0" w:line="240" w:lineRule="auto"/>
        <w:rPr>
          <w:rFonts w:ascii="Times New Roman" w:hAnsi="Times New Roman" w:cs="Times New Roman"/>
          <w:lang w:val="de-DE"/>
        </w:rPr>
      </w:pPr>
    </w:p>
    <w:p w14:paraId="30A0B855" w14:textId="77777777" w:rsidR="00E2353A" w:rsidRPr="009737B5" w:rsidRDefault="00E2353A" w:rsidP="00384C1C">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Meldung von Nebenwirkungen</w:t>
      </w:r>
    </w:p>
    <w:p w14:paraId="20CC535F" w14:textId="77777777" w:rsidR="00384C1C" w:rsidRPr="009737B5" w:rsidRDefault="00384C1C" w:rsidP="00384C1C">
      <w:pPr>
        <w:keepNext/>
        <w:suppressAutoHyphens/>
        <w:spacing w:after="0" w:line="240" w:lineRule="auto"/>
        <w:rPr>
          <w:rFonts w:ascii="Times New Roman" w:hAnsi="Times New Roman" w:cs="Times New Roman"/>
          <w:lang w:val="de-DE"/>
        </w:rPr>
      </w:pPr>
    </w:p>
    <w:p w14:paraId="59A729B8"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Wenn Sie Nebenwirkungen bemerken, wenden Sie sich an Ihren Arzt, Apotheker oder das medizinische Fachpersonal. Dies gilt auch für Nebenwirkungen, die nicht in dieser Packungsbeilage angegeben sind. Sie können Nebenwirkungen auch direkt über </w:t>
      </w:r>
      <w:r w:rsidR="00384C1C">
        <w:rPr>
          <w:rFonts w:ascii="Times New Roman" w:eastAsia="Times New Roman" w:hAnsi="Times New Roman" w:cs="Times New Roman"/>
          <w:szCs w:val="20"/>
          <w:highlight w:val="lightGray"/>
          <w:lang w:val="de-DE" w:eastAsia="de-DE" w:bidi="de-DE"/>
        </w:rPr>
        <w:t xml:space="preserve">das in </w:t>
      </w:r>
      <w:hyperlink r:id="rId12">
        <w:r w:rsidR="00384C1C">
          <w:rPr>
            <w:rFonts w:ascii="Times New Roman" w:eastAsia="Times New Roman" w:hAnsi="Times New Roman" w:cs="Times New Roman"/>
            <w:color w:val="0000FF"/>
            <w:szCs w:val="20"/>
            <w:highlight w:val="lightGray"/>
            <w:u w:val="single"/>
            <w:lang w:val="de-DE" w:eastAsia="de-DE" w:bidi="de-DE"/>
          </w:rPr>
          <w:t>Anhang V</w:t>
        </w:r>
      </w:hyperlink>
      <w:r w:rsidR="00384C1C">
        <w:rPr>
          <w:rFonts w:ascii="Times New Roman" w:eastAsia="Times New Roman" w:hAnsi="Times New Roman" w:cs="Times New Roman"/>
          <w:szCs w:val="20"/>
          <w:highlight w:val="lightGray"/>
          <w:lang w:val="de-DE" w:eastAsia="de-DE" w:bidi="de-DE"/>
        </w:rPr>
        <w:t xml:space="preserve"> aufgeführte nationale Meldesystem</w:t>
      </w:r>
      <w:r w:rsidRPr="009737B5">
        <w:rPr>
          <w:rFonts w:ascii="Times New Roman" w:hAnsi="Times New Roman" w:cs="Times New Roman"/>
          <w:lang w:val="de-DE"/>
        </w:rPr>
        <w:t xml:space="preserve"> anzeigen. Indem Sie Nebenwirkungen melden, können Sie dazu beitragen, dass mehr Informationen über die Sicherheit dieses Arzneimittels zur Verfügung gestellt werden.</w:t>
      </w:r>
    </w:p>
    <w:p w14:paraId="7CF8593F" w14:textId="77777777" w:rsidR="00E2353A" w:rsidRPr="009737B5" w:rsidRDefault="00E2353A" w:rsidP="005F4D08">
      <w:pPr>
        <w:suppressAutoHyphens/>
        <w:spacing w:after="0" w:line="240" w:lineRule="auto"/>
        <w:rPr>
          <w:rFonts w:ascii="Times New Roman" w:hAnsi="Times New Roman" w:cs="Times New Roman"/>
          <w:lang w:val="de-DE"/>
        </w:rPr>
      </w:pPr>
    </w:p>
    <w:p w14:paraId="5E84CB2F" w14:textId="77777777" w:rsidR="00E2353A" w:rsidRPr="009737B5" w:rsidRDefault="00E2353A" w:rsidP="005F4D08">
      <w:pPr>
        <w:suppressAutoHyphens/>
        <w:spacing w:after="0" w:line="240" w:lineRule="auto"/>
        <w:rPr>
          <w:rFonts w:ascii="Times New Roman" w:hAnsi="Times New Roman" w:cs="Times New Roman"/>
          <w:lang w:val="de-DE"/>
        </w:rPr>
      </w:pPr>
    </w:p>
    <w:p w14:paraId="2773A94F" w14:textId="77777777" w:rsidR="00E2353A" w:rsidRPr="009737B5" w:rsidRDefault="00E2353A" w:rsidP="0089598C">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5.</w:t>
      </w:r>
      <w:r w:rsidRPr="009737B5">
        <w:rPr>
          <w:rFonts w:ascii="Times New Roman" w:hAnsi="Times New Roman" w:cs="Times New Roman"/>
          <w:b/>
          <w:lang w:val="de-DE"/>
        </w:rPr>
        <w:tab/>
        <w:t xml:space="preserve">Wie ist </w:t>
      </w:r>
      <w:r w:rsidR="00885FD1" w:rsidRPr="009737B5">
        <w:rPr>
          <w:rFonts w:ascii="Times New Roman" w:hAnsi="Times New Roman" w:cs="Times New Roman"/>
          <w:b/>
          <w:lang w:val="de-DE"/>
        </w:rPr>
        <w:t>MVASI</w:t>
      </w:r>
      <w:r w:rsidRPr="009737B5">
        <w:rPr>
          <w:rFonts w:ascii="Times New Roman" w:hAnsi="Times New Roman" w:cs="Times New Roman"/>
          <w:b/>
          <w:lang w:val="de-DE"/>
        </w:rPr>
        <w:t xml:space="preserve"> aufzubewahren?</w:t>
      </w:r>
    </w:p>
    <w:p w14:paraId="1B33105F" w14:textId="77777777" w:rsidR="00E2353A" w:rsidRPr="009737B5" w:rsidRDefault="00E2353A" w:rsidP="0089598C">
      <w:pPr>
        <w:keepNext/>
        <w:suppressAutoHyphens/>
        <w:spacing w:after="0" w:line="240" w:lineRule="auto"/>
        <w:rPr>
          <w:rFonts w:ascii="Times New Roman" w:hAnsi="Times New Roman" w:cs="Times New Roman"/>
          <w:lang w:val="de-DE"/>
        </w:rPr>
      </w:pPr>
    </w:p>
    <w:p w14:paraId="1107C9BB"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Bewahren Sie dieses Arzneimittel für Kinder unzugänglich auf.</w:t>
      </w:r>
    </w:p>
    <w:p w14:paraId="72D2CDC4" w14:textId="77777777" w:rsidR="00E2353A" w:rsidRPr="009737B5" w:rsidRDefault="00E2353A" w:rsidP="005F4D08">
      <w:pPr>
        <w:suppressAutoHyphens/>
        <w:spacing w:after="0" w:line="240" w:lineRule="auto"/>
        <w:rPr>
          <w:rFonts w:ascii="Times New Roman" w:hAnsi="Times New Roman" w:cs="Times New Roman"/>
          <w:lang w:val="de-DE"/>
        </w:rPr>
      </w:pPr>
    </w:p>
    <w:p w14:paraId="1C2CD94F" w14:textId="51AB8314"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Sie dürfen dieses Arzneimittel nach dem auf dem Etikett der Durchstechflasche nach „EXP“ und auf dem Umkarton nach „</w:t>
      </w:r>
      <w:r w:rsidR="00DB5A37">
        <w:rPr>
          <w:rFonts w:ascii="Times New Roman" w:hAnsi="Times New Roman" w:cs="Times New Roman"/>
          <w:lang w:val="de-DE"/>
        </w:rPr>
        <w:t>v</w:t>
      </w:r>
      <w:r w:rsidRPr="009737B5">
        <w:rPr>
          <w:rFonts w:ascii="Times New Roman" w:hAnsi="Times New Roman" w:cs="Times New Roman"/>
          <w:lang w:val="de-DE"/>
        </w:rPr>
        <w:t>erwendbar</w:t>
      </w:r>
      <w:r w:rsidR="00322E40" w:rsidRPr="009737B5">
        <w:rPr>
          <w:rFonts w:ascii="Times New Roman" w:hAnsi="Times New Roman" w:cs="Times New Roman"/>
          <w:lang w:val="de-DE"/>
        </w:rPr>
        <w:t xml:space="preserve"> bis“ angegebenen Verfalldatum </w:t>
      </w:r>
      <w:r w:rsidRPr="009737B5">
        <w:rPr>
          <w:rFonts w:ascii="Times New Roman" w:hAnsi="Times New Roman" w:cs="Times New Roman"/>
          <w:lang w:val="de-DE"/>
        </w:rPr>
        <w:t>nicht mehr verwenden. Das Verfalldatum bezieht sich auf den letzten Tag des angegebenen Monats.</w:t>
      </w:r>
    </w:p>
    <w:p w14:paraId="7F995DF9" w14:textId="77777777" w:rsidR="00E2353A" w:rsidRPr="009737B5" w:rsidRDefault="00E2353A" w:rsidP="005F4D08">
      <w:pPr>
        <w:suppressAutoHyphens/>
        <w:spacing w:after="0" w:line="240" w:lineRule="auto"/>
        <w:rPr>
          <w:rFonts w:ascii="Times New Roman" w:hAnsi="Times New Roman" w:cs="Times New Roman"/>
          <w:lang w:val="de-DE"/>
        </w:rPr>
      </w:pPr>
    </w:p>
    <w:p w14:paraId="39B71517" w14:textId="02575062"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Im Kühlschrank lagern (2</w:t>
      </w:r>
      <w:r w:rsidR="00740FE6">
        <w:rPr>
          <w:rFonts w:ascii="Times New Roman" w:hAnsi="Times New Roman" w:cs="Times New Roman"/>
          <w:lang w:val="de-DE"/>
        </w:rPr>
        <w:t> </w:t>
      </w:r>
      <w:r w:rsidRPr="009737B5">
        <w:rPr>
          <w:rFonts w:ascii="Times New Roman" w:hAnsi="Times New Roman" w:cs="Times New Roman"/>
          <w:lang w:val="de-DE"/>
        </w:rPr>
        <w:t>°C</w:t>
      </w:r>
      <w:r w:rsidR="00740FE6">
        <w:rPr>
          <w:rFonts w:ascii="Times New Roman" w:hAnsi="Times New Roman" w:cs="Times New Roman"/>
          <w:lang w:val="de-DE"/>
        </w:rPr>
        <w:t> </w:t>
      </w:r>
      <w:r w:rsidR="00D7227D" w:rsidRPr="009737B5">
        <w:rPr>
          <w:rFonts w:ascii="Times New Roman" w:hAnsi="Times New Roman" w:cs="Times New Roman"/>
          <w:lang w:val="de-DE"/>
        </w:rPr>
        <w:t>-</w:t>
      </w:r>
      <w:r w:rsidR="00740FE6">
        <w:rPr>
          <w:rFonts w:ascii="Times New Roman" w:hAnsi="Times New Roman" w:cs="Times New Roman"/>
          <w:lang w:val="de-DE"/>
        </w:rPr>
        <w:t> </w:t>
      </w:r>
      <w:r w:rsidRPr="009737B5">
        <w:rPr>
          <w:rFonts w:ascii="Times New Roman" w:hAnsi="Times New Roman" w:cs="Times New Roman"/>
          <w:lang w:val="de-DE"/>
        </w:rPr>
        <w:t>8</w:t>
      </w:r>
      <w:r w:rsidR="00740FE6">
        <w:rPr>
          <w:rFonts w:ascii="Times New Roman" w:hAnsi="Times New Roman" w:cs="Times New Roman"/>
          <w:lang w:val="de-DE"/>
        </w:rPr>
        <w:t> </w:t>
      </w:r>
      <w:r w:rsidRPr="009737B5">
        <w:rPr>
          <w:rFonts w:ascii="Times New Roman" w:hAnsi="Times New Roman" w:cs="Times New Roman"/>
          <w:lang w:val="de-DE"/>
        </w:rPr>
        <w:t>°C).</w:t>
      </w:r>
    </w:p>
    <w:p w14:paraId="3FB0E21B"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Nicht einfrieren.</w:t>
      </w:r>
    </w:p>
    <w:p w14:paraId="7FDEFBF9" w14:textId="2CAC5250"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Durchstechflasche im Umkarton aufbewahren, um den Inhalt vor Licht zu schützen.</w:t>
      </w:r>
      <w:r w:rsidR="001B2020">
        <w:rPr>
          <w:rFonts w:ascii="Times New Roman" w:hAnsi="Times New Roman" w:cs="Times New Roman"/>
          <w:lang w:val="de-DE"/>
        </w:rPr>
        <w:t xml:space="preserve"> </w:t>
      </w:r>
    </w:p>
    <w:p w14:paraId="28757B51" w14:textId="77777777" w:rsidR="00E2353A" w:rsidRPr="009737B5" w:rsidRDefault="00E2353A" w:rsidP="005F4D08">
      <w:pPr>
        <w:suppressAutoHyphens/>
        <w:spacing w:after="0" w:line="240" w:lineRule="auto"/>
        <w:rPr>
          <w:rFonts w:ascii="Times New Roman" w:hAnsi="Times New Roman" w:cs="Times New Roman"/>
          <w:lang w:val="de-DE"/>
        </w:rPr>
      </w:pPr>
    </w:p>
    <w:p w14:paraId="553548A6" w14:textId="77777777" w:rsidR="001B2020" w:rsidRDefault="00E2353A" w:rsidP="001B2020">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Die Infusionslösungen sind unmittelbar nach dem Verdünnen anzuwenden.</w:t>
      </w:r>
      <w:r w:rsidR="001B2020">
        <w:rPr>
          <w:rFonts w:ascii="Times New Roman" w:hAnsi="Times New Roman" w:cs="Times New Roman"/>
          <w:lang w:val="de-DE"/>
        </w:rPr>
        <w:t xml:space="preserve"> Wenn sie nicht sofort verwendet werden, liegen die Lagerzeiten und Lagerbedingungen nach Anbruch in der Verantwortung des Anwenders und sollten im Normalfall 24 Stunden bei 2 °C – 8 °C nicht überschreiten, es sei denn, die Infusionslösungen wurden in einem sterilen Umfeld zubereitet. Wenn die Verdünnung in einem sterilen Umfeld stattgefunden hat, ist MVASI über 35 Tage bei 2 °C – 8 °C sowie weitere 48 Stunden bei Temperaturen bis 30 °C stabil.</w:t>
      </w:r>
    </w:p>
    <w:p w14:paraId="7830E42A" w14:textId="77777777" w:rsidR="001B2020" w:rsidRDefault="001B2020" w:rsidP="001B2020">
      <w:pPr>
        <w:suppressAutoHyphens/>
        <w:spacing w:after="0" w:line="240" w:lineRule="auto"/>
        <w:rPr>
          <w:rFonts w:ascii="Times New Roman" w:hAnsi="Times New Roman" w:cs="Times New Roman"/>
          <w:lang w:val="de-DE"/>
        </w:rPr>
      </w:pPr>
    </w:p>
    <w:p w14:paraId="3E088FA5" w14:textId="7CF84EEB"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Sie dürfen dieses Arzneimittel nicht verwenden, wenn Sie Folgendes bemerken: Schwebstoffteilchen oder eine Verfärbung der Lösung.</w:t>
      </w:r>
    </w:p>
    <w:p w14:paraId="697B6FC6" w14:textId="77777777" w:rsidR="00E2353A" w:rsidRPr="009737B5" w:rsidRDefault="00E2353A" w:rsidP="005F4D08">
      <w:pPr>
        <w:suppressAutoHyphens/>
        <w:spacing w:after="0" w:line="240" w:lineRule="auto"/>
        <w:rPr>
          <w:rFonts w:ascii="Times New Roman" w:hAnsi="Times New Roman" w:cs="Times New Roman"/>
          <w:lang w:val="de-DE"/>
        </w:rPr>
      </w:pPr>
    </w:p>
    <w:p w14:paraId="3F7C0008" w14:textId="77777777" w:rsidR="00E2353A" w:rsidRPr="009737B5"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Entsorgen Sie Arzneimittel nicht im Abwasser oder Haushaltsabfall. Fragen Sie Ihren Apotheker, wie das Arzneimittel zu entsorgen ist, wenn Sie es nicht mehr verwenden. Sie tragen damit zum Schutz der Umwelt bei.</w:t>
      </w:r>
    </w:p>
    <w:p w14:paraId="131A0B79" w14:textId="77777777" w:rsidR="00E2353A" w:rsidRPr="009737B5" w:rsidRDefault="00E2353A" w:rsidP="005F4D08">
      <w:pPr>
        <w:suppressAutoHyphens/>
        <w:spacing w:after="0" w:line="240" w:lineRule="auto"/>
        <w:rPr>
          <w:rFonts w:ascii="Times New Roman" w:hAnsi="Times New Roman" w:cs="Times New Roman"/>
          <w:lang w:val="de-DE"/>
        </w:rPr>
      </w:pPr>
    </w:p>
    <w:p w14:paraId="6936EF41" w14:textId="77777777" w:rsidR="00E2353A" w:rsidRPr="009737B5" w:rsidRDefault="00E2353A" w:rsidP="005F4D08">
      <w:pPr>
        <w:suppressAutoHyphens/>
        <w:spacing w:after="0" w:line="240" w:lineRule="auto"/>
        <w:rPr>
          <w:rFonts w:ascii="Times New Roman" w:hAnsi="Times New Roman" w:cs="Times New Roman"/>
          <w:lang w:val="de-DE"/>
        </w:rPr>
      </w:pPr>
    </w:p>
    <w:p w14:paraId="7B8589B2" w14:textId="77777777" w:rsidR="00E2353A" w:rsidRPr="009737B5" w:rsidRDefault="001C1A6A" w:rsidP="00146950">
      <w:pPr>
        <w:keepNext/>
        <w:suppressAutoHyphens/>
        <w:spacing w:after="0" w:line="240" w:lineRule="auto"/>
        <w:ind w:left="567" w:hanging="567"/>
        <w:rPr>
          <w:rFonts w:ascii="Times New Roman" w:hAnsi="Times New Roman" w:cs="Times New Roman"/>
          <w:b/>
          <w:lang w:val="de-DE"/>
        </w:rPr>
      </w:pPr>
      <w:r w:rsidRPr="009737B5">
        <w:rPr>
          <w:rFonts w:ascii="Times New Roman" w:hAnsi="Times New Roman" w:cs="Times New Roman"/>
          <w:b/>
          <w:lang w:val="de-DE"/>
        </w:rPr>
        <w:t>6.</w:t>
      </w:r>
      <w:r w:rsidR="00E2353A" w:rsidRPr="009737B5">
        <w:rPr>
          <w:rFonts w:ascii="Times New Roman" w:hAnsi="Times New Roman" w:cs="Times New Roman"/>
          <w:b/>
          <w:lang w:val="de-DE"/>
        </w:rPr>
        <w:tab/>
        <w:t>Inhalt der Packung und weitere Informationen</w:t>
      </w:r>
    </w:p>
    <w:p w14:paraId="4D005FE2" w14:textId="77777777" w:rsidR="00E2353A" w:rsidRPr="009737B5" w:rsidRDefault="00E2353A" w:rsidP="00146950">
      <w:pPr>
        <w:keepNext/>
        <w:suppressAutoHyphens/>
        <w:spacing w:after="0" w:line="240" w:lineRule="auto"/>
        <w:rPr>
          <w:rFonts w:ascii="Times New Roman" w:hAnsi="Times New Roman" w:cs="Times New Roman"/>
          <w:lang w:val="de-DE"/>
        </w:rPr>
      </w:pPr>
    </w:p>
    <w:p w14:paraId="226B426F" w14:textId="77777777" w:rsidR="00E2353A" w:rsidRPr="009737B5" w:rsidRDefault="00E2353A" w:rsidP="00146950">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 xml:space="preserve">Was </w:t>
      </w:r>
      <w:r w:rsidR="00AD34FA" w:rsidRPr="009737B5">
        <w:rPr>
          <w:rFonts w:ascii="Times New Roman" w:hAnsi="Times New Roman" w:cs="Times New Roman"/>
          <w:b/>
          <w:lang w:val="de-DE"/>
        </w:rPr>
        <w:t>MVASI</w:t>
      </w:r>
      <w:r w:rsidRPr="009737B5">
        <w:rPr>
          <w:rFonts w:ascii="Times New Roman" w:hAnsi="Times New Roman" w:cs="Times New Roman"/>
          <w:b/>
          <w:lang w:val="de-DE"/>
        </w:rPr>
        <w:t xml:space="preserve"> enthält</w:t>
      </w:r>
    </w:p>
    <w:p w14:paraId="07E0744B" w14:textId="030C3A00"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Der Wirkstoff ist: Bevacizumab. Jeder</w:t>
      </w:r>
      <w:r w:rsidR="00322E40" w:rsidRPr="009737B5">
        <w:rPr>
          <w:rFonts w:ascii="Times New Roman" w:hAnsi="Times New Roman" w:cs="Times New Roman"/>
          <w:lang w:val="de-DE"/>
        </w:rPr>
        <w:t xml:space="preserve"> </w:t>
      </w:r>
      <w:r w:rsidR="00AB26B9" w:rsidRPr="009737B5">
        <w:rPr>
          <w:rFonts w:ascii="Times New Roman" w:hAnsi="Times New Roman" w:cs="Times New Roman"/>
          <w:lang w:val="de-DE"/>
        </w:rPr>
        <w:t>ml</w:t>
      </w:r>
      <w:r w:rsidRPr="009737B5">
        <w:rPr>
          <w:rFonts w:ascii="Times New Roman" w:hAnsi="Times New Roman" w:cs="Times New Roman"/>
          <w:lang w:val="de-DE"/>
        </w:rPr>
        <w:t xml:space="preserve"> Konzentrat enthält 25</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 Bevacizumab.</w:t>
      </w:r>
    </w:p>
    <w:p w14:paraId="48DA1E2A" w14:textId="464CEFC9" w:rsidR="00E2353A" w:rsidRPr="009737B5" w:rsidRDefault="00E2353A" w:rsidP="0020738C">
      <w:pPr>
        <w:pStyle w:val="ListParagraph"/>
        <w:suppressAutoHyphens/>
        <w:spacing w:after="0" w:line="240" w:lineRule="auto"/>
        <w:ind w:left="567"/>
        <w:rPr>
          <w:rFonts w:ascii="Times New Roman" w:hAnsi="Times New Roman" w:cs="Times New Roman"/>
          <w:lang w:val="de-DE"/>
        </w:rPr>
      </w:pPr>
      <w:r w:rsidRPr="009737B5">
        <w:rPr>
          <w:rFonts w:ascii="Times New Roman" w:hAnsi="Times New Roman" w:cs="Times New Roman"/>
          <w:lang w:val="de-DE"/>
        </w:rPr>
        <w:t>Jede Durchstechflasche zu 4</w:t>
      </w:r>
      <w:r w:rsidR="00AB26B9" w:rsidRPr="009737B5">
        <w:rPr>
          <w:rFonts w:ascii="Times New Roman" w:hAnsi="Times New Roman" w:cs="Times New Roman"/>
          <w:lang w:val="de-DE"/>
        </w:rPr>
        <w:t> ml</w:t>
      </w:r>
      <w:r w:rsidR="004A041E">
        <w:rPr>
          <w:rFonts w:ascii="Times New Roman" w:hAnsi="Times New Roman" w:cs="Times New Roman"/>
          <w:lang w:val="de-DE"/>
        </w:rPr>
        <w:t xml:space="preserve"> Konzentrat</w:t>
      </w:r>
      <w:r w:rsidRPr="009737B5">
        <w:rPr>
          <w:rFonts w:ascii="Times New Roman" w:hAnsi="Times New Roman" w:cs="Times New Roman"/>
          <w:lang w:val="de-DE"/>
        </w:rPr>
        <w:t xml:space="preserve"> enthält 100</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 Bevacizumab, entsprechend 1,4</w:t>
      </w:r>
      <w:r w:rsidR="00AB26B9" w:rsidRPr="009737B5">
        <w:rPr>
          <w:rFonts w:ascii="Times New Roman" w:hAnsi="Times New Roman" w:cs="Times New Roman"/>
          <w:lang w:val="de-DE"/>
        </w:rPr>
        <w:t> mg</w:t>
      </w:r>
      <w:r w:rsidR="00C6251D" w:rsidRPr="009737B5">
        <w:rPr>
          <w:rFonts w:ascii="Times New Roman" w:hAnsi="Times New Roman" w:cs="Times New Roman"/>
          <w:lang w:val="de-DE"/>
        </w:rPr>
        <w:t>/ml</w:t>
      </w:r>
      <w:r w:rsidRPr="009737B5">
        <w:rPr>
          <w:rFonts w:ascii="Times New Roman" w:hAnsi="Times New Roman" w:cs="Times New Roman"/>
          <w:lang w:val="de-DE"/>
        </w:rPr>
        <w:t xml:space="preserve"> bei Verdünnung gemäß Empfehlung.</w:t>
      </w:r>
    </w:p>
    <w:p w14:paraId="72C3FE95" w14:textId="1097BA8E" w:rsidR="00E2353A" w:rsidRPr="009737B5" w:rsidRDefault="00E2353A" w:rsidP="0020738C">
      <w:pPr>
        <w:pStyle w:val="ListParagraph"/>
        <w:suppressAutoHyphens/>
        <w:spacing w:after="0" w:line="240" w:lineRule="auto"/>
        <w:ind w:left="567"/>
        <w:rPr>
          <w:rFonts w:ascii="Times New Roman" w:hAnsi="Times New Roman" w:cs="Times New Roman"/>
          <w:lang w:val="de-DE"/>
        </w:rPr>
      </w:pPr>
      <w:r w:rsidRPr="009737B5">
        <w:rPr>
          <w:rFonts w:ascii="Times New Roman" w:hAnsi="Times New Roman" w:cs="Times New Roman"/>
          <w:lang w:val="de-DE"/>
        </w:rPr>
        <w:t>Jede Durchstechflasche zu 16</w:t>
      </w:r>
      <w:r w:rsidR="00AB26B9" w:rsidRPr="009737B5">
        <w:rPr>
          <w:rFonts w:ascii="Times New Roman" w:hAnsi="Times New Roman" w:cs="Times New Roman"/>
          <w:lang w:val="de-DE"/>
        </w:rPr>
        <w:t> ml</w:t>
      </w:r>
      <w:r w:rsidR="004A041E">
        <w:rPr>
          <w:rFonts w:ascii="Times New Roman" w:hAnsi="Times New Roman" w:cs="Times New Roman"/>
          <w:lang w:val="de-DE"/>
        </w:rPr>
        <w:t xml:space="preserve"> Konzentrat</w:t>
      </w:r>
      <w:r w:rsidRPr="009737B5">
        <w:rPr>
          <w:rFonts w:ascii="Times New Roman" w:hAnsi="Times New Roman" w:cs="Times New Roman"/>
          <w:lang w:val="de-DE"/>
        </w:rPr>
        <w:t xml:space="preserve"> enthält 400</w:t>
      </w:r>
      <w:r w:rsidR="00AB26B9" w:rsidRPr="009737B5">
        <w:rPr>
          <w:rFonts w:ascii="Times New Roman" w:hAnsi="Times New Roman" w:cs="Times New Roman"/>
          <w:lang w:val="de-DE"/>
        </w:rPr>
        <w:t> mg</w:t>
      </w:r>
      <w:r w:rsidRPr="009737B5">
        <w:rPr>
          <w:rFonts w:ascii="Times New Roman" w:hAnsi="Times New Roman" w:cs="Times New Roman"/>
          <w:lang w:val="de-DE"/>
        </w:rPr>
        <w:t xml:space="preserve"> Bevacizumab, entsprechend 16,5</w:t>
      </w:r>
      <w:r w:rsidR="00AB26B9" w:rsidRPr="009737B5">
        <w:rPr>
          <w:rFonts w:ascii="Times New Roman" w:hAnsi="Times New Roman" w:cs="Times New Roman"/>
          <w:lang w:val="de-DE"/>
        </w:rPr>
        <w:t> mg</w:t>
      </w:r>
      <w:r w:rsidR="00C6251D" w:rsidRPr="009737B5">
        <w:rPr>
          <w:rFonts w:ascii="Times New Roman" w:hAnsi="Times New Roman" w:cs="Times New Roman"/>
          <w:lang w:val="de-DE"/>
        </w:rPr>
        <w:t>/ml</w:t>
      </w:r>
      <w:r w:rsidRPr="009737B5">
        <w:rPr>
          <w:rFonts w:ascii="Times New Roman" w:hAnsi="Times New Roman" w:cs="Times New Roman"/>
          <w:lang w:val="de-DE"/>
        </w:rPr>
        <w:t xml:space="preserve"> bei Verdünnung gemäß Empfehlung.</w:t>
      </w:r>
    </w:p>
    <w:p w14:paraId="640A8559" w14:textId="0719D1FE" w:rsidR="00E2353A" w:rsidRPr="009737B5" w:rsidRDefault="00E2353A" w:rsidP="00FF7FCC">
      <w:pPr>
        <w:pStyle w:val="ListParagraph"/>
        <w:numPr>
          <w:ilvl w:val="0"/>
          <w:numId w:val="1"/>
        </w:numPr>
        <w:suppressAutoHyphens/>
        <w:spacing w:after="0" w:line="240" w:lineRule="auto"/>
        <w:ind w:left="567" w:hanging="567"/>
        <w:rPr>
          <w:rFonts w:ascii="Times New Roman" w:hAnsi="Times New Roman" w:cs="Times New Roman"/>
          <w:lang w:val="de-DE"/>
        </w:rPr>
      </w:pPr>
      <w:r w:rsidRPr="009737B5">
        <w:rPr>
          <w:rFonts w:ascii="Times New Roman" w:hAnsi="Times New Roman" w:cs="Times New Roman"/>
          <w:lang w:val="de-DE"/>
        </w:rPr>
        <w:t xml:space="preserve">Die sonstigen Bestandteile sind: </w:t>
      </w:r>
      <w:r w:rsidR="00526D67" w:rsidRPr="009737B5">
        <w:rPr>
          <w:rFonts w:ascii="Times New Roman" w:hAnsi="Times New Roman" w:cs="Times New Roman"/>
          <w:lang w:val="de-DE"/>
        </w:rPr>
        <w:t>α</w:t>
      </w:r>
      <w:r w:rsidRPr="009737B5">
        <w:rPr>
          <w:rFonts w:ascii="Times New Roman" w:hAnsi="Times New Roman" w:cs="Times New Roman"/>
          <w:lang w:val="de-DE"/>
        </w:rPr>
        <w:t xml:space="preserve">, </w:t>
      </w:r>
      <w:r w:rsidR="00526D67" w:rsidRPr="009737B5">
        <w:rPr>
          <w:rFonts w:ascii="Times New Roman" w:hAnsi="Times New Roman" w:cs="Times New Roman"/>
          <w:lang w:val="de-DE"/>
        </w:rPr>
        <w:t>α</w:t>
      </w:r>
      <w:r w:rsidRPr="009737B5">
        <w:rPr>
          <w:rFonts w:ascii="Times New Roman" w:hAnsi="Times New Roman" w:cs="Times New Roman"/>
          <w:lang w:val="de-DE"/>
        </w:rPr>
        <w:t>-Trehalose</w:t>
      </w:r>
      <w:r w:rsidR="00526D67" w:rsidRPr="009737B5">
        <w:rPr>
          <w:rFonts w:ascii="Times New Roman" w:hAnsi="Times New Roman" w:cs="Times New Roman"/>
          <w:lang w:val="de-DE"/>
        </w:rPr>
        <w:t>-</w:t>
      </w:r>
      <w:r w:rsidRPr="009737B5">
        <w:rPr>
          <w:rFonts w:ascii="Times New Roman" w:hAnsi="Times New Roman" w:cs="Times New Roman"/>
          <w:lang w:val="de-DE"/>
        </w:rPr>
        <w:t>2-H</w:t>
      </w:r>
      <w:r w:rsidRPr="009737B5">
        <w:rPr>
          <w:rFonts w:ascii="Times New Roman" w:hAnsi="Times New Roman" w:cs="Times New Roman"/>
          <w:vertAlign w:val="subscript"/>
          <w:lang w:val="de-DE"/>
        </w:rPr>
        <w:t>2</w:t>
      </w:r>
      <w:r w:rsidRPr="009737B5">
        <w:rPr>
          <w:rFonts w:ascii="Times New Roman" w:hAnsi="Times New Roman" w:cs="Times New Roman"/>
          <w:lang w:val="de-DE"/>
        </w:rPr>
        <w:t>O, Natriumphosphat, Polysorbat</w:t>
      </w:r>
      <w:r w:rsidR="00740FE6">
        <w:rPr>
          <w:rFonts w:ascii="Times New Roman" w:hAnsi="Times New Roman" w:cs="Times New Roman"/>
          <w:lang w:val="de-DE"/>
        </w:rPr>
        <w:t> </w:t>
      </w:r>
      <w:r w:rsidRPr="009737B5">
        <w:rPr>
          <w:rFonts w:ascii="Times New Roman" w:hAnsi="Times New Roman" w:cs="Times New Roman"/>
          <w:lang w:val="de-DE"/>
        </w:rPr>
        <w:t>20 und Wasser für Injektionszwecke</w:t>
      </w:r>
      <w:r w:rsidR="004A041E">
        <w:rPr>
          <w:rFonts w:ascii="Times New Roman" w:hAnsi="Times New Roman" w:cs="Times New Roman"/>
          <w:lang w:val="de-DE"/>
        </w:rPr>
        <w:t xml:space="preserve"> (siehe Abschnitt </w:t>
      </w:r>
      <w:r w:rsidR="00E75CC8">
        <w:rPr>
          <w:rFonts w:ascii="Times New Roman" w:hAnsi="Times New Roman" w:cs="Times New Roman"/>
          <w:lang w:val="de-DE"/>
        </w:rPr>
        <w:t>2 –</w:t>
      </w:r>
      <w:r w:rsidR="00DC4775">
        <w:rPr>
          <w:rFonts w:ascii="Times New Roman" w:hAnsi="Times New Roman" w:cs="Times New Roman"/>
          <w:lang w:val="de-DE"/>
        </w:rPr>
        <w:t> </w:t>
      </w:r>
      <w:r w:rsidR="00E75CC8">
        <w:rPr>
          <w:rFonts w:ascii="Times New Roman" w:hAnsi="Times New Roman" w:cs="Times New Roman"/>
          <w:lang w:val="de-DE"/>
        </w:rPr>
        <w:t>MVASI enthält Natrium)</w:t>
      </w:r>
      <w:r w:rsidRPr="009737B5">
        <w:rPr>
          <w:rFonts w:ascii="Times New Roman" w:hAnsi="Times New Roman" w:cs="Times New Roman"/>
          <w:lang w:val="de-DE"/>
        </w:rPr>
        <w:t>.</w:t>
      </w:r>
    </w:p>
    <w:p w14:paraId="02AAA4D7" w14:textId="77777777" w:rsidR="00E2353A" w:rsidRPr="008B537C" w:rsidRDefault="00E2353A" w:rsidP="005F4D08">
      <w:pPr>
        <w:suppressAutoHyphens/>
        <w:spacing w:after="0" w:line="240" w:lineRule="auto"/>
        <w:rPr>
          <w:rFonts w:ascii="Times New Roman" w:hAnsi="Times New Roman" w:cs="Times New Roman"/>
          <w:lang w:val="hu-HU"/>
        </w:rPr>
      </w:pPr>
    </w:p>
    <w:p w14:paraId="67828918" w14:textId="77777777" w:rsidR="00E2353A" w:rsidRPr="009737B5" w:rsidRDefault="00E2353A" w:rsidP="0089598C">
      <w:pPr>
        <w:keepNext/>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 xml:space="preserve">Wie </w:t>
      </w:r>
      <w:r w:rsidR="00AD34FA" w:rsidRPr="009737B5">
        <w:rPr>
          <w:rFonts w:ascii="Times New Roman" w:hAnsi="Times New Roman" w:cs="Times New Roman"/>
          <w:b/>
          <w:lang w:val="de-DE"/>
        </w:rPr>
        <w:t>MVASI</w:t>
      </w:r>
      <w:r w:rsidRPr="009737B5">
        <w:rPr>
          <w:rFonts w:ascii="Times New Roman" w:hAnsi="Times New Roman" w:cs="Times New Roman"/>
          <w:b/>
          <w:lang w:val="de-DE"/>
        </w:rPr>
        <w:t xml:space="preserve"> aussieht und Inhalt der Packung</w:t>
      </w:r>
    </w:p>
    <w:p w14:paraId="15D25862" w14:textId="77777777" w:rsidR="0089598C" w:rsidRPr="009737B5" w:rsidRDefault="0089598C" w:rsidP="0089598C">
      <w:pPr>
        <w:keepNext/>
        <w:suppressAutoHyphens/>
        <w:spacing w:after="0" w:line="240" w:lineRule="auto"/>
        <w:rPr>
          <w:rFonts w:ascii="Times New Roman" w:hAnsi="Times New Roman" w:cs="Times New Roman"/>
          <w:lang w:val="de-DE"/>
        </w:rPr>
      </w:pPr>
    </w:p>
    <w:p w14:paraId="419558FB" w14:textId="77777777" w:rsidR="00E2353A" w:rsidRPr="009737B5" w:rsidRDefault="00AD34F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ist ein Konzentrat zur Herstellung einer Infusionslösung. Das Konzentrat ist eine klare</w:t>
      </w:r>
      <w:r w:rsidRPr="009737B5">
        <w:rPr>
          <w:rFonts w:ascii="Times New Roman" w:hAnsi="Times New Roman" w:cs="Times New Roman"/>
          <w:lang w:val="de-DE"/>
        </w:rPr>
        <w:t xml:space="preserve"> bis leicht opalisierende</w:t>
      </w:r>
      <w:r w:rsidR="00E2353A" w:rsidRPr="009737B5">
        <w:rPr>
          <w:rFonts w:ascii="Times New Roman" w:hAnsi="Times New Roman" w:cs="Times New Roman"/>
          <w:lang w:val="de-DE"/>
        </w:rPr>
        <w:t xml:space="preserve">, farblose bis </w:t>
      </w:r>
      <w:r w:rsidRPr="009737B5">
        <w:rPr>
          <w:rFonts w:ascii="Times New Roman" w:hAnsi="Times New Roman" w:cs="Times New Roman"/>
          <w:lang w:val="de-DE"/>
        </w:rPr>
        <w:t>leicht gelbe</w:t>
      </w:r>
      <w:r w:rsidR="00E2353A" w:rsidRPr="009737B5">
        <w:rPr>
          <w:rFonts w:ascii="Times New Roman" w:hAnsi="Times New Roman" w:cs="Times New Roman"/>
          <w:lang w:val="de-DE"/>
        </w:rPr>
        <w:t xml:space="preserve"> Flüssigkeit in einer </w:t>
      </w:r>
      <w:r w:rsidR="00380D1C" w:rsidRPr="009737B5">
        <w:rPr>
          <w:rFonts w:ascii="Times New Roman" w:hAnsi="Times New Roman" w:cs="Times New Roman"/>
          <w:lang w:val="de-DE"/>
        </w:rPr>
        <w:t xml:space="preserve">Durchstechflasche aus Glas </w:t>
      </w:r>
      <w:r w:rsidR="00E2353A" w:rsidRPr="009737B5">
        <w:rPr>
          <w:rFonts w:ascii="Times New Roman" w:hAnsi="Times New Roman" w:cs="Times New Roman"/>
          <w:lang w:val="de-DE"/>
        </w:rPr>
        <w:t>mit einem Gummistopfen. Jede</w:t>
      </w:r>
      <w:r w:rsidR="0089598C" w:rsidRPr="009737B5">
        <w:rPr>
          <w:rFonts w:ascii="Times New Roman" w:hAnsi="Times New Roman" w:cs="Times New Roman"/>
          <w:lang w:val="de-DE"/>
        </w:rPr>
        <w:t xml:space="preserve"> </w:t>
      </w:r>
      <w:r w:rsidR="00E2353A" w:rsidRPr="009737B5">
        <w:rPr>
          <w:rFonts w:ascii="Times New Roman" w:hAnsi="Times New Roman" w:cs="Times New Roman"/>
          <w:lang w:val="de-DE"/>
        </w:rPr>
        <w:t>Durchstechflasche enthält 100</w:t>
      </w:r>
      <w:r w:rsidR="00AB26B9" w:rsidRPr="009737B5">
        <w:rPr>
          <w:rFonts w:ascii="Times New Roman" w:hAnsi="Times New Roman" w:cs="Times New Roman"/>
          <w:lang w:val="de-DE"/>
        </w:rPr>
        <w:t> mg</w:t>
      </w:r>
      <w:r w:rsidR="00E2353A" w:rsidRPr="009737B5">
        <w:rPr>
          <w:rFonts w:ascii="Times New Roman" w:hAnsi="Times New Roman" w:cs="Times New Roman"/>
          <w:lang w:val="de-DE"/>
        </w:rPr>
        <w:t xml:space="preserve"> Bevacizumab in 4</w:t>
      </w:r>
      <w:r w:rsidR="00AB26B9" w:rsidRPr="009737B5">
        <w:rPr>
          <w:rFonts w:ascii="Times New Roman" w:hAnsi="Times New Roman" w:cs="Times New Roman"/>
          <w:lang w:val="de-DE"/>
        </w:rPr>
        <w:t> ml</w:t>
      </w:r>
      <w:r w:rsidR="00E2353A" w:rsidRPr="009737B5">
        <w:rPr>
          <w:rFonts w:ascii="Times New Roman" w:hAnsi="Times New Roman" w:cs="Times New Roman"/>
          <w:lang w:val="de-DE"/>
        </w:rPr>
        <w:t xml:space="preserve"> Lösung oder 400</w:t>
      </w:r>
      <w:r w:rsidR="00AB26B9" w:rsidRPr="009737B5">
        <w:rPr>
          <w:rFonts w:ascii="Times New Roman" w:hAnsi="Times New Roman" w:cs="Times New Roman"/>
          <w:lang w:val="de-DE"/>
        </w:rPr>
        <w:t> mg</w:t>
      </w:r>
      <w:r w:rsidR="00E2353A" w:rsidRPr="009737B5">
        <w:rPr>
          <w:rFonts w:ascii="Times New Roman" w:hAnsi="Times New Roman" w:cs="Times New Roman"/>
          <w:lang w:val="de-DE"/>
        </w:rPr>
        <w:t xml:space="preserve"> Bevacizumab in 16</w:t>
      </w:r>
      <w:r w:rsidR="00AB26B9" w:rsidRPr="009737B5">
        <w:rPr>
          <w:rFonts w:ascii="Times New Roman" w:hAnsi="Times New Roman" w:cs="Times New Roman"/>
          <w:lang w:val="de-DE"/>
        </w:rPr>
        <w:t> ml</w:t>
      </w:r>
      <w:r w:rsidR="00E2353A" w:rsidRPr="009737B5">
        <w:rPr>
          <w:rFonts w:ascii="Times New Roman" w:hAnsi="Times New Roman" w:cs="Times New Roman"/>
          <w:lang w:val="de-DE"/>
        </w:rPr>
        <w:t xml:space="preserve"> Lösung. Jede Packung </w:t>
      </w:r>
      <w:r w:rsidRPr="009737B5">
        <w:rPr>
          <w:rFonts w:ascii="Times New Roman" w:hAnsi="Times New Roman" w:cs="Times New Roman"/>
          <w:lang w:val="de-DE"/>
        </w:rPr>
        <w:t>MVASI</w:t>
      </w:r>
      <w:r w:rsidR="00E2353A" w:rsidRPr="009737B5">
        <w:rPr>
          <w:rFonts w:ascii="Times New Roman" w:hAnsi="Times New Roman" w:cs="Times New Roman"/>
          <w:lang w:val="de-DE"/>
        </w:rPr>
        <w:t xml:space="preserve"> enthält eine Durchstechflasche.</w:t>
      </w:r>
    </w:p>
    <w:p w14:paraId="19836390" w14:textId="77777777" w:rsidR="00E2353A" w:rsidRPr="009737B5" w:rsidRDefault="00E2353A" w:rsidP="005F4D08">
      <w:pPr>
        <w:suppressAutoHyphens/>
        <w:spacing w:after="0" w:line="240" w:lineRule="auto"/>
        <w:rPr>
          <w:rFonts w:ascii="Times New Roman" w:hAnsi="Times New Roman" w:cs="Times New Roman"/>
          <w:lang w:val="de-DE"/>
        </w:rPr>
      </w:pPr>
    </w:p>
    <w:p w14:paraId="608F3EA3" w14:textId="77777777" w:rsidR="00E2353A" w:rsidRDefault="00E2353A">
      <w:pPr>
        <w:keepNext/>
        <w:suppressAutoHyphens/>
        <w:spacing w:after="0" w:line="240" w:lineRule="auto"/>
        <w:rPr>
          <w:rFonts w:ascii="Times New Roman" w:hAnsi="Times New Roman" w:cs="Times New Roman"/>
          <w:b/>
          <w:highlight w:val="lightGray"/>
          <w:lang w:val="de-DE"/>
          <w:rPrChange w:id="11" w:author="Author">
            <w:rPr>
              <w:rFonts w:ascii="Times New Roman" w:hAnsi="Times New Roman" w:cs="Times New Roman"/>
              <w:b/>
              <w:lang w:val="de-DE"/>
            </w:rPr>
          </w:rPrChange>
        </w:rPr>
      </w:pPr>
      <w:r>
        <w:rPr>
          <w:rFonts w:ascii="Times New Roman" w:hAnsi="Times New Roman" w:cs="Times New Roman"/>
          <w:b/>
          <w:highlight w:val="lightGray"/>
          <w:lang w:val="de-DE"/>
          <w:rPrChange w:id="12" w:author="Author">
            <w:rPr>
              <w:rFonts w:ascii="Times New Roman" w:hAnsi="Times New Roman" w:cs="Times New Roman"/>
              <w:b/>
              <w:lang w:val="de-DE"/>
            </w:rPr>
          </w:rPrChange>
        </w:rPr>
        <w:t>Pharmazeutischer Unternehmer</w:t>
      </w:r>
      <w:r w:rsidR="002833B7">
        <w:rPr>
          <w:rFonts w:ascii="Times New Roman" w:hAnsi="Times New Roman" w:cs="Times New Roman"/>
          <w:b/>
          <w:highlight w:val="lightGray"/>
          <w:lang w:val="de-DE"/>
          <w:rPrChange w:id="13" w:author="Author">
            <w:rPr>
              <w:rFonts w:ascii="Times New Roman" w:hAnsi="Times New Roman" w:cs="Times New Roman"/>
              <w:b/>
              <w:lang w:val="de-DE"/>
            </w:rPr>
          </w:rPrChange>
        </w:rPr>
        <w:t xml:space="preserve"> und Hersteller</w:t>
      </w:r>
    </w:p>
    <w:p w14:paraId="60200DEB" w14:textId="77777777" w:rsidR="006F158C" w:rsidRDefault="006F158C" w:rsidP="006F158C">
      <w:pPr>
        <w:keepNext/>
        <w:spacing w:after="0" w:line="240" w:lineRule="auto"/>
        <w:rPr>
          <w:rFonts w:ascii="Times New Roman" w:hAnsi="Times New Roman" w:cs="Times New Roman"/>
          <w:highlight w:val="lightGray"/>
          <w:lang w:val="de-DE"/>
          <w:rPrChange w:id="14" w:author="Author">
            <w:rPr>
              <w:rFonts w:ascii="Times New Roman" w:hAnsi="Times New Roman" w:cs="Times New Roman"/>
              <w:lang w:val="de-DE"/>
            </w:rPr>
          </w:rPrChange>
        </w:rPr>
      </w:pPr>
      <w:r>
        <w:rPr>
          <w:rFonts w:ascii="Times New Roman" w:hAnsi="Times New Roman" w:cs="Times New Roman"/>
          <w:highlight w:val="lightGray"/>
          <w:lang w:val="de-DE"/>
          <w:rPrChange w:id="15" w:author="Author">
            <w:rPr>
              <w:rFonts w:ascii="Times New Roman" w:hAnsi="Times New Roman" w:cs="Times New Roman"/>
              <w:lang w:val="de-DE"/>
            </w:rPr>
          </w:rPrChange>
        </w:rPr>
        <w:t>Amgen Technology (Ireland) UC,</w:t>
      </w:r>
    </w:p>
    <w:p w14:paraId="48C2CF15" w14:textId="77777777" w:rsidR="006F158C" w:rsidRDefault="006F158C" w:rsidP="006F158C">
      <w:pPr>
        <w:keepNext/>
        <w:spacing w:after="0" w:line="240" w:lineRule="auto"/>
        <w:rPr>
          <w:rFonts w:ascii="Times New Roman" w:hAnsi="Times New Roman" w:cs="Times New Roman"/>
          <w:highlight w:val="lightGray"/>
          <w:rPrChange w:id="16" w:author="Author">
            <w:rPr>
              <w:rFonts w:ascii="Times New Roman" w:hAnsi="Times New Roman" w:cs="Times New Roman"/>
            </w:rPr>
          </w:rPrChange>
        </w:rPr>
      </w:pPr>
      <w:r>
        <w:rPr>
          <w:rFonts w:ascii="Times New Roman" w:hAnsi="Times New Roman" w:cs="Times New Roman"/>
          <w:highlight w:val="lightGray"/>
          <w:rPrChange w:id="17" w:author="Author">
            <w:rPr>
              <w:rFonts w:ascii="Times New Roman" w:hAnsi="Times New Roman" w:cs="Times New Roman"/>
            </w:rPr>
          </w:rPrChange>
        </w:rPr>
        <w:t>Pottery Road,</w:t>
      </w:r>
    </w:p>
    <w:p w14:paraId="748F22E1" w14:textId="77777777" w:rsidR="006F158C" w:rsidRDefault="006F158C" w:rsidP="006F158C">
      <w:pPr>
        <w:keepNext/>
        <w:spacing w:after="0" w:line="240" w:lineRule="auto"/>
        <w:rPr>
          <w:rFonts w:ascii="Times New Roman" w:hAnsi="Times New Roman" w:cs="Times New Roman"/>
          <w:highlight w:val="lightGray"/>
          <w:rPrChange w:id="18" w:author="Author">
            <w:rPr>
              <w:rFonts w:ascii="Times New Roman" w:hAnsi="Times New Roman" w:cs="Times New Roman"/>
            </w:rPr>
          </w:rPrChange>
        </w:rPr>
      </w:pPr>
      <w:r>
        <w:rPr>
          <w:rFonts w:ascii="Times New Roman" w:hAnsi="Times New Roman" w:cs="Times New Roman"/>
          <w:highlight w:val="lightGray"/>
          <w:rPrChange w:id="19" w:author="Author">
            <w:rPr>
              <w:rFonts w:ascii="Times New Roman" w:hAnsi="Times New Roman" w:cs="Times New Roman"/>
            </w:rPr>
          </w:rPrChange>
        </w:rPr>
        <w:t>Dun Laoghaire,</w:t>
      </w:r>
    </w:p>
    <w:p w14:paraId="323A122B" w14:textId="77777777" w:rsidR="006F158C" w:rsidRDefault="006F158C" w:rsidP="006F158C">
      <w:pPr>
        <w:keepNext/>
        <w:spacing w:after="0" w:line="240" w:lineRule="auto"/>
        <w:rPr>
          <w:rFonts w:ascii="Times New Roman" w:hAnsi="Times New Roman" w:cs="Times New Roman"/>
          <w:highlight w:val="lightGray"/>
          <w:rPrChange w:id="20" w:author="Author">
            <w:rPr>
              <w:rFonts w:ascii="Times New Roman" w:hAnsi="Times New Roman" w:cs="Times New Roman"/>
            </w:rPr>
          </w:rPrChange>
        </w:rPr>
      </w:pPr>
      <w:r>
        <w:rPr>
          <w:rFonts w:ascii="Times New Roman" w:hAnsi="Times New Roman" w:cs="Times New Roman"/>
          <w:highlight w:val="lightGray"/>
          <w:rPrChange w:id="21" w:author="Author">
            <w:rPr>
              <w:rFonts w:ascii="Times New Roman" w:hAnsi="Times New Roman" w:cs="Times New Roman"/>
            </w:rPr>
          </w:rPrChange>
        </w:rPr>
        <w:t>Co. Dublin,</w:t>
      </w:r>
    </w:p>
    <w:p w14:paraId="48DB5217" w14:textId="0BD4EC39" w:rsidR="00E2353A" w:rsidRPr="009737B5" w:rsidRDefault="006F158C" w:rsidP="005F4D08">
      <w:pPr>
        <w:suppressAutoHyphens/>
        <w:spacing w:after="0" w:line="240" w:lineRule="auto"/>
        <w:rPr>
          <w:rFonts w:ascii="Times New Roman" w:hAnsi="Times New Roman" w:cs="Times New Roman"/>
          <w:lang w:val="de-DE"/>
        </w:rPr>
      </w:pPr>
      <w:r>
        <w:rPr>
          <w:rFonts w:ascii="Times New Roman" w:eastAsia="Times New Roman" w:hAnsi="Times New Roman" w:cs="Times New Roman"/>
          <w:color w:val="000000"/>
          <w:highlight w:val="lightGray"/>
          <w:lang w:val="de-DE"/>
          <w:rPrChange w:id="22" w:author="Author">
            <w:rPr>
              <w:rFonts w:ascii="Times New Roman" w:eastAsia="Times New Roman" w:hAnsi="Times New Roman" w:cs="Times New Roman"/>
              <w:color w:val="000000"/>
              <w:lang w:val="de-DE"/>
            </w:rPr>
          </w:rPrChange>
        </w:rPr>
        <w:t>Irland</w:t>
      </w:r>
    </w:p>
    <w:p w14:paraId="7C894CE1" w14:textId="77777777" w:rsidR="00BE31F9" w:rsidRDefault="00BE31F9" w:rsidP="005F4D08">
      <w:pPr>
        <w:suppressAutoHyphens/>
        <w:spacing w:after="0" w:line="240" w:lineRule="auto"/>
        <w:rPr>
          <w:rFonts w:ascii="Times New Roman" w:hAnsi="Times New Roman" w:cs="Times New Roman"/>
          <w:b/>
          <w:highlight w:val="lightGray"/>
          <w:lang w:val="de-DE"/>
        </w:rPr>
      </w:pPr>
    </w:p>
    <w:p w14:paraId="20E919DE" w14:textId="5560C598" w:rsidR="002833B7" w:rsidRDefault="002833B7" w:rsidP="005F4D08">
      <w:pPr>
        <w:suppressAutoHyphens/>
        <w:spacing w:after="0" w:line="240" w:lineRule="auto"/>
        <w:rPr>
          <w:rFonts w:ascii="Times New Roman" w:hAnsi="Times New Roman" w:cs="Times New Roman"/>
          <w:b/>
          <w:lang w:val="de-DE"/>
          <w:rPrChange w:id="23" w:author="Author">
            <w:rPr>
              <w:rFonts w:ascii="Times New Roman" w:hAnsi="Times New Roman" w:cs="Times New Roman"/>
              <w:b/>
              <w:highlight w:val="lightGray"/>
              <w:lang w:val="de-DE"/>
            </w:rPr>
          </w:rPrChange>
        </w:rPr>
      </w:pPr>
      <w:r>
        <w:rPr>
          <w:rFonts w:ascii="Times New Roman" w:hAnsi="Times New Roman" w:cs="Times New Roman"/>
          <w:b/>
          <w:lang w:val="de-DE"/>
          <w:rPrChange w:id="24" w:author="Author">
            <w:rPr>
              <w:rFonts w:ascii="Times New Roman" w:hAnsi="Times New Roman" w:cs="Times New Roman"/>
              <w:b/>
              <w:highlight w:val="lightGray"/>
              <w:lang w:val="de-DE"/>
            </w:rPr>
          </w:rPrChange>
        </w:rPr>
        <w:t>Pharmazeutischer Unternehmer</w:t>
      </w:r>
    </w:p>
    <w:p w14:paraId="1792CB78" w14:textId="77777777" w:rsidR="00807C5D" w:rsidRDefault="00807C5D" w:rsidP="00807C5D">
      <w:pPr>
        <w:keepNext/>
        <w:spacing w:after="0" w:line="240" w:lineRule="auto"/>
        <w:rPr>
          <w:rFonts w:ascii="Times New Roman" w:hAnsi="Times New Roman" w:cs="Times New Roman"/>
          <w:lang w:val="de-DE"/>
          <w:rPrChange w:id="25" w:author="Author">
            <w:rPr>
              <w:rFonts w:ascii="Times New Roman" w:hAnsi="Times New Roman" w:cs="Times New Roman"/>
              <w:highlight w:val="lightGray"/>
              <w:lang w:val="de-DE"/>
            </w:rPr>
          </w:rPrChange>
        </w:rPr>
      </w:pPr>
      <w:r>
        <w:rPr>
          <w:rFonts w:ascii="Times New Roman" w:hAnsi="Times New Roman" w:cs="Times New Roman"/>
          <w:lang w:val="de-DE"/>
          <w:rPrChange w:id="26" w:author="Author">
            <w:rPr>
              <w:rFonts w:ascii="Times New Roman" w:hAnsi="Times New Roman" w:cs="Times New Roman"/>
              <w:highlight w:val="lightGray"/>
              <w:lang w:val="de-DE"/>
            </w:rPr>
          </w:rPrChange>
        </w:rPr>
        <w:t>Amgen Technology (Ireland) UC,</w:t>
      </w:r>
    </w:p>
    <w:p w14:paraId="7594891E" w14:textId="77777777" w:rsidR="00807C5D" w:rsidRDefault="00807C5D" w:rsidP="00807C5D">
      <w:pPr>
        <w:keepNext/>
        <w:spacing w:after="0" w:line="240" w:lineRule="auto"/>
        <w:rPr>
          <w:rFonts w:ascii="Times New Roman" w:hAnsi="Times New Roman" w:cs="Times New Roman"/>
          <w:rPrChange w:id="27" w:author="Author">
            <w:rPr>
              <w:rFonts w:ascii="Times New Roman" w:hAnsi="Times New Roman" w:cs="Times New Roman"/>
              <w:highlight w:val="lightGray"/>
            </w:rPr>
          </w:rPrChange>
        </w:rPr>
      </w:pPr>
      <w:r>
        <w:rPr>
          <w:rFonts w:ascii="Times New Roman" w:hAnsi="Times New Roman" w:cs="Times New Roman"/>
          <w:rPrChange w:id="28" w:author="Author">
            <w:rPr>
              <w:rFonts w:ascii="Times New Roman" w:hAnsi="Times New Roman" w:cs="Times New Roman"/>
              <w:highlight w:val="lightGray"/>
            </w:rPr>
          </w:rPrChange>
        </w:rPr>
        <w:t>Pottery Road,</w:t>
      </w:r>
    </w:p>
    <w:p w14:paraId="5E5D2B86" w14:textId="77777777" w:rsidR="00807C5D" w:rsidRDefault="00807C5D" w:rsidP="00807C5D">
      <w:pPr>
        <w:keepNext/>
        <w:spacing w:after="0" w:line="240" w:lineRule="auto"/>
        <w:rPr>
          <w:rFonts w:ascii="Times New Roman" w:hAnsi="Times New Roman" w:cs="Times New Roman"/>
          <w:rPrChange w:id="29" w:author="Author">
            <w:rPr>
              <w:rFonts w:ascii="Times New Roman" w:hAnsi="Times New Roman" w:cs="Times New Roman"/>
              <w:highlight w:val="lightGray"/>
            </w:rPr>
          </w:rPrChange>
        </w:rPr>
      </w:pPr>
      <w:r>
        <w:rPr>
          <w:rFonts w:ascii="Times New Roman" w:hAnsi="Times New Roman" w:cs="Times New Roman"/>
          <w:rPrChange w:id="30" w:author="Author">
            <w:rPr>
              <w:rFonts w:ascii="Times New Roman" w:hAnsi="Times New Roman" w:cs="Times New Roman"/>
              <w:highlight w:val="lightGray"/>
            </w:rPr>
          </w:rPrChange>
        </w:rPr>
        <w:t>Dun Laoghaire,</w:t>
      </w:r>
    </w:p>
    <w:p w14:paraId="375B959D" w14:textId="77777777" w:rsidR="00807C5D" w:rsidRDefault="00807C5D" w:rsidP="00807C5D">
      <w:pPr>
        <w:keepNext/>
        <w:spacing w:after="0" w:line="240" w:lineRule="auto"/>
        <w:rPr>
          <w:rFonts w:ascii="Times New Roman" w:hAnsi="Times New Roman" w:cs="Times New Roman"/>
          <w:rPrChange w:id="31" w:author="Author">
            <w:rPr>
              <w:rFonts w:ascii="Times New Roman" w:hAnsi="Times New Roman" w:cs="Times New Roman"/>
              <w:highlight w:val="lightGray"/>
            </w:rPr>
          </w:rPrChange>
        </w:rPr>
      </w:pPr>
      <w:r>
        <w:rPr>
          <w:rFonts w:ascii="Times New Roman" w:hAnsi="Times New Roman" w:cs="Times New Roman"/>
          <w:rPrChange w:id="32" w:author="Author">
            <w:rPr>
              <w:rFonts w:ascii="Times New Roman" w:hAnsi="Times New Roman" w:cs="Times New Roman"/>
              <w:highlight w:val="lightGray"/>
            </w:rPr>
          </w:rPrChange>
        </w:rPr>
        <w:t>Co. Dublin,</w:t>
      </w:r>
    </w:p>
    <w:p w14:paraId="3657BD19" w14:textId="77777777" w:rsidR="00807C5D" w:rsidRDefault="00807C5D" w:rsidP="00807C5D">
      <w:pPr>
        <w:suppressAutoHyphens/>
        <w:spacing w:after="0" w:line="240" w:lineRule="auto"/>
        <w:rPr>
          <w:ins w:id="33" w:author="Author"/>
          <w:rFonts w:ascii="Times New Roman" w:eastAsia="Times New Roman" w:hAnsi="Times New Roman" w:cs="Times New Roman"/>
          <w:color w:val="000000"/>
          <w:lang w:val="de-DE"/>
        </w:rPr>
      </w:pPr>
      <w:r>
        <w:rPr>
          <w:rFonts w:ascii="Times New Roman" w:eastAsia="Times New Roman" w:hAnsi="Times New Roman" w:cs="Times New Roman"/>
          <w:color w:val="000000"/>
          <w:lang w:val="de-DE"/>
          <w:rPrChange w:id="34" w:author="Author">
            <w:rPr>
              <w:rFonts w:ascii="Times New Roman" w:eastAsia="Times New Roman" w:hAnsi="Times New Roman" w:cs="Times New Roman"/>
              <w:color w:val="000000"/>
              <w:highlight w:val="lightGray"/>
              <w:lang w:val="de-DE"/>
            </w:rPr>
          </w:rPrChange>
        </w:rPr>
        <w:t>Irland</w:t>
      </w:r>
    </w:p>
    <w:p w14:paraId="24CD5DAC" w14:textId="77777777" w:rsidR="00926054" w:rsidRDefault="00926054" w:rsidP="00807C5D">
      <w:pPr>
        <w:suppressAutoHyphens/>
        <w:spacing w:after="0" w:line="240" w:lineRule="auto"/>
        <w:rPr>
          <w:ins w:id="35" w:author="Author"/>
          <w:rFonts w:ascii="Times New Roman" w:eastAsia="Times New Roman" w:hAnsi="Times New Roman" w:cs="Times New Roman"/>
          <w:color w:val="000000"/>
          <w:lang w:val="de-DE"/>
        </w:rPr>
      </w:pPr>
    </w:p>
    <w:p w14:paraId="237F03BE" w14:textId="77777777" w:rsidR="00926054" w:rsidRPr="000D2587" w:rsidRDefault="00926054" w:rsidP="00926054">
      <w:pPr>
        <w:kinsoku w:val="0"/>
        <w:overflowPunct w:val="0"/>
        <w:autoSpaceDE w:val="0"/>
        <w:autoSpaceDN w:val="0"/>
        <w:adjustRightInd w:val="0"/>
        <w:spacing w:after="0" w:line="240" w:lineRule="auto"/>
        <w:rPr>
          <w:ins w:id="36" w:author="Author"/>
          <w:rFonts w:ascii="Times New Roman" w:eastAsia="PMingLiU" w:hAnsi="Times New Roman" w:cs="Times New Roman"/>
          <w:lang w:val="de-DE" w:eastAsia="en-IN"/>
        </w:rPr>
      </w:pPr>
      <w:ins w:id="37" w:author="Author">
        <w:r w:rsidRPr="000D2587">
          <w:rPr>
            <w:rFonts w:ascii="Times New Roman" w:eastAsia="PMingLiU" w:hAnsi="Times New Roman" w:cs="Times New Roman"/>
            <w:b/>
            <w:bCs/>
            <w:lang w:val="de-DE" w:eastAsia="en-IN"/>
          </w:rPr>
          <w:t>Hersteller</w:t>
        </w:r>
      </w:ins>
    </w:p>
    <w:p w14:paraId="5D4D381E" w14:textId="6EE1F1C2" w:rsidR="00926054" w:rsidRPr="000D2587" w:rsidRDefault="00926054" w:rsidP="00926054">
      <w:pPr>
        <w:suppressAutoHyphens/>
        <w:spacing w:after="0" w:line="240" w:lineRule="auto"/>
        <w:rPr>
          <w:ins w:id="38" w:author="Author"/>
          <w:rFonts w:ascii="Times New Roman" w:eastAsia="Times New Roman" w:hAnsi="Times New Roman" w:cs="Times New Roman"/>
          <w:color w:val="000000"/>
          <w:lang w:val="de-DE"/>
        </w:rPr>
      </w:pPr>
      <w:ins w:id="39" w:author="Author">
        <w:r w:rsidRPr="000D2587">
          <w:rPr>
            <w:rFonts w:ascii="Times New Roman" w:eastAsia="Times New Roman" w:hAnsi="Times New Roman" w:cs="Times New Roman"/>
            <w:color w:val="000000"/>
            <w:lang w:val="de-DE"/>
          </w:rPr>
          <w:t xml:space="preserve">Amgen Europe B.V. </w:t>
        </w:r>
      </w:ins>
    </w:p>
    <w:p w14:paraId="766EBA53" w14:textId="77777777" w:rsidR="00926054" w:rsidRPr="000D2587" w:rsidRDefault="00926054" w:rsidP="00926054">
      <w:pPr>
        <w:suppressAutoHyphens/>
        <w:spacing w:after="0" w:line="240" w:lineRule="auto"/>
        <w:rPr>
          <w:ins w:id="40" w:author="Author"/>
          <w:rFonts w:ascii="Times New Roman" w:eastAsia="Times New Roman" w:hAnsi="Times New Roman" w:cs="Times New Roman"/>
          <w:color w:val="000000"/>
          <w:lang w:val="de-DE"/>
        </w:rPr>
      </w:pPr>
      <w:ins w:id="41" w:author="Author">
        <w:r w:rsidRPr="000D2587">
          <w:rPr>
            <w:rFonts w:ascii="Times New Roman" w:eastAsia="Times New Roman" w:hAnsi="Times New Roman" w:cs="Times New Roman"/>
            <w:color w:val="000000"/>
            <w:lang w:val="de-DE"/>
          </w:rPr>
          <w:t xml:space="preserve">Minervum 7061 </w:t>
        </w:r>
      </w:ins>
    </w:p>
    <w:p w14:paraId="10EF03C8" w14:textId="77777777" w:rsidR="00926054" w:rsidRPr="000D2587" w:rsidRDefault="00926054" w:rsidP="00926054">
      <w:pPr>
        <w:suppressAutoHyphens/>
        <w:spacing w:after="0" w:line="240" w:lineRule="auto"/>
        <w:rPr>
          <w:ins w:id="42" w:author="Author"/>
          <w:rFonts w:ascii="Times New Roman" w:eastAsia="Times New Roman" w:hAnsi="Times New Roman" w:cs="Times New Roman"/>
          <w:color w:val="000000"/>
          <w:lang w:val="de-DE"/>
        </w:rPr>
      </w:pPr>
      <w:ins w:id="43" w:author="Author">
        <w:r w:rsidRPr="000D2587">
          <w:rPr>
            <w:rFonts w:ascii="Times New Roman" w:eastAsia="Times New Roman" w:hAnsi="Times New Roman" w:cs="Times New Roman"/>
            <w:color w:val="000000"/>
            <w:lang w:val="de-DE"/>
          </w:rPr>
          <w:t xml:space="preserve">4817 ZK Breda </w:t>
        </w:r>
      </w:ins>
    </w:p>
    <w:p w14:paraId="30E939DC" w14:textId="3C70CC6C" w:rsidR="00926054" w:rsidRDefault="00926054" w:rsidP="00926054">
      <w:pPr>
        <w:suppressAutoHyphens/>
        <w:spacing w:after="0" w:line="240" w:lineRule="auto"/>
        <w:rPr>
          <w:rFonts w:ascii="Times New Roman" w:eastAsia="Times New Roman" w:hAnsi="Times New Roman" w:cs="Times New Roman"/>
          <w:color w:val="000000"/>
          <w:lang w:val="de-DE"/>
        </w:rPr>
      </w:pPr>
      <w:ins w:id="44" w:author="Author">
        <w:r w:rsidRPr="000D2587">
          <w:rPr>
            <w:rFonts w:ascii="Times New Roman" w:eastAsia="Times New Roman" w:hAnsi="Times New Roman" w:cs="Times New Roman"/>
            <w:color w:val="000000"/>
            <w:lang w:val="de-DE"/>
          </w:rPr>
          <w:t>Niederlande</w:t>
        </w:r>
      </w:ins>
    </w:p>
    <w:p w14:paraId="250107B6" w14:textId="77777777" w:rsidR="002833B7" w:rsidRDefault="002833B7" w:rsidP="002833B7">
      <w:pPr>
        <w:suppressAutoHyphens/>
        <w:spacing w:after="0" w:line="240" w:lineRule="auto"/>
        <w:rPr>
          <w:rFonts w:ascii="Times New Roman" w:hAnsi="Times New Roman" w:cs="Times New Roman"/>
          <w:highlight w:val="lightGray"/>
          <w:lang w:val="de-DE"/>
        </w:rPr>
      </w:pPr>
    </w:p>
    <w:p w14:paraId="240C9EC1" w14:textId="6DD7AAAC" w:rsidR="009E1E7F" w:rsidRDefault="009E1E7F" w:rsidP="009E1E7F">
      <w:pPr>
        <w:kinsoku w:val="0"/>
        <w:overflowPunct w:val="0"/>
        <w:autoSpaceDE w:val="0"/>
        <w:autoSpaceDN w:val="0"/>
        <w:adjustRightInd w:val="0"/>
        <w:spacing w:after="0" w:line="240" w:lineRule="auto"/>
        <w:rPr>
          <w:rFonts w:ascii="Times New Roman" w:eastAsia="PMingLiU" w:hAnsi="Times New Roman" w:cs="Times New Roman"/>
          <w:highlight w:val="lightGray"/>
          <w:lang w:val="de-DE" w:eastAsia="en-IN"/>
        </w:rPr>
      </w:pPr>
      <w:r>
        <w:rPr>
          <w:rFonts w:ascii="Times New Roman" w:eastAsia="PMingLiU" w:hAnsi="Times New Roman" w:cs="Times New Roman"/>
          <w:b/>
          <w:bCs/>
          <w:highlight w:val="lightGray"/>
          <w:lang w:val="de-DE" w:eastAsia="en-IN"/>
        </w:rPr>
        <w:t>Hersteller</w:t>
      </w:r>
    </w:p>
    <w:p w14:paraId="1333292F" w14:textId="77777777" w:rsidR="009E1E7F" w:rsidRDefault="009E1E7F" w:rsidP="009E1E7F">
      <w:pPr>
        <w:widowControl w:val="0"/>
        <w:autoSpaceDE w:val="0"/>
        <w:autoSpaceDN w:val="0"/>
        <w:adjustRightInd w:val="0"/>
        <w:spacing w:after="0" w:line="240" w:lineRule="auto"/>
        <w:rPr>
          <w:rFonts w:ascii="Times New Roman" w:eastAsia="PMingLiU" w:hAnsi="Times New Roman" w:cs="Times New Roman"/>
          <w:highlight w:val="lightGray"/>
          <w:lang w:val="nl-BE" w:eastAsia="ja-JP"/>
        </w:rPr>
      </w:pPr>
      <w:r>
        <w:rPr>
          <w:rFonts w:ascii="Times New Roman" w:eastAsia="PMingLiU" w:hAnsi="Times New Roman" w:cs="Times New Roman"/>
          <w:highlight w:val="lightGray"/>
          <w:lang w:val="nl-BE" w:eastAsia="ja-JP"/>
        </w:rPr>
        <w:t>Amgen NV</w:t>
      </w:r>
    </w:p>
    <w:p w14:paraId="5B00607B" w14:textId="77777777" w:rsidR="00273AAF" w:rsidRDefault="00273AAF" w:rsidP="00273AAF">
      <w:pPr>
        <w:kinsoku w:val="0"/>
        <w:overflowPunct w:val="0"/>
        <w:autoSpaceDE w:val="0"/>
        <w:autoSpaceDN w:val="0"/>
        <w:adjustRightInd w:val="0"/>
        <w:spacing w:after="0" w:line="240" w:lineRule="auto"/>
        <w:rPr>
          <w:rFonts w:ascii="Times New Roman" w:eastAsia="PMingLiU" w:hAnsi="Times New Roman" w:cs="Times New Roman"/>
          <w:highlight w:val="lightGray"/>
          <w:lang w:val="de-DE" w:eastAsia="en-IN"/>
        </w:rPr>
      </w:pPr>
      <w:r>
        <w:rPr>
          <w:rFonts w:ascii="Times New Roman" w:eastAsia="PMingLiU" w:hAnsi="Times New Roman" w:cs="Times New Roman"/>
          <w:highlight w:val="lightGray"/>
          <w:lang w:val="de-DE" w:eastAsia="en-IN"/>
        </w:rPr>
        <w:t>Telecomlaan 5-7</w:t>
      </w:r>
    </w:p>
    <w:p w14:paraId="38824213" w14:textId="77777777" w:rsidR="00273AAF" w:rsidRDefault="00273AAF" w:rsidP="00273AAF">
      <w:pPr>
        <w:kinsoku w:val="0"/>
        <w:overflowPunct w:val="0"/>
        <w:autoSpaceDE w:val="0"/>
        <w:autoSpaceDN w:val="0"/>
        <w:adjustRightInd w:val="0"/>
        <w:spacing w:after="0" w:line="240" w:lineRule="auto"/>
        <w:rPr>
          <w:rFonts w:ascii="Times New Roman" w:eastAsia="PMingLiU" w:hAnsi="Times New Roman" w:cs="Times New Roman"/>
          <w:highlight w:val="lightGray"/>
          <w:lang w:val="nl-NL" w:eastAsia="en-IN"/>
        </w:rPr>
      </w:pPr>
      <w:r>
        <w:rPr>
          <w:rFonts w:ascii="Times New Roman" w:eastAsia="PMingLiU" w:hAnsi="Times New Roman" w:cs="Times New Roman"/>
          <w:highlight w:val="lightGray"/>
          <w:lang w:val="de-DE" w:eastAsia="en-IN"/>
        </w:rPr>
        <w:t>1831 Diegem</w:t>
      </w:r>
    </w:p>
    <w:p w14:paraId="60981FDD" w14:textId="77777777" w:rsidR="009E1E7F" w:rsidRPr="009E1E7F" w:rsidRDefault="009E1E7F" w:rsidP="009E1E7F">
      <w:pPr>
        <w:kinsoku w:val="0"/>
        <w:overflowPunct w:val="0"/>
        <w:autoSpaceDE w:val="0"/>
        <w:autoSpaceDN w:val="0"/>
        <w:adjustRightInd w:val="0"/>
        <w:spacing w:after="0" w:line="240" w:lineRule="auto"/>
        <w:rPr>
          <w:rFonts w:ascii="Times New Roman" w:eastAsia="PMingLiU" w:hAnsi="Times New Roman" w:cs="Times New Roman"/>
          <w:spacing w:val="-1"/>
          <w:lang w:val="de-DE" w:eastAsia="en-IN"/>
        </w:rPr>
      </w:pPr>
      <w:r>
        <w:rPr>
          <w:rFonts w:ascii="Times New Roman" w:eastAsia="PMingLiU" w:hAnsi="Times New Roman" w:cs="Times New Roman"/>
          <w:highlight w:val="lightGray"/>
          <w:lang w:val="de-DE" w:eastAsia="en-IN"/>
        </w:rPr>
        <w:t>Belgien</w:t>
      </w:r>
      <w:r w:rsidRPr="009E1E7F">
        <w:rPr>
          <w:rFonts w:ascii="Times New Roman" w:eastAsia="PMingLiU" w:hAnsi="Times New Roman" w:cs="Times New Roman"/>
          <w:spacing w:val="-1"/>
          <w:lang w:val="de-DE" w:eastAsia="en-IN"/>
        </w:rPr>
        <w:t xml:space="preserve"> </w:t>
      </w:r>
    </w:p>
    <w:p w14:paraId="48A5E8A7" w14:textId="77777777" w:rsidR="00E2353A" w:rsidRPr="009737B5" w:rsidRDefault="00E2353A" w:rsidP="005F4D08">
      <w:pPr>
        <w:suppressAutoHyphens/>
        <w:spacing w:after="0" w:line="240" w:lineRule="auto"/>
        <w:rPr>
          <w:rFonts w:ascii="Times New Roman" w:hAnsi="Times New Roman" w:cs="Times New Roman"/>
          <w:lang w:val="de-DE"/>
        </w:rPr>
      </w:pPr>
    </w:p>
    <w:p w14:paraId="1FDB3A31" w14:textId="77777777" w:rsidR="00E2353A" w:rsidRPr="009737B5" w:rsidRDefault="00E2353A" w:rsidP="00146950">
      <w:pPr>
        <w:keepNext/>
        <w:keepLines/>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Falls Sie weitere Informationen über das Arzneimittel wünschen, setzen Sie sich bitte mit dem örtlichen Vertreter des pharmazeutis</w:t>
      </w:r>
      <w:r w:rsidR="0089598C" w:rsidRPr="009737B5">
        <w:rPr>
          <w:rFonts w:ascii="Times New Roman" w:hAnsi="Times New Roman" w:cs="Times New Roman"/>
          <w:lang w:val="de-DE"/>
        </w:rPr>
        <w:t>chen Unternehmers in Verbindung:</w:t>
      </w:r>
    </w:p>
    <w:p w14:paraId="38543661" w14:textId="77777777" w:rsidR="00E2353A" w:rsidRPr="009737B5" w:rsidRDefault="00E2353A" w:rsidP="005F4D08">
      <w:pPr>
        <w:suppressAutoHyphens/>
        <w:spacing w:after="0" w:line="240" w:lineRule="auto"/>
        <w:rPr>
          <w:rFonts w:ascii="Times New Roman" w:hAnsi="Times New Roman" w:cs="Times New Roman"/>
          <w:lang w:val="de-DE"/>
        </w:rPr>
      </w:pPr>
    </w:p>
    <w:tbl>
      <w:tblPr>
        <w:tblW w:w="9326" w:type="dxa"/>
        <w:tblLayout w:type="fixed"/>
        <w:tblLook w:val="04A0" w:firstRow="1" w:lastRow="0" w:firstColumn="1" w:lastColumn="0" w:noHBand="0" w:noVBand="1"/>
      </w:tblPr>
      <w:tblGrid>
        <w:gridCol w:w="4646"/>
        <w:gridCol w:w="4680"/>
      </w:tblGrid>
      <w:tr w:rsidR="002833B7" w:rsidRPr="00402720" w14:paraId="02832C80" w14:textId="77777777" w:rsidTr="000B6CC4">
        <w:trPr>
          <w:cantSplit/>
        </w:trPr>
        <w:tc>
          <w:tcPr>
            <w:tcW w:w="4646" w:type="dxa"/>
          </w:tcPr>
          <w:p w14:paraId="11B6F325" w14:textId="77777777" w:rsidR="002833B7" w:rsidRPr="009737B5" w:rsidRDefault="002833B7">
            <w:pPr>
              <w:pStyle w:val="lbltxt"/>
              <w:rPr>
                <w:noProof w:val="0"/>
                <w:szCs w:val="22"/>
                <w:lang w:val="fr-FR"/>
              </w:rPr>
            </w:pPr>
            <w:r w:rsidRPr="009737B5">
              <w:rPr>
                <w:b/>
                <w:noProof w:val="0"/>
                <w:szCs w:val="22"/>
                <w:lang w:val="fr-FR"/>
              </w:rPr>
              <w:t>België/Belgique/Belgien</w:t>
            </w:r>
          </w:p>
          <w:p w14:paraId="329A85FE" w14:textId="77777777" w:rsidR="002833B7" w:rsidRPr="009737B5" w:rsidRDefault="002833B7">
            <w:pPr>
              <w:pStyle w:val="lbltxt"/>
              <w:rPr>
                <w:noProof w:val="0"/>
                <w:szCs w:val="22"/>
                <w:lang w:val="fr-FR"/>
              </w:rPr>
            </w:pPr>
            <w:r w:rsidRPr="009737B5">
              <w:rPr>
                <w:noProof w:val="0"/>
                <w:szCs w:val="22"/>
                <w:lang w:val="fr-FR"/>
              </w:rPr>
              <w:t>s.a. Amgen n.v.</w:t>
            </w:r>
          </w:p>
          <w:p w14:paraId="6D1339E9" w14:textId="0499B567" w:rsidR="002833B7" w:rsidRPr="009737B5" w:rsidRDefault="00E75CC8">
            <w:pPr>
              <w:pStyle w:val="lbltxt"/>
              <w:rPr>
                <w:noProof w:val="0"/>
                <w:szCs w:val="22"/>
              </w:rPr>
            </w:pPr>
            <w:r>
              <w:rPr>
                <w:noProof w:val="0"/>
                <w:szCs w:val="22"/>
              </w:rPr>
              <w:t>Tél/</w:t>
            </w:r>
            <w:r w:rsidR="002833B7" w:rsidRPr="009737B5">
              <w:rPr>
                <w:noProof w:val="0"/>
                <w:szCs w:val="22"/>
              </w:rPr>
              <w:t>Tel: +32 (0)2 7752711</w:t>
            </w:r>
          </w:p>
          <w:p w14:paraId="15A19B47" w14:textId="77777777" w:rsidR="002833B7" w:rsidRPr="009737B5" w:rsidRDefault="002833B7">
            <w:pPr>
              <w:pStyle w:val="lbltxt"/>
              <w:rPr>
                <w:noProof w:val="0"/>
                <w:szCs w:val="22"/>
              </w:rPr>
            </w:pPr>
          </w:p>
        </w:tc>
        <w:tc>
          <w:tcPr>
            <w:tcW w:w="4680" w:type="dxa"/>
            <w:hideMark/>
          </w:tcPr>
          <w:p w14:paraId="73CEC18A" w14:textId="77777777" w:rsidR="002833B7" w:rsidRPr="009737B5" w:rsidRDefault="002833B7">
            <w:pPr>
              <w:pStyle w:val="lbltxt"/>
              <w:rPr>
                <w:b/>
                <w:noProof w:val="0"/>
                <w:szCs w:val="22"/>
                <w:lang w:val="de-DE"/>
              </w:rPr>
            </w:pPr>
            <w:r w:rsidRPr="009737B5">
              <w:rPr>
                <w:b/>
                <w:noProof w:val="0"/>
                <w:szCs w:val="22"/>
                <w:lang w:val="de-DE"/>
              </w:rPr>
              <w:t>Lietuva</w:t>
            </w:r>
          </w:p>
          <w:p w14:paraId="5DE3C7AA" w14:textId="77777777" w:rsidR="002833B7" w:rsidRPr="009737B5" w:rsidRDefault="002833B7">
            <w:pPr>
              <w:pStyle w:val="lbltxt"/>
              <w:rPr>
                <w:bCs/>
                <w:noProof w:val="0"/>
                <w:szCs w:val="22"/>
                <w:lang w:val="de-DE"/>
              </w:rPr>
            </w:pPr>
            <w:r w:rsidRPr="009737B5">
              <w:rPr>
                <w:noProof w:val="0"/>
                <w:szCs w:val="22"/>
                <w:lang w:val="de-DE"/>
              </w:rPr>
              <w:t>Amgen Switzerland AG Vilniaus filialas</w:t>
            </w:r>
          </w:p>
          <w:p w14:paraId="066F9A68" w14:textId="17D0D666" w:rsidR="002833B7" w:rsidRPr="009737B5" w:rsidRDefault="002833B7">
            <w:pPr>
              <w:pStyle w:val="lbltxt"/>
              <w:rPr>
                <w:noProof w:val="0"/>
                <w:szCs w:val="22"/>
              </w:rPr>
            </w:pPr>
            <w:r w:rsidRPr="009737B5">
              <w:rPr>
                <w:bCs/>
                <w:noProof w:val="0"/>
                <w:szCs w:val="22"/>
              </w:rPr>
              <w:t>Tel: +</w:t>
            </w:r>
            <w:r w:rsidRPr="009737B5">
              <w:rPr>
                <w:noProof w:val="0"/>
                <w:szCs w:val="22"/>
              </w:rPr>
              <w:t xml:space="preserve">370 </w:t>
            </w:r>
            <w:r w:rsidRPr="009737B5">
              <w:rPr>
                <w:bCs/>
                <w:noProof w:val="0"/>
                <w:szCs w:val="22"/>
              </w:rPr>
              <w:t>5 219 7474</w:t>
            </w:r>
          </w:p>
        </w:tc>
      </w:tr>
      <w:tr w:rsidR="002833B7" w:rsidRPr="00402720" w14:paraId="7F8A49F7" w14:textId="77777777" w:rsidTr="000B6CC4">
        <w:trPr>
          <w:cantSplit/>
        </w:trPr>
        <w:tc>
          <w:tcPr>
            <w:tcW w:w="4646" w:type="dxa"/>
            <w:hideMark/>
          </w:tcPr>
          <w:p w14:paraId="7D4EDE1F" w14:textId="77777777" w:rsidR="002833B7" w:rsidRPr="00707280" w:rsidRDefault="002833B7" w:rsidP="000B6CC4">
            <w:pPr>
              <w:tabs>
                <w:tab w:val="left" w:pos="567"/>
              </w:tabs>
              <w:autoSpaceDE w:val="0"/>
              <w:autoSpaceDN w:val="0"/>
              <w:adjustRightInd w:val="0"/>
              <w:spacing w:after="0" w:line="260" w:lineRule="exact"/>
              <w:rPr>
                <w:rFonts w:ascii="Times New Roman" w:hAnsi="Times New Roman" w:cs="Times New Roman"/>
                <w:b/>
                <w:bCs/>
                <w:lang w:val="ru-RU"/>
              </w:rPr>
            </w:pPr>
            <w:r w:rsidRPr="00707280">
              <w:rPr>
                <w:rFonts w:ascii="Times New Roman" w:eastAsia="Times New Roman" w:hAnsi="Times New Roman" w:cs="Times New Roman"/>
                <w:b/>
                <w:bCs/>
                <w:lang w:val="ru-RU"/>
              </w:rPr>
              <w:t>България</w:t>
            </w:r>
          </w:p>
          <w:p w14:paraId="55AC513C" w14:textId="77777777" w:rsidR="002833B7" w:rsidRPr="00707280" w:rsidRDefault="002833B7">
            <w:pPr>
              <w:pStyle w:val="lbltxt"/>
              <w:rPr>
                <w:b/>
                <w:noProof w:val="0"/>
                <w:szCs w:val="22"/>
                <w:lang w:val="ru-RU" w:eastAsia="en-GB"/>
              </w:rPr>
            </w:pPr>
            <w:r w:rsidRPr="00707280">
              <w:rPr>
                <w:rStyle w:val="Strong"/>
                <w:b w:val="0"/>
                <w:noProof w:val="0"/>
                <w:szCs w:val="22"/>
                <w:lang w:val="ru-RU"/>
              </w:rPr>
              <w:t>Амджен България ЕООД</w:t>
            </w:r>
          </w:p>
          <w:p w14:paraId="4EB55306" w14:textId="77777777" w:rsidR="002833B7" w:rsidRPr="00707280" w:rsidRDefault="002833B7">
            <w:pPr>
              <w:pStyle w:val="lbltxt"/>
              <w:rPr>
                <w:bCs/>
                <w:noProof w:val="0"/>
                <w:szCs w:val="22"/>
                <w:lang w:val="ru-RU"/>
              </w:rPr>
            </w:pPr>
            <w:r w:rsidRPr="00707280">
              <w:rPr>
                <w:noProof w:val="0"/>
                <w:szCs w:val="22"/>
                <w:lang w:val="ru-RU" w:eastAsia="en-GB"/>
              </w:rPr>
              <w:t xml:space="preserve">Тел.: +359 </w:t>
            </w:r>
            <w:r w:rsidRPr="00707280">
              <w:rPr>
                <w:bCs/>
                <w:noProof w:val="0"/>
                <w:szCs w:val="22"/>
                <w:lang w:val="ru-RU"/>
              </w:rPr>
              <w:t>(0)2</w:t>
            </w:r>
            <w:r w:rsidRPr="009737B5">
              <w:rPr>
                <w:bCs/>
                <w:noProof w:val="0"/>
                <w:szCs w:val="22"/>
              </w:rPr>
              <w:t> </w:t>
            </w:r>
            <w:r w:rsidRPr="00707280">
              <w:rPr>
                <w:bCs/>
                <w:noProof w:val="0"/>
                <w:szCs w:val="22"/>
                <w:lang w:val="ru-RU"/>
              </w:rPr>
              <w:t>424 7440</w:t>
            </w:r>
          </w:p>
        </w:tc>
        <w:tc>
          <w:tcPr>
            <w:tcW w:w="4680" w:type="dxa"/>
          </w:tcPr>
          <w:p w14:paraId="1D3EDA0F" w14:textId="77777777" w:rsidR="002833B7" w:rsidRPr="009737B5" w:rsidRDefault="002833B7">
            <w:pPr>
              <w:pStyle w:val="lbltxt"/>
              <w:rPr>
                <w:noProof w:val="0"/>
                <w:szCs w:val="22"/>
                <w:lang w:val="de-DE"/>
              </w:rPr>
            </w:pPr>
            <w:r w:rsidRPr="009737B5">
              <w:rPr>
                <w:b/>
                <w:noProof w:val="0"/>
                <w:szCs w:val="22"/>
                <w:lang w:val="de-DE"/>
              </w:rPr>
              <w:t>Luxembourg/Luxemburg</w:t>
            </w:r>
          </w:p>
          <w:p w14:paraId="0F4032DD" w14:textId="77777777" w:rsidR="002833B7" w:rsidRPr="009737B5" w:rsidRDefault="002833B7">
            <w:pPr>
              <w:pStyle w:val="lbltxt"/>
              <w:rPr>
                <w:noProof w:val="0"/>
                <w:szCs w:val="22"/>
                <w:lang w:val="de-DE"/>
              </w:rPr>
            </w:pPr>
            <w:r w:rsidRPr="009737B5">
              <w:rPr>
                <w:noProof w:val="0"/>
                <w:szCs w:val="22"/>
                <w:lang w:val="de-DE"/>
              </w:rPr>
              <w:t xml:space="preserve">s.a. Amgen </w:t>
            </w:r>
          </w:p>
          <w:p w14:paraId="2CEC11B7" w14:textId="77777777" w:rsidR="002833B7" w:rsidRPr="009737B5" w:rsidRDefault="002833B7">
            <w:pPr>
              <w:pStyle w:val="lbltxt"/>
              <w:rPr>
                <w:noProof w:val="0"/>
                <w:szCs w:val="22"/>
                <w:lang w:val="de-DE"/>
              </w:rPr>
            </w:pPr>
            <w:r w:rsidRPr="009737B5">
              <w:rPr>
                <w:noProof w:val="0"/>
                <w:szCs w:val="22"/>
                <w:lang w:val="de-DE"/>
              </w:rPr>
              <w:t>Belgique/Belgien</w:t>
            </w:r>
          </w:p>
          <w:p w14:paraId="7770739E" w14:textId="41BDD529" w:rsidR="002833B7" w:rsidRPr="009737B5" w:rsidRDefault="00E75CC8">
            <w:pPr>
              <w:pStyle w:val="lbltxt"/>
              <w:rPr>
                <w:noProof w:val="0"/>
                <w:szCs w:val="22"/>
              </w:rPr>
            </w:pPr>
            <w:r>
              <w:rPr>
                <w:noProof w:val="0"/>
                <w:szCs w:val="22"/>
              </w:rPr>
              <w:t>Tél/</w:t>
            </w:r>
            <w:r w:rsidR="002833B7" w:rsidRPr="009737B5">
              <w:rPr>
                <w:noProof w:val="0"/>
                <w:szCs w:val="22"/>
              </w:rPr>
              <w:t>Tel: +32 (0)2 7752711</w:t>
            </w:r>
          </w:p>
          <w:p w14:paraId="301061F2" w14:textId="77777777" w:rsidR="002833B7" w:rsidRPr="009737B5" w:rsidRDefault="002833B7">
            <w:pPr>
              <w:pStyle w:val="lbltxt"/>
              <w:rPr>
                <w:bCs/>
                <w:noProof w:val="0"/>
                <w:szCs w:val="22"/>
              </w:rPr>
            </w:pPr>
          </w:p>
        </w:tc>
      </w:tr>
      <w:tr w:rsidR="002833B7" w:rsidRPr="00402720" w14:paraId="35813CA5" w14:textId="77777777" w:rsidTr="000B6CC4">
        <w:trPr>
          <w:cantSplit/>
          <w:trHeight w:val="969"/>
        </w:trPr>
        <w:tc>
          <w:tcPr>
            <w:tcW w:w="4646" w:type="dxa"/>
            <w:hideMark/>
          </w:tcPr>
          <w:p w14:paraId="77448CC0" w14:textId="77777777" w:rsidR="002833B7" w:rsidRPr="009737B5" w:rsidRDefault="002833B7">
            <w:pPr>
              <w:pStyle w:val="lbltxt"/>
              <w:rPr>
                <w:b/>
                <w:noProof w:val="0"/>
                <w:szCs w:val="22"/>
                <w:lang w:val="de-DE"/>
              </w:rPr>
            </w:pPr>
            <w:r w:rsidRPr="009737B5">
              <w:rPr>
                <w:b/>
                <w:noProof w:val="0"/>
                <w:szCs w:val="22"/>
                <w:lang w:val="de-DE"/>
              </w:rPr>
              <w:lastRenderedPageBreak/>
              <w:t>Česká republika</w:t>
            </w:r>
          </w:p>
          <w:p w14:paraId="1BD8A40E" w14:textId="77777777" w:rsidR="002833B7" w:rsidRPr="009737B5" w:rsidRDefault="002833B7">
            <w:pPr>
              <w:pStyle w:val="lbltxt"/>
              <w:rPr>
                <w:bCs/>
                <w:noProof w:val="0"/>
                <w:szCs w:val="22"/>
                <w:lang w:val="de-DE"/>
              </w:rPr>
            </w:pPr>
            <w:r w:rsidRPr="009737B5">
              <w:rPr>
                <w:bCs/>
                <w:noProof w:val="0"/>
                <w:szCs w:val="22"/>
                <w:lang w:val="de-DE"/>
              </w:rPr>
              <w:t>Amgen s.r.o.</w:t>
            </w:r>
          </w:p>
          <w:p w14:paraId="611A5BC4" w14:textId="77777777" w:rsidR="002833B7" w:rsidRPr="00E66954" w:rsidRDefault="002833B7">
            <w:pPr>
              <w:pStyle w:val="lbltxt"/>
              <w:rPr>
                <w:bCs/>
                <w:noProof w:val="0"/>
                <w:szCs w:val="22"/>
                <w:lang w:val="es-ES"/>
              </w:rPr>
            </w:pPr>
            <w:r w:rsidRPr="00E66954">
              <w:rPr>
                <w:bCs/>
                <w:noProof w:val="0"/>
                <w:szCs w:val="22"/>
                <w:lang w:val="es-ES"/>
              </w:rPr>
              <w:t>Tel: +420 221 773 500</w:t>
            </w:r>
          </w:p>
        </w:tc>
        <w:tc>
          <w:tcPr>
            <w:tcW w:w="4680" w:type="dxa"/>
            <w:hideMark/>
          </w:tcPr>
          <w:p w14:paraId="4B3F4E43" w14:textId="77777777" w:rsidR="002833B7" w:rsidRPr="009737B5" w:rsidRDefault="002833B7">
            <w:pPr>
              <w:pStyle w:val="lbltxt"/>
              <w:rPr>
                <w:b/>
                <w:noProof w:val="0"/>
                <w:szCs w:val="22"/>
              </w:rPr>
            </w:pPr>
            <w:r w:rsidRPr="009737B5">
              <w:rPr>
                <w:b/>
                <w:noProof w:val="0"/>
                <w:szCs w:val="22"/>
              </w:rPr>
              <w:t>Magyarország</w:t>
            </w:r>
          </w:p>
          <w:p w14:paraId="56AA34EF" w14:textId="77777777" w:rsidR="002833B7" w:rsidRPr="009737B5" w:rsidRDefault="002833B7">
            <w:pPr>
              <w:pStyle w:val="lbltxt"/>
              <w:rPr>
                <w:bCs/>
                <w:noProof w:val="0"/>
                <w:szCs w:val="22"/>
              </w:rPr>
            </w:pPr>
            <w:r w:rsidRPr="009737B5">
              <w:rPr>
                <w:bCs/>
                <w:noProof w:val="0"/>
                <w:szCs w:val="22"/>
              </w:rPr>
              <w:t>Amgen Kft.</w:t>
            </w:r>
          </w:p>
          <w:p w14:paraId="5ABD916F" w14:textId="77777777" w:rsidR="002833B7" w:rsidRPr="009737B5" w:rsidRDefault="002833B7">
            <w:pPr>
              <w:pStyle w:val="lbltxt"/>
              <w:rPr>
                <w:noProof w:val="0"/>
                <w:szCs w:val="22"/>
              </w:rPr>
            </w:pPr>
            <w:r w:rsidRPr="009737B5">
              <w:rPr>
                <w:bCs/>
                <w:noProof w:val="0"/>
                <w:szCs w:val="22"/>
              </w:rPr>
              <w:t>Tel.: +36 1 35 44 700</w:t>
            </w:r>
          </w:p>
        </w:tc>
      </w:tr>
      <w:tr w:rsidR="002833B7" w:rsidRPr="00402720" w14:paraId="3312C0DD" w14:textId="77777777" w:rsidTr="000B6CC4">
        <w:trPr>
          <w:cantSplit/>
        </w:trPr>
        <w:tc>
          <w:tcPr>
            <w:tcW w:w="4646" w:type="dxa"/>
          </w:tcPr>
          <w:p w14:paraId="3A00604E" w14:textId="77777777" w:rsidR="002833B7" w:rsidRPr="009737B5" w:rsidRDefault="002833B7">
            <w:pPr>
              <w:pStyle w:val="lbltxt"/>
              <w:rPr>
                <w:noProof w:val="0"/>
                <w:szCs w:val="22"/>
                <w:lang w:val="de-DE"/>
              </w:rPr>
            </w:pPr>
            <w:r w:rsidRPr="009737B5">
              <w:rPr>
                <w:b/>
                <w:noProof w:val="0"/>
                <w:szCs w:val="22"/>
                <w:lang w:val="de-DE"/>
              </w:rPr>
              <w:t>Danmark</w:t>
            </w:r>
          </w:p>
          <w:p w14:paraId="3B7B6C6C" w14:textId="77777777" w:rsidR="002833B7" w:rsidRPr="009737B5" w:rsidRDefault="002833B7">
            <w:pPr>
              <w:pStyle w:val="lbltxt"/>
              <w:rPr>
                <w:noProof w:val="0"/>
                <w:szCs w:val="22"/>
                <w:lang w:val="de-DE"/>
              </w:rPr>
            </w:pPr>
            <w:r w:rsidRPr="009737B5">
              <w:rPr>
                <w:noProof w:val="0"/>
                <w:szCs w:val="22"/>
                <w:lang w:val="de-DE"/>
              </w:rPr>
              <w:t>Amgen, filial af Amgen AB, Sverige</w:t>
            </w:r>
          </w:p>
          <w:p w14:paraId="08FB4E25" w14:textId="77777777" w:rsidR="002833B7" w:rsidRPr="009737B5" w:rsidRDefault="002833B7">
            <w:pPr>
              <w:pStyle w:val="lbltxt"/>
              <w:rPr>
                <w:noProof w:val="0"/>
                <w:szCs w:val="22"/>
              </w:rPr>
            </w:pPr>
            <w:r w:rsidRPr="009737B5">
              <w:rPr>
                <w:noProof w:val="0"/>
                <w:szCs w:val="22"/>
              </w:rPr>
              <w:t>Tlf: +45 39617500</w:t>
            </w:r>
          </w:p>
          <w:p w14:paraId="2BF18BED" w14:textId="77777777" w:rsidR="002833B7" w:rsidRPr="009737B5" w:rsidRDefault="002833B7">
            <w:pPr>
              <w:pStyle w:val="lbltxt"/>
              <w:rPr>
                <w:noProof w:val="0"/>
                <w:szCs w:val="22"/>
              </w:rPr>
            </w:pPr>
          </w:p>
        </w:tc>
        <w:tc>
          <w:tcPr>
            <w:tcW w:w="4680" w:type="dxa"/>
          </w:tcPr>
          <w:p w14:paraId="6C91DC8F" w14:textId="77777777" w:rsidR="002833B7" w:rsidRPr="00BD272D" w:rsidRDefault="002833B7">
            <w:pPr>
              <w:pStyle w:val="lbltxt"/>
              <w:rPr>
                <w:b/>
                <w:noProof w:val="0"/>
                <w:szCs w:val="22"/>
                <w:lang w:val="es-ES"/>
              </w:rPr>
            </w:pPr>
            <w:r w:rsidRPr="00BD272D">
              <w:rPr>
                <w:b/>
                <w:noProof w:val="0"/>
                <w:szCs w:val="22"/>
                <w:lang w:val="es-ES"/>
              </w:rPr>
              <w:t>Malta</w:t>
            </w:r>
          </w:p>
          <w:p w14:paraId="0BE32E07" w14:textId="77777777" w:rsidR="001B2020" w:rsidRDefault="001B2020" w:rsidP="001B2020">
            <w:pPr>
              <w:pStyle w:val="lbltxt"/>
              <w:rPr>
                <w:noProof w:val="0"/>
                <w:szCs w:val="22"/>
                <w:lang w:val="de-DE"/>
              </w:rPr>
            </w:pPr>
            <w:r>
              <w:rPr>
                <w:noProof w:val="0"/>
                <w:szCs w:val="22"/>
                <w:lang w:val="de-DE"/>
              </w:rPr>
              <w:t>Amgen S.r.l.</w:t>
            </w:r>
          </w:p>
          <w:p w14:paraId="256987B4" w14:textId="77777777" w:rsidR="001B2020" w:rsidRDefault="001B2020" w:rsidP="001B2020">
            <w:pPr>
              <w:pStyle w:val="lbltxt"/>
              <w:rPr>
                <w:noProof w:val="0"/>
                <w:szCs w:val="22"/>
                <w:lang w:val="de-DE"/>
              </w:rPr>
            </w:pPr>
            <w:r>
              <w:rPr>
                <w:noProof w:val="0"/>
                <w:szCs w:val="22"/>
                <w:lang w:val="de-DE"/>
              </w:rPr>
              <w:t>Italy</w:t>
            </w:r>
          </w:p>
          <w:p w14:paraId="32F75B25" w14:textId="3A1C8E3D" w:rsidR="002833B7" w:rsidRPr="009737B5" w:rsidRDefault="001B2020">
            <w:pPr>
              <w:pStyle w:val="lbltxt"/>
              <w:rPr>
                <w:bCs/>
                <w:noProof w:val="0"/>
                <w:szCs w:val="22"/>
              </w:rPr>
            </w:pPr>
            <w:r>
              <w:t>Tel: +39 02 6241121</w:t>
            </w:r>
          </w:p>
          <w:p w14:paraId="567073AE" w14:textId="77777777" w:rsidR="002833B7" w:rsidRPr="009737B5" w:rsidRDefault="002833B7">
            <w:pPr>
              <w:pStyle w:val="lbltxt"/>
              <w:rPr>
                <w:b/>
                <w:noProof w:val="0"/>
                <w:szCs w:val="22"/>
              </w:rPr>
            </w:pPr>
          </w:p>
        </w:tc>
      </w:tr>
      <w:tr w:rsidR="002833B7" w:rsidRPr="00AA0497" w14:paraId="0EF5391E" w14:textId="77777777" w:rsidTr="000B6CC4">
        <w:trPr>
          <w:cantSplit/>
        </w:trPr>
        <w:tc>
          <w:tcPr>
            <w:tcW w:w="4646" w:type="dxa"/>
          </w:tcPr>
          <w:p w14:paraId="717DB247" w14:textId="77777777" w:rsidR="002833B7" w:rsidRPr="009737B5" w:rsidRDefault="002833B7">
            <w:pPr>
              <w:pStyle w:val="lbltxt"/>
              <w:rPr>
                <w:noProof w:val="0"/>
                <w:szCs w:val="22"/>
              </w:rPr>
            </w:pPr>
            <w:r w:rsidRPr="009737B5">
              <w:rPr>
                <w:b/>
                <w:noProof w:val="0"/>
                <w:szCs w:val="22"/>
              </w:rPr>
              <w:t>Deutschland</w:t>
            </w:r>
          </w:p>
          <w:p w14:paraId="7E2D3F61" w14:textId="2E0340AC" w:rsidR="002833B7" w:rsidRPr="009737B5" w:rsidRDefault="002833B7">
            <w:pPr>
              <w:pStyle w:val="lbltxt"/>
              <w:rPr>
                <w:noProof w:val="0"/>
                <w:szCs w:val="22"/>
              </w:rPr>
            </w:pPr>
            <w:r w:rsidRPr="009737B5">
              <w:rPr>
                <w:noProof w:val="0"/>
                <w:szCs w:val="22"/>
              </w:rPr>
              <w:t>A</w:t>
            </w:r>
            <w:r w:rsidR="00BC44E1">
              <w:rPr>
                <w:noProof w:val="0"/>
                <w:szCs w:val="22"/>
              </w:rPr>
              <w:t>mgen</w:t>
            </w:r>
            <w:r w:rsidRPr="009737B5">
              <w:rPr>
                <w:noProof w:val="0"/>
                <w:szCs w:val="22"/>
              </w:rPr>
              <w:t xml:space="preserve"> GmbH</w:t>
            </w:r>
          </w:p>
          <w:p w14:paraId="28E57A87" w14:textId="77777777" w:rsidR="002833B7" w:rsidRPr="009737B5" w:rsidRDefault="002833B7">
            <w:pPr>
              <w:pStyle w:val="lbltxt"/>
              <w:rPr>
                <w:noProof w:val="0"/>
                <w:szCs w:val="22"/>
              </w:rPr>
            </w:pPr>
            <w:r w:rsidRPr="009737B5">
              <w:rPr>
                <w:noProof w:val="0"/>
                <w:szCs w:val="22"/>
              </w:rPr>
              <w:t>Tel.: +49 89 1490960</w:t>
            </w:r>
          </w:p>
          <w:p w14:paraId="069A647D" w14:textId="77777777" w:rsidR="002833B7" w:rsidRPr="009737B5" w:rsidRDefault="002833B7">
            <w:pPr>
              <w:pStyle w:val="lbltxt"/>
              <w:rPr>
                <w:b/>
                <w:noProof w:val="0"/>
                <w:szCs w:val="22"/>
              </w:rPr>
            </w:pPr>
          </w:p>
        </w:tc>
        <w:tc>
          <w:tcPr>
            <w:tcW w:w="4680" w:type="dxa"/>
          </w:tcPr>
          <w:p w14:paraId="6C0DC1E9" w14:textId="77777777" w:rsidR="002833B7" w:rsidRPr="009737B5" w:rsidRDefault="002833B7">
            <w:pPr>
              <w:pStyle w:val="lbltxt"/>
              <w:rPr>
                <w:noProof w:val="0"/>
                <w:szCs w:val="22"/>
                <w:lang w:val="de-DE"/>
              </w:rPr>
            </w:pPr>
            <w:r w:rsidRPr="009737B5">
              <w:rPr>
                <w:b/>
                <w:noProof w:val="0"/>
                <w:szCs w:val="22"/>
                <w:lang w:val="de-DE"/>
              </w:rPr>
              <w:t>Nederland</w:t>
            </w:r>
          </w:p>
          <w:p w14:paraId="66D4F1D1" w14:textId="77777777" w:rsidR="002833B7" w:rsidRPr="009737B5" w:rsidRDefault="002833B7">
            <w:pPr>
              <w:pStyle w:val="lbltxt"/>
              <w:rPr>
                <w:noProof w:val="0"/>
                <w:szCs w:val="22"/>
                <w:lang w:val="de-DE"/>
              </w:rPr>
            </w:pPr>
            <w:r w:rsidRPr="009737B5">
              <w:rPr>
                <w:noProof w:val="0"/>
                <w:szCs w:val="22"/>
                <w:lang w:val="de-DE"/>
              </w:rPr>
              <w:t>Amgen B.V.</w:t>
            </w:r>
          </w:p>
          <w:p w14:paraId="124DC79B" w14:textId="77777777" w:rsidR="002833B7" w:rsidRPr="009737B5" w:rsidRDefault="002833B7">
            <w:pPr>
              <w:pStyle w:val="lbltxt"/>
              <w:rPr>
                <w:bCs/>
                <w:noProof w:val="0"/>
                <w:szCs w:val="22"/>
                <w:lang w:val="de-DE"/>
              </w:rPr>
            </w:pPr>
            <w:r w:rsidRPr="009737B5">
              <w:rPr>
                <w:noProof w:val="0"/>
                <w:szCs w:val="22"/>
                <w:lang w:val="de-DE"/>
              </w:rPr>
              <w:t>Tel: +31 (0)76 5732500</w:t>
            </w:r>
          </w:p>
          <w:p w14:paraId="4CEF2F45" w14:textId="77777777" w:rsidR="002833B7" w:rsidRPr="009737B5" w:rsidRDefault="002833B7">
            <w:pPr>
              <w:pStyle w:val="lbltxt"/>
              <w:rPr>
                <w:noProof w:val="0"/>
                <w:szCs w:val="22"/>
                <w:lang w:val="de-DE"/>
              </w:rPr>
            </w:pPr>
          </w:p>
        </w:tc>
      </w:tr>
      <w:tr w:rsidR="002833B7" w:rsidRPr="00402720" w14:paraId="7DA9A33D" w14:textId="77777777" w:rsidTr="000B6CC4">
        <w:trPr>
          <w:cantSplit/>
        </w:trPr>
        <w:tc>
          <w:tcPr>
            <w:tcW w:w="4646" w:type="dxa"/>
            <w:hideMark/>
          </w:tcPr>
          <w:p w14:paraId="709CFF93" w14:textId="77777777" w:rsidR="002833B7" w:rsidRPr="009737B5" w:rsidRDefault="002833B7">
            <w:pPr>
              <w:pStyle w:val="lbltxt"/>
              <w:rPr>
                <w:b/>
                <w:noProof w:val="0"/>
                <w:szCs w:val="22"/>
                <w:lang w:val="de-DE"/>
              </w:rPr>
            </w:pPr>
            <w:r w:rsidRPr="009737B5">
              <w:rPr>
                <w:b/>
                <w:noProof w:val="0"/>
                <w:szCs w:val="22"/>
                <w:lang w:val="de-DE"/>
              </w:rPr>
              <w:t>Eesti</w:t>
            </w:r>
          </w:p>
          <w:p w14:paraId="520595C6" w14:textId="77777777" w:rsidR="002833B7" w:rsidRPr="009737B5" w:rsidRDefault="002833B7">
            <w:pPr>
              <w:pStyle w:val="lbltxt"/>
              <w:rPr>
                <w:bCs/>
                <w:noProof w:val="0"/>
                <w:szCs w:val="22"/>
                <w:lang w:val="de-DE"/>
              </w:rPr>
            </w:pPr>
            <w:r w:rsidRPr="009737B5">
              <w:rPr>
                <w:bCs/>
                <w:noProof w:val="0"/>
                <w:szCs w:val="22"/>
                <w:lang w:val="de-DE"/>
              </w:rPr>
              <w:t xml:space="preserve">Amgen Switzerland AG </w:t>
            </w:r>
            <w:r w:rsidRPr="009737B5">
              <w:rPr>
                <w:noProof w:val="0"/>
                <w:szCs w:val="22"/>
                <w:lang w:val="de-DE"/>
              </w:rPr>
              <w:t>Vilniaus filialas</w:t>
            </w:r>
          </w:p>
          <w:p w14:paraId="3B4FB202" w14:textId="77777777" w:rsidR="002833B7" w:rsidRPr="009737B5" w:rsidRDefault="002833B7">
            <w:pPr>
              <w:pStyle w:val="lbltxt"/>
              <w:rPr>
                <w:b/>
                <w:noProof w:val="0"/>
                <w:szCs w:val="22"/>
              </w:rPr>
            </w:pPr>
            <w:r w:rsidRPr="009737B5">
              <w:rPr>
                <w:bCs/>
                <w:noProof w:val="0"/>
                <w:szCs w:val="22"/>
              </w:rPr>
              <w:t>Tel: +</w:t>
            </w:r>
            <w:r w:rsidRPr="009737B5">
              <w:rPr>
                <w:noProof w:val="0"/>
                <w:szCs w:val="22"/>
              </w:rPr>
              <w:t xml:space="preserve">372 </w:t>
            </w:r>
            <w:r w:rsidRPr="009737B5">
              <w:rPr>
                <w:bCs/>
                <w:szCs w:val="22"/>
              </w:rPr>
              <w:t>586 09553</w:t>
            </w:r>
          </w:p>
        </w:tc>
        <w:tc>
          <w:tcPr>
            <w:tcW w:w="4680" w:type="dxa"/>
          </w:tcPr>
          <w:p w14:paraId="7B6CD1D6" w14:textId="77777777" w:rsidR="002833B7" w:rsidRPr="009737B5" w:rsidRDefault="002833B7">
            <w:pPr>
              <w:pStyle w:val="lbltxt"/>
              <w:rPr>
                <w:b/>
                <w:bCs/>
                <w:noProof w:val="0"/>
                <w:szCs w:val="22"/>
              </w:rPr>
            </w:pPr>
            <w:r w:rsidRPr="009737B5">
              <w:rPr>
                <w:b/>
                <w:bCs/>
                <w:noProof w:val="0"/>
                <w:szCs w:val="22"/>
              </w:rPr>
              <w:t>Norge</w:t>
            </w:r>
          </w:p>
          <w:p w14:paraId="18BAFA27" w14:textId="77777777" w:rsidR="002833B7" w:rsidRPr="009737B5" w:rsidRDefault="002833B7">
            <w:pPr>
              <w:pStyle w:val="lbltxt"/>
              <w:rPr>
                <w:rStyle w:val="CommentReference"/>
                <w:sz w:val="22"/>
                <w:szCs w:val="22"/>
              </w:rPr>
            </w:pPr>
            <w:r w:rsidRPr="009737B5">
              <w:rPr>
                <w:rStyle w:val="CommentReference"/>
                <w:sz w:val="22"/>
                <w:szCs w:val="22"/>
              </w:rPr>
              <w:t>Amgen AB</w:t>
            </w:r>
          </w:p>
          <w:p w14:paraId="581B63F0" w14:textId="2AA74B21" w:rsidR="002833B7" w:rsidRPr="009737B5" w:rsidRDefault="002833B7">
            <w:pPr>
              <w:pStyle w:val="lbltxt"/>
              <w:rPr>
                <w:noProof w:val="0"/>
                <w:szCs w:val="22"/>
              </w:rPr>
            </w:pPr>
            <w:r w:rsidRPr="009737B5">
              <w:rPr>
                <w:rStyle w:val="CommentReference"/>
                <w:sz w:val="22"/>
                <w:szCs w:val="22"/>
              </w:rPr>
              <w:t>Tl</w:t>
            </w:r>
            <w:r w:rsidR="00126266">
              <w:rPr>
                <w:rStyle w:val="CommentReference"/>
                <w:sz w:val="22"/>
                <w:szCs w:val="22"/>
              </w:rPr>
              <w:t>f</w:t>
            </w:r>
            <w:r w:rsidRPr="009737B5">
              <w:rPr>
                <w:rStyle w:val="CommentReference"/>
                <w:sz w:val="22"/>
                <w:szCs w:val="22"/>
              </w:rPr>
              <w:t>: +47 23308000</w:t>
            </w:r>
          </w:p>
          <w:p w14:paraId="2DD5C9C0" w14:textId="77777777" w:rsidR="002833B7" w:rsidRPr="009737B5" w:rsidRDefault="002833B7">
            <w:pPr>
              <w:pStyle w:val="lbltxt"/>
              <w:rPr>
                <w:noProof w:val="0"/>
                <w:szCs w:val="22"/>
              </w:rPr>
            </w:pPr>
          </w:p>
        </w:tc>
      </w:tr>
      <w:tr w:rsidR="002833B7" w:rsidRPr="00402720" w14:paraId="5C0D99DF" w14:textId="77777777" w:rsidTr="000B6CC4">
        <w:trPr>
          <w:cantSplit/>
        </w:trPr>
        <w:tc>
          <w:tcPr>
            <w:tcW w:w="4646" w:type="dxa"/>
          </w:tcPr>
          <w:p w14:paraId="6FE848DA" w14:textId="77777777" w:rsidR="002833B7" w:rsidRPr="00707280" w:rsidRDefault="002833B7">
            <w:pPr>
              <w:pStyle w:val="lbltxt"/>
              <w:rPr>
                <w:b/>
                <w:bCs/>
                <w:noProof w:val="0"/>
                <w:szCs w:val="22"/>
                <w:lang w:val="el-GR"/>
              </w:rPr>
            </w:pPr>
            <w:r w:rsidRPr="00707280">
              <w:rPr>
                <w:b/>
                <w:bCs/>
                <w:noProof w:val="0"/>
                <w:szCs w:val="22"/>
                <w:lang w:val="el-GR"/>
              </w:rPr>
              <w:t>Ελλάδα</w:t>
            </w:r>
          </w:p>
          <w:p w14:paraId="3D3FD067" w14:textId="77777777" w:rsidR="002833B7" w:rsidRPr="00707280" w:rsidRDefault="002833B7">
            <w:pPr>
              <w:pStyle w:val="lbltxt"/>
              <w:rPr>
                <w:noProof w:val="0"/>
                <w:szCs w:val="22"/>
                <w:lang w:val="el-GR"/>
              </w:rPr>
            </w:pPr>
            <w:r w:rsidRPr="009737B5">
              <w:rPr>
                <w:noProof w:val="0"/>
                <w:szCs w:val="22"/>
              </w:rPr>
              <w:t>Amgen</w:t>
            </w:r>
            <w:r w:rsidRPr="00707280">
              <w:rPr>
                <w:noProof w:val="0"/>
                <w:szCs w:val="22"/>
                <w:lang w:val="el-GR"/>
              </w:rPr>
              <w:t xml:space="preserve"> Ελλάς Φαρμακευτικά Ε.Π.Ε. </w:t>
            </w:r>
          </w:p>
          <w:p w14:paraId="542AC6F9" w14:textId="6EFA0488" w:rsidR="002833B7" w:rsidRPr="009737B5" w:rsidRDefault="002833B7">
            <w:pPr>
              <w:pStyle w:val="lbltxt"/>
              <w:rPr>
                <w:noProof w:val="0"/>
                <w:szCs w:val="22"/>
              </w:rPr>
            </w:pPr>
            <w:r w:rsidRPr="009737B5">
              <w:rPr>
                <w:noProof w:val="0"/>
                <w:szCs w:val="22"/>
              </w:rPr>
              <w:t>Τηλ: +30 210 3447000</w:t>
            </w:r>
          </w:p>
          <w:p w14:paraId="08202A35" w14:textId="77777777" w:rsidR="002833B7" w:rsidRPr="009737B5" w:rsidRDefault="002833B7">
            <w:pPr>
              <w:pStyle w:val="lbltxt"/>
              <w:rPr>
                <w:noProof w:val="0"/>
                <w:szCs w:val="22"/>
              </w:rPr>
            </w:pPr>
          </w:p>
        </w:tc>
        <w:tc>
          <w:tcPr>
            <w:tcW w:w="4680" w:type="dxa"/>
          </w:tcPr>
          <w:p w14:paraId="54FFEE5F" w14:textId="77777777" w:rsidR="002833B7" w:rsidRPr="009737B5" w:rsidRDefault="002833B7">
            <w:pPr>
              <w:pStyle w:val="lbltxt"/>
              <w:rPr>
                <w:noProof w:val="0"/>
                <w:szCs w:val="22"/>
              </w:rPr>
            </w:pPr>
            <w:r w:rsidRPr="009737B5">
              <w:rPr>
                <w:b/>
                <w:noProof w:val="0"/>
                <w:szCs w:val="22"/>
              </w:rPr>
              <w:t>Österreich</w:t>
            </w:r>
          </w:p>
          <w:p w14:paraId="79689869" w14:textId="77777777" w:rsidR="002833B7" w:rsidRPr="009737B5" w:rsidRDefault="002833B7">
            <w:pPr>
              <w:pStyle w:val="lbltxt"/>
              <w:rPr>
                <w:noProof w:val="0"/>
                <w:szCs w:val="22"/>
              </w:rPr>
            </w:pPr>
            <w:r w:rsidRPr="009737B5">
              <w:rPr>
                <w:noProof w:val="0"/>
                <w:szCs w:val="22"/>
              </w:rPr>
              <w:t xml:space="preserve">Amgen GmbH </w:t>
            </w:r>
          </w:p>
          <w:p w14:paraId="3CABF58C" w14:textId="77777777" w:rsidR="002833B7" w:rsidRPr="009737B5" w:rsidRDefault="002833B7">
            <w:pPr>
              <w:pStyle w:val="lbltxt"/>
              <w:rPr>
                <w:noProof w:val="0"/>
                <w:szCs w:val="22"/>
              </w:rPr>
            </w:pPr>
            <w:r w:rsidRPr="009737B5">
              <w:rPr>
                <w:noProof w:val="0"/>
                <w:szCs w:val="22"/>
              </w:rPr>
              <w:t>Tel: +43 (0)1 50 217</w:t>
            </w:r>
          </w:p>
          <w:p w14:paraId="2BF7CA03" w14:textId="77777777" w:rsidR="002833B7" w:rsidRPr="009737B5" w:rsidRDefault="002833B7">
            <w:pPr>
              <w:pStyle w:val="lbltxt"/>
              <w:rPr>
                <w:b/>
                <w:noProof w:val="0"/>
                <w:szCs w:val="22"/>
              </w:rPr>
            </w:pPr>
          </w:p>
        </w:tc>
      </w:tr>
      <w:tr w:rsidR="002833B7" w:rsidRPr="00402720" w14:paraId="43045AEA" w14:textId="77777777" w:rsidTr="000B6CC4">
        <w:trPr>
          <w:cantSplit/>
        </w:trPr>
        <w:tc>
          <w:tcPr>
            <w:tcW w:w="4646" w:type="dxa"/>
          </w:tcPr>
          <w:p w14:paraId="10D4F67A" w14:textId="77777777" w:rsidR="002833B7" w:rsidRPr="009737B5" w:rsidRDefault="002833B7">
            <w:pPr>
              <w:pStyle w:val="lbltxt"/>
              <w:rPr>
                <w:noProof w:val="0"/>
                <w:szCs w:val="22"/>
                <w:lang w:val="de-DE"/>
              </w:rPr>
            </w:pPr>
            <w:r w:rsidRPr="009737B5">
              <w:rPr>
                <w:b/>
                <w:noProof w:val="0"/>
                <w:szCs w:val="22"/>
                <w:lang w:val="de-DE"/>
              </w:rPr>
              <w:t>España</w:t>
            </w:r>
          </w:p>
          <w:p w14:paraId="55006077" w14:textId="77777777" w:rsidR="002833B7" w:rsidRPr="009737B5" w:rsidRDefault="002833B7">
            <w:pPr>
              <w:pStyle w:val="lbltxt"/>
              <w:rPr>
                <w:noProof w:val="0"/>
                <w:spacing w:val="-2"/>
                <w:szCs w:val="22"/>
                <w:lang w:val="de-DE"/>
              </w:rPr>
            </w:pPr>
            <w:r w:rsidRPr="009737B5">
              <w:rPr>
                <w:noProof w:val="0"/>
                <w:spacing w:val="-2"/>
                <w:szCs w:val="22"/>
                <w:lang w:val="de-DE"/>
              </w:rPr>
              <w:t>Amgen S.A.</w:t>
            </w:r>
            <w:r w:rsidRPr="009737B5">
              <w:rPr>
                <w:noProof w:val="0"/>
                <w:spacing w:val="-2"/>
                <w:szCs w:val="22"/>
                <w:lang w:val="de-DE"/>
              </w:rPr>
              <w:tab/>
            </w:r>
          </w:p>
          <w:p w14:paraId="0A818D46" w14:textId="77777777" w:rsidR="002833B7" w:rsidRPr="00E66954" w:rsidRDefault="002833B7">
            <w:pPr>
              <w:pStyle w:val="lbltxt"/>
              <w:rPr>
                <w:rStyle w:val="Initial"/>
                <w:rFonts w:ascii="Times New Roman" w:hAnsi="Times New Roman" w:cs="Times New Roman"/>
                <w:szCs w:val="22"/>
                <w:lang w:val="es-ES"/>
              </w:rPr>
            </w:pPr>
            <w:r w:rsidRPr="009737B5">
              <w:rPr>
                <w:noProof w:val="0"/>
                <w:szCs w:val="22"/>
                <w:lang w:val="de-DE"/>
              </w:rPr>
              <w:t xml:space="preserve">Tel: +34 93 600 18 60 </w:t>
            </w:r>
          </w:p>
          <w:p w14:paraId="27157A51" w14:textId="77777777" w:rsidR="002833B7" w:rsidRPr="009737B5" w:rsidRDefault="002833B7">
            <w:pPr>
              <w:pStyle w:val="lbltxt"/>
              <w:rPr>
                <w:bCs/>
                <w:noProof w:val="0"/>
                <w:szCs w:val="22"/>
                <w:lang w:val="de-DE"/>
              </w:rPr>
            </w:pPr>
          </w:p>
        </w:tc>
        <w:tc>
          <w:tcPr>
            <w:tcW w:w="4680" w:type="dxa"/>
            <w:hideMark/>
          </w:tcPr>
          <w:p w14:paraId="7E023EA1" w14:textId="77777777" w:rsidR="002833B7" w:rsidRPr="009737B5" w:rsidRDefault="002833B7">
            <w:pPr>
              <w:pStyle w:val="lbltxt"/>
              <w:rPr>
                <w:b/>
                <w:noProof w:val="0"/>
                <w:szCs w:val="22"/>
                <w:lang w:val="nl-NL"/>
              </w:rPr>
            </w:pPr>
            <w:r w:rsidRPr="009737B5">
              <w:rPr>
                <w:b/>
                <w:noProof w:val="0"/>
                <w:szCs w:val="22"/>
                <w:lang w:val="nl-NL"/>
              </w:rPr>
              <w:t>Polska</w:t>
            </w:r>
          </w:p>
          <w:p w14:paraId="37299216" w14:textId="77777777" w:rsidR="002833B7" w:rsidRPr="009737B5" w:rsidRDefault="002833B7">
            <w:pPr>
              <w:pStyle w:val="lbltxt"/>
              <w:rPr>
                <w:noProof w:val="0"/>
                <w:szCs w:val="22"/>
                <w:lang w:val="nl-NL"/>
              </w:rPr>
            </w:pPr>
            <w:r w:rsidRPr="009737B5">
              <w:rPr>
                <w:noProof w:val="0"/>
                <w:szCs w:val="22"/>
                <w:lang w:val="nl-NL"/>
              </w:rPr>
              <w:t xml:space="preserve">Amgen </w:t>
            </w:r>
            <w:r w:rsidRPr="009737B5">
              <w:rPr>
                <w:noProof w:val="0"/>
                <w:color w:val="000000"/>
                <w:szCs w:val="22"/>
                <w:lang w:val="nl-NL" w:eastAsia="en-GB"/>
              </w:rPr>
              <w:t>Biotechnologia</w:t>
            </w:r>
            <w:r w:rsidRPr="009737B5">
              <w:rPr>
                <w:noProof w:val="0"/>
                <w:szCs w:val="22"/>
                <w:lang w:val="nl-NL"/>
              </w:rPr>
              <w:t xml:space="preserve"> Sp. z o.o.</w:t>
            </w:r>
          </w:p>
          <w:p w14:paraId="50D62989" w14:textId="77777777" w:rsidR="002833B7" w:rsidRPr="009737B5" w:rsidRDefault="002833B7">
            <w:pPr>
              <w:pStyle w:val="lbltxt"/>
              <w:rPr>
                <w:noProof w:val="0"/>
                <w:szCs w:val="22"/>
              </w:rPr>
            </w:pPr>
            <w:r w:rsidRPr="009737B5">
              <w:rPr>
                <w:bCs/>
                <w:noProof w:val="0"/>
                <w:szCs w:val="22"/>
              </w:rPr>
              <w:t>Tel.: +48 22 581 3000</w:t>
            </w:r>
          </w:p>
        </w:tc>
      </w:tr>
      <w:tr w:rsidR="002833B7" w:rsidRPr="00DA11F8" w14:paraId="707AB039" w14:textId="77777777" w:rsidTr="000B6CC4">
        <w:trPr>
          <w:cantSplit/>
        </w:trPr>
        <w:tc>
          <w:tcPr>
            <w:tcW w:w="4646" w:type="dxa"/>
            <w:hideMark/>
          </w:tcPr>
          <w:p w14:paraId="19209D4D" w14:textId="77777777" w:rsidR="002833B7" w:rsidRPr="009737B5" w:rsidRDefault="002833B7">
            <w:pPr>
              <w:pStyle w:val="lbltxt"/>
              <w:rPr>
                <w:noProof w:val="0"/>
                <w:szCs w:val="22"/>
                <w:lang w:val="fr-FR"/>
              </w:rPr>
            </w:pPr>
            <w:r w:rsidRPr="009737B5">
              <w:rPr>
                <w:b/>
                <w:noProof w:val="0"/>
                <w:szCs w:val="22"/>
                <w:lang w:val="fr-FR"/>
              </w:rPr>
              <w:t>France</w:t>
            </w:r>
          </w:p>
          <w:p w14:paraId="133F41BB" w14:textId="77777777" w:rsidR="002833B7" w:rsidRPr="009737B5" w:rsidRDefault="002833B7">
            <w:pPr>
              <w:pStyle w:val="lbltxt"/>
              <w:rPr>
                <w:noProof w:val="0"/>
                <w:szCs w:val="22"/>
                <w:lang w:val="fr-FR"/>
              </w:rPr>
            </w:pPr>
            <w:r w:rsidRPr="009737B5">
              <w:rPr>
                <w:noProof w:val="0"/>
                <w:szCs w:val="22"/>
                <w:lang w:val="fr-FR"/>
              </w:rPr>
              <w:t>Amgen S.A.S.</w:t>
            </w:r>
          </w:p>
          <w:p w14:paraId="7CC96398" w14:textId="77777777" w:rsidR="002833B7" w:rsidRPr="00402720" w:rsidRDefault="002833B7" w:rsidP="000B6CC4">
            <w:pPr>
              <w:spacing w:after="0"/>
              <w:rPr>
                <w:rFonts w:ascii="Times New Roman" w:hAnsi="Times New Roman" w:cs="Times New Roman"/>
                <w:b/>
                <w:lang w:val="fr-FR"/>
              </w:rPr>
            </w:pPr>
            <w:r w:rsidRPr="00402720">
              <w:rPr>
                <w:rFonts w:ascii="Times New Roman" w:hAnsi="Times New Roman" w:cs="Times New Roman"/>
                <w:lang w:val="fr-FR"/>
              </w:rPr>
              <w:t>Tél: +33 (0)9 69 363 363</w:t>
            </w:r>
          </w:p>
        </w:tc>
        <w:tc>
          <w:tcPr>
            <w:tcW w:w="4680" w:type="dxa"/>
          </w:tcPr>
          <w:p w14:paraId="54FEB50E" w14:textId="77777777" w:rsidR="002833B7" w:rsidRPr="00ED7CED" w:rsidRDefault="002833B7">
            <w:pPr>
              <w:pStyle w:val="lbltxt"/>
              <w:rPr>
                <w:noProof w:val="0"/>
                <w:szCs w:val="22"/>
                <w:lang w:val="es-ES"/>
              </w:rPr>
            </w:pPr>
            <w:r w:rsidRPr="00ED7CED">
              <w:rPr>
                <w:b/>
                <w:noProof w:val="0"/>
                <w:szCs w:val="22"/>
                <w:lang w:val="es-ES"/>
              </w:rPr>
              <w:t>Portugal</w:t>
            </w:r>
          </w:p>
          <w:p w14:paraId="4A74B739" w14:textId="77777777" w:rsidR="002833B7" w:rsidRPr="00ED7CED" w:rsidRDefault="002833B7">
            <w:pPr>
              <w:pStyle w:val="lbltxt"/>
              <w:rPr>
                <w:noProof w:val="0"/>
                <w:szCs w:val="22"/>
                <w:lang w:val="es-ES"/>
              </w:rPr>
            </w:pPr>
            <w:r w:rsidRPr="00ED7CED">
              <w:rPr>
                <w:noProof w:val="0"/>
                <w:szCs w:val="22"/>
                <w:lang w:val="es-ES"/>
              </w:rPr>
              <w:t>Amgen Biofarmacêutica, Lda.</w:t>
            </w:r>
          </w:p>
          <w:p w14:paraId="4C287D12" w14:textId="77777777" w:rsidR="00857626" w:rsidRPr="00402720" w:rsidRDefault="002833B7" w:rsidP="00857626">
            <w:pPr>
              <w:rPr>
                <w:rFonts w:ascii="Times New Roman" w:hAnsi="Times New Roman" w:cs="Times New Roman"/>
                <w:lang w:val="es-ES"/>
              </w:rPr>
            </w:pPr>
            <w:r w:rsidRPr="00402720">
              <w:rPr>
                <w:rFonts w:ascii="Times New Roman" w:hAnsi="Times New Roman" w:cs="Times New Roman"/>
                <w:lang w:val="es-ES"/>
              </w:rPr>
              <w:t>Tel: +351 21 422</w:t>
            </w:r>
            <w:r w:rsidR="00857626" w:rsidRPr="00402720">
              <w:rPr>
                <w:rFonts w:ascii="Times New Roman" w:hAnsi="Times New Roman" w:cs="Times New Roman"/>
                <w:lang w:val="es-ES"/>
              </w:rPr>
              <w:t>0606</w:t>
            </w:r>
          </w:p>
          <w:p w14:paraId="4738FE25" w14:textId="77777777" w:rsidR="002833B7" w:rsidRPr="00ED7CED" w:rsidRDefault="002833B7">
            <w:pPr>
              <w:pStyle w:val="lbltxt"/>
              <w:rPr>
                <w:noProof w:val="0"/>
                <w:szCs w:val="22"/>
                <w:lang w:val="es-ES"/>
              </w:rPr>
            </w:pPr>
          </w:p>
        </w:tc>
      </w:tr>
      <w:tr w:rsidR="002833B7" w:rsidRPr="00AA0497" w14:paraId="37B35B3C" w14:textId="77777777" w:rsidTr="000B6CC4">
        <w:trPr>
          <w:cantSplit/>
        </w:trPr>
        <w:tc>
          <w:tcPr>
            <w:tcW w:w="4646" w:type="dxa"/>
            <w:hideMark/>
          </w:tcPr>
          <w:p w14:paraId="2DC7724B" w14:textId="77777777" w:rsidR="002833B7" w:rsidRPr="00E13E0F" w:rsidRDefault="002833B7" w:rsidP="000B6CC4">
            <w:pPr>
              <w:spacing w:after="0"/>
              <w:rPr>
                <w:rFonts w:ascii="Times New Roman" w:hAnsi="Times New Roman" w:cs="Times New Roman"/>
                <w:lang w:val="fi-FI"/>
              </w:rPr>
            </w:pPr>
            <w:r w:rsidRPr="00E13E0F">
              <w:rPr>
                <w:rFonts w:ascii="Times New Roman" w:hAnsi="Times New Roman" w:cs="Times New Roman"/>
                <w:b/>
                <w:lang w:val="fi-FI"/>
              </w:rPr>
              <w:t>Hrvatska</w:t>
            </w:r>
          </w:p>
          <w:p w14:paraId="57787D30" w14:textId="77777777" w:rsidR="002833B7" w:rsidRPr="00E13E0F" w:rsidRDefault="002833B7" w:rsidP="000B6CC4">
            <w:pPr>
              <w:spacing w:after="0"/>
              <w:rPr>
                <w:rFonts w:ascii="Times New Roman" w:hAnsi="Times New Roman" w:cs="Times New Roman"/>
                <w:lang w:val="fi-FI"/>
              </w:rPr>
            </w:pPr>
            <w:r w:rsidRPr="00E13E0F">
              <w:rPr>
                <w:rFonts w:ascii="Times New Roman" w:hAnsi="Times New Roman" w:cs="Times New Roman"/>
                <w:lang w:val="fi-FI"/>
              </w:rPr>
              <w:t>Amgen d.o.o.</w:t>
            </w:r>
          </w:p>
          <w:p w14:paraId="44678164" w14:textId="77777777" w:rsidR="002833B7" w:rsidRPr="00402720" w:rsidRDefault="002833B7" w:rsidP="000B6CC4">
            <w:pPr>
              <w:spacing w:after="0"/>
              <w:rPr>
                <w:rFonts w:ascii="Times New Roman" w:hAnsi="Times New Roman" w:cs="Times New Roman"/>
              </w:rPr>
            </w:pPr>
            <w:r w:rsidRPr="00402720">
              <w:rPr>
                <w:rFonts w:ascii="Times New Roman" w:hAnsi="Times New Roman" w:cs="Times New Roman"/>
              </w:rPr>
              <w:t>Tel: +385 (0)1 562 57 20</w:t>
            </w:r>
          </w:p>
        </w:tc>
        <w:tc>
          <w:tcPr>
            <w:tcW w:w="4680" w:type="dxa"/>
          </w:tcPr>
          <w:p w14:paraId="51DBA2D5" w14:textId="77777777" w:rsidR="002833B7" w:rsidRPr="00402720" w:rsidRDefault="002833B7" w:rsidP="000B6CC4">
            <w:pPr>
              <w:suppressAutoHyphens/>
              <w:spacing w:after="0"/>
              <w:rPr>
                <w:rFonts w:ascii="Times New Roman" w:hAnsi="Times New Roman" w:cs="Times New Roman"/>
                <w:b/>
                <w:lang w:val="it-IT"/>
              </w:rPr>
            </w:pPr>
            <w:r w:rsidRPr="00402720">
              <w:rPr>
                <w:rFonts w:ascii="Times New Roman" w:hAnsi="Times New Roman" w:cs="Times New Roman"/>
                <w:b/>
                <w:lang w:val="it-IT"/>
              </w:rPr>
              <w:t>România</w:t>
            </w:r>
          </w:p>
          <w:p w14:paraId="7202A67C" w14:textId="77777777" w:rsidR="002833B7" w:rsidRPr="00402720" w:rsidRDefault="002833B7" w:rsidP="000B6CC4">
            <w:pPr>
              <w:spacing w:after="0"/>
              <w:rPr>
                <w:rFonts w:ascii="Times New Roman" w:hAnsi="Times New Roman" w:cs="Times New Roman"/>
                <w:color w:val="000000"/>
                <w:lang w:val="it-IT"/>
              </w:rPr>
            </w:pPr>
            <w:r w:rsidRPr="00402720">
              <w:rPr>
                <w:rFonts w:ascii="Times New Roman" w:hAnsi="Times New Roman" w:cs="Times New Roman"/>
                <w:color w:val="000000"/>
                <w:lang w:val="it-IT"/>
              </w:rPr>
              <w:t>Amgen România SRL</w:t>
            </w:r>
          </w:p>
          <w:p w14:paraId="6AB9CC78" w14:textId="77777777" w:rsidR="002833B7" w:rsidRPr="009A5D64" w:rsidRDefault="002833B7">
            <w:pPr>
              <w:pStyle w:val="lbltxt"/>
              <w:rPr>
                <w:noProof w:val="0"/>
                <w:szCs w:val="22"/>
                <w:lang w:val="it-IT"/>
              </w:rPr>
            </w:pPr>
            <w:r w:rsidRPr="009A5D64">
              <w:rPr>
                <w:noProof w:val="0"/>
                <w:szCs w:val="22"/>
                <w:lang w:val="it-IT"/>
              </w:rPr>
              <w:t>Tel: +4021 527 3000</w:t>
            </w:r>
          </w:p>
          <w:p w14:paraId="74E6074F" w14:textId="77777777" w:rsidR="002833B7" w:rsidRPr="009A5D64" w:rsidRDefault="002833B7">
            <w:pPr>
              <w:pStyle w:val="lbltxt"/>
              <w:rPr>
                <w:noProof w:val="0"/>
                <w:szCs w:val="22"/>
                <w:lang w:val="it-IT"/>
              </w:rPr>
            </w:pPr>
          </w:p>
        </w:tc>
      </w:tr>
      <w:tr w:rsidR="002833B7" w:rsidRPr="00402720" w14:paraId="7A49B8D5" w14:textId="77777777" w:rsidTr="000B6CC4">
        <w:trPr>
          <w:cantSplit/>
          <w:trHeight w:val="1204"/>
        </w:trPr>
        <w:tc>
          <w:tcPr>
            <w:tcW w:w="4646" w:type="dxa"/>
          </w:tcPr>
          <w:p w14:paraId="76BFD83F" w14:textId="77777777" w:rsidR="002833B7" w:rsidRPr="009737B5" w:rsidRDefault="002833B7">
            <w:pPr>
              <w:pStyle w:val="lbltxt"/>
              <w:rPr>
                <w:noProof w:val="0"/>
                <w:szCs w:val="22"/>
              </w:rPr>
            </w:pPr>
            <w:r w:rsidRPr="009737B5">
              <w:rPr>
                <w:b/>
                <w:noProof w:val="0"/>
                <w:szCs w:val="22"/>
              </w:rPr>
              <w:t>Ireland</w:t>
            </w:r>
          </w:p>
          <w:p w14:paraId="38D7E5B8" w14:textId="3126DB87" w:rsidR="002833B7" w:rsidRPr="009737B5" w:rsidRDefault="002833B7">
            <w:pPr>
              <w:pStyle w:val="lbltxt"/>
              <w:rPr>
                <w:noProof w:val="0"/>
                <w:szCs w:val="22"/>
              </w:rPr>
            </w:pPr>
            <w:r w:rsidRPr="009737B5">
              <w:rPr>
                <w:noProof w:val="0"/>
                <w:szCs w:val="22"/>
              </w:rPr>
              <w:t xml:space="preserve">Amgen </w:t>
            </w:r>
            <w:r w:rsidR="00857626">
              <w:rPr>
                <w:rFonts w:eastAsia="Arial Unicode MS"/>
                <w:bCs/>
                <w:szCs w:val="22"/>
                <w:lang w:val="hr-HR"/>
              </w:rPr>
              <w:t>Ireland</w:t>
            </w:r>
            <w:r w:rsidR="00857626" w:rsidRPr="00950D83">
              <w:rPr>
                <w:rFonts w:eastAsia="Arial Unicode MS"/>
                <w:bCs/>
                <w:szCs w:val="22"/>
                <w:lang w:val="hr-HR"/>
              </w:rPr>
              <w:t xml:space="preserve"> </w:t>
            </w:r>
            <w:r w:rsidRPr="009737B5">
              <w:rPr>
                <w:noProof w:val="0"/>
                <w:szCs w:val="22"/>
              </w:rPr>
              <w:t>Limited</w:t>
            </w:r>
          </w:p>
          <w:p w14:paraId="573EAD98" w14:textId="5C024420" w:rsidR="002833B7" w:rsidRPr="00E66954" w:rsidRDefault="002833B7">
            <w:pPr>
              <w:pStyle w:val="lbltxt"/>
              <w:rPr>
                <w:rStyle w:val="Initial"/>
                <w:rFonts w:ascii="Times New Roman" w:hAnsi="Times New Roman" w:cs="Times New Roman"/>
                <w:szCs w:val="22"/>
                <w:lang w:val="en-IN"/>
              </w:rPr>
            </w:pPr>
            <w:r w:rsidRPr="009737B5">
              <w:rPr>
                <w:szCs w:val="22"/>
              </w:rPr>
              <w:t xml:space="preserve">Tel: </w:t>
            </w:r>
            <w:r w:rsidRPr="009737B5">
              <w:rPr>
                <w:noProof w:val="0"/>
                <w:szCs w:val="22"/>
              </w:rPr>
              <w:t>+</w:t>
            </w:r>
            <w:r w:rsidR="00857626" w:rsidRPr="00E61FEC">
              <w:rPr>
                <w:noProof w:val="0"/>
                <w:lang w:val="en-US"/>
              </w:rPr>
              <w:t>353 1 8527400</w:t>
            </w:r>
          </w:p>
          <w:p w14:paraId="1A967BB5" w14:textId="77777777" w:rsidR="002833B7" w:rsidRPr="00402720" w:rsidRDefault="002833B7" w:rsidP="000B6CC4">
            <w:pPr>
              <w:spacing w:after="0"/>
              <w:rPr>
                <w:rFonts w:ascii="Times New Roman" w:hAnsi="Times New Roman" w:cs="Times New Roman"/>
              </w:rPr>
            </w:pPr>
          </w:p>
        </w:tc>
        <w:tc>
          <w:tcPr>
            <w:tcW w:w="4680" w:type="dxa"/>
          </w:tcPr>
          <w:p w14:paraId="1A14A047" w14:textId="77777777" w:rsidR="002833B7" w:rsidRPr="009A5D64" w:rsidRDefault="002833B7">
            <w:pPr>
              <w:pStyle w:val="lbltxt"/>
              <w:rPr>
                <w:b/>
                <w:noProof w:val="0"/>
                <w:szCs w:val="22"/>
                <w:lang w:val="it-IT"/>
              </w:rPr>
            </w:pPr>
            <w:r w:rsidRPr="009A5D64">
              <w:rPr>
                <w:b/>
                <w:noProof w:val="0"/>
                <w:szCs w:val="22"/>
                <w:lang w:val="it-IT"/>
              </w:rPr>
              <w:t>Slovenija</w:t>
            </w:r>
          </w:p>
          <w:p w14:paraId="24558F3F" w14:textId="77777777" w:rsidR="002833B7" w:rsidRPr="009A5D64" w:rsidRDefault="002833B7">
            <w:pPr>
              <w:pStyle w:val="lbltxt"/>
              <w:rPr>
                <w:bCs/>
                <w:noProof w:val="0"/>
                <w:szCs w:val="22"/>
                <w:lang w:val="it-IT"/>
              </w:rPr>
            </w:pPr>
            <w:r w:rsidRPr="009A5D64">
              <w:rPr>
                <w:noProof w:val="0"/>
                <w:szCs w:val="22"/>
                <w:lang w:val="it-IT"/>
              </w:rPr>
              <w:t>AMGEN zdravila d.o.o.</w:t>
            </w:r>
          </w:p>
          <w:p w14:paraId="01653A5C" w14:textId="77777777" w:rsidR="002833B7" w:rsidRPr="009737B5" w:rsidRDefault="002833B7">
            <w:pPr>
              <w:pStyle w:val="lbltxt"/>
              <w:rPr>
                <w:bCs/>
                <w:noProof w:val="0"/>
                <w:szCs w:val="22"/>
              </w:rPr>
            </w:pPr>
            <w:r w:rsidRPr="009737B5">
              <w:rPr>
                <w:bCs/>
                <w:noProof w:val="0"/>
                <w:szCs w:val="22"/>
              </w:rPr>
              <w:t>Tel: +386 (0)1 585 1767</w:t>
            </w:r>
          </w:p>
          <w:p w14:paraId="237C8010" w14:textId="77777777" w:rsidR="002833B7" w:rsidRPr="009737B5" w:rsidRDefault="002833B7">
            <w:pPr>
              <w:pStyle w:val="lbltxt"/>
              <w:rPr>
                <w:noProof w:val="0"/>
                <w:szCs w:val="22"/>
              </w:rPr>
            </w:pPr>
          </w:p>
        </w:tc>
      </w:tr>
      <w:tr w:rsidR="002833B7" w:rsidRPr="00402720" w14:paraId="5E976F76" w14:textId="77777777" w:rsidTr="000B6CC4">
        <w:trPr>
          <w:cantSplit/>
        </w:trPr>
        <w:tc>
          <w:tcPr>
            <w:tcW w:w="4646" w:type="dxa"/>
          </w:tcPr>
          <w:p w14:paraId="7944B29B" w14:textId="77777777" w:rsidR="002833B7" w:rsidRPr="009737B5" w:rsidRDefault="002833B7">
            <w:pPr>
              <w:pStyle w:val="lbltxt"/>
              <w:rPr>
                <w:b/>
                <w:noProof w:val="0"/>
                <w:szCs w:val="22"/>
              </w:rPr>
            </w:pPr>
            <w:r w:rsidRPr="009737B5">
              <w:rPr>
                <w:b/>
                <w:noProof w:val="0"/>
                <w:szCs w:val="22"/>
              </w:rPr>
              <w:t>Ísland</w:t>
            </w:r>
          </w:p>
          <w:p w14:paraId="5B84EA34" w14:textId="77777777" w:rsidR="002833B7" w:rsidRPr="009737B5" w:rsidRDefault="002833B7">
            <w:pPr>
              <w:pStyle w:val="lbltxt"/>
              <w:rPr>
                <w:noProof w:val="0"/>
                <w:szCs w:val="22"/>
              </w:rPr>
            </w:pPr>
            <w:r w:rsidRPr="009737B5">
              <w:rPr>
                <w:noProof w:val="0"/>
                <w:szCs w:val="22"/>
              </w:rPr>
              <w:t>Vistor hf.</w:t>
            </w:r>
          </w:p>
          <w:p w14:paraId="1519BD83" w14:textId="77777777" w:rsidR="002833B7" w:rsidRPr="009737B5" w:rsidRDefault="002833B7">
            <w:pPr>
              <w:pStyle w:val="lbltxt"/>
              <w:rPr>
                <w:noProof w:val="0"/>
                <w:szCs w:val="22"/>
              </w:rPr>
            </w:pPr>
            <w:r w:rsidRPr="009737B5">
              <w:rPr>
                <w:noProof w:val="0"/>
                <w:szCs w:val="22"/>
              </w:rPr>
              <w:t>Sími: +354 535 7000</w:t>
            </w:r>
          </w:p>
          <w:p w14:paraId="1787FE4B" w14:textId="77777777" w:rsidR="002833B7" w:rsidRPr="009737B5" w:rsidRDefault="002833B7">
            <w:pPr>
              <w:pStyle w:val="lbltxt"/>
              <w:rPr>
                <w:b/>
                <w:bCs/>
                <w:noProof w:val="0"/>
                <w:szCs w:val="22"/>
              </w:rPr>
            </w:pPr>
          </w:p>
        </w:tc>
        <w:tc>
          <w:tcPr>
            <w:tcW w:w="4680" w:type="dxa"/>
          </w:tcPr>
          <w:p w14:paraId="57334375" w14:textId="77777777" w:rsidR="002833B7" w:rsidRPr="009737B5" w:rsidRDefault="002833B7">
            <w:pPr>
              <w:pStyle w:val="lbltxt"/>
              <w:rPr>
                <w:b/>
                <w:noProof w:val="0"/>
                <w:szCs w:val="22"/>
                <w:lang w:val="nl-NL"/>
              </w:rPr>
            </w:pPr>
            <w:r w:rsidRPr="009737B5">
              <w:rPr>
                <w:b/>
                <w:noProof w:val="0"/>
                <w:szCs w:val="22"/>
                <w:lang w:val="nl-NL"/>
              </w:rPr>
              <w:t>Slovenská republika</w:t>
            </w:r>
          </w:p>
          <w:p w14:paraId="64AFD2E4" w14:textId="77777777" w:rsidR="002833B7" w:rsidRPr="009737B5" w:rsidRDefault="002833B7">
            <w:pPr>
              <w:pStyle w:val="lbltxt"/>
              <w:rPr>
                <w:bCs/>
                <w:noProof w:val="0"/>
                <w:szCs w:val="22"/>
                <w:lang w:val="nl-NL"/>
              </w:rPr>
            </w:pPr>
            <w:r w:rsidRPr="009737B5">
              <w:rPr>
                <w:bCs/>
                <w:noProof w:val="0"/>
                <w:szCs w:val="22"/>
                <w:lang w:val="nl-NL"/>
              </w:rPr>
              <w:t>Amgen Slovakia s.r.o.</w:t>
            </w:r>
          </w:p>
          <w:p w14:paraId="483A6A8A" w14:textId="77777777" w:rsidR="002833B7" w:rsidRPr="009737B5" w:rsidRDefault="002833B7">
            <w:pPr>
              <w:pStyle w:val="lbltxt"/>
              <w:rPr>
                <w:bCs/>
                <w:noProof w:val="0"/>
                <w:szCs w:val="22"/>
              </w:rPr>
            </w:pPr>
            <w:r w:rsidRPr="009737B5">
              <w:rPr>
                <w:bCs/>
                <w:noProof w:val="0"/>
                <w:szCs w:val="22"/>
              </w:rPr>
              <w:t xml:space="preserve">Tel: +421 2 321 114 49 </w:t>
            </w:r>
          </w:p>
          <w:p w14:paraId="041617B0" w14:textId="77777777" w:rsidR="002833B7" w:rsidRPr="009737B5" w:rsidRDefault="002833B7">
            <w:pPr>
              <w:pStyle w:val="lbltxt"/>
              <w:rPr>
                <w:noProof w:val="0"/>
                <w:szCs w:val="22"/>
              </w:rPr>
            </w:pPr>
          </w:p>
        </w:tc>
      </w:tr>
      <w:tr w:rsidR="002833B7" w:rsidRPr="00402720" w14:paraId="06C5792B" w14:textId="77777777" w:rsidTr="000B6CC4">
        <w:trPr>
          <w:cantSplit/>
        </w:trPr>
        <w:tc>
          <w:tcPr>
            <w:tcW w:w="4646" w:type="dxa"/>
            <w:hideMark/>
          </w:tcPr>
          <w:p w14:paraId="729BE85E" w14:textId="77777777" w:rsidR="002833B7" w:rsidRPr="009737B5" w:rsidRDefault="002833B7">
            <w:pPr>
              <w:pStyle w:val="lbltxt"/>
              <w:rPr>
                <w:noProof w:val="0"/>
                <w:szCs w:val="22"/>
                <w:lang w:val="de-DE"/>
              </w:rPr>
            </w:pPr>
            <w:r w:rsidRPr="009737B5">
              <w:rPr>
                <w:b/>
                <w:noProof w:val="0"/>
                <w:szCs w:val="22"/>
                <w:lang w:val="de-DE"/>
              </w:rPr>
              <w:t>Italia</w:t>
            </w:r>
          </w:p>
          <w:p w14:paraId="622E4A91" w14:textId="77777777" w:rsidR="002833B7" w:rsidRPr="009737B5" w:rsidRDefault="002833B7">
            <w:pPr>
              <w:pStyle w:val="lbltxt"/>
              <w:rPr>
                <w:noProof w:val="0"/>
                <w:szCs w:val="22"/>
                <w:lang w:val="de-DE"/>
              </w:rPr>
            </w:pPr>
            <w:r w:rsidRPr="009737B5">
              <w:rPr>
                <w:noProof w:val="0"/>
                <w:szCs w:val="22"/>
                <w:lang w:val="de-DE"/>
              </w:rPr>
              <w:t>Amgen S.r.l.</w:t>
            </w:r>
          </w:p>
          <w:p w14:paraId="24EF9696" w14:textId="77777777" w:rsidR="002833B7" w:rsidRPr="009737B5" w:rsidRDefault="002833B7">
            <w:pPr>
              <w:pStyle w:val="lbltxt"/>
              <w:rPr>
                <w:noProof w:val="0"/>
                <w:szCs w:val="22"/>
              </w:rPr>
            </w:pPr>
            <w:r w:rsidRPr="009737B5">
              <w:rPr>
                <w:noProof w:val="0"/>
                <w:szCs w:val="22"/>
              </w:rPr>
              <w:t>Tel: +39 02 6241121</w:t>
            </w:r>
          </w:p>
        </w:tc>
        <w:tc>
          <w:tcPr>
            <w:tcW w:w="4680" w:type="dxa"/>
          </w:tcPr>
          <w:p w14:paraId="1670C047" w14:textId="77777777" w:rsidR="002833B7" w:rsidRPr="009737B5" w:rsidRDefault="002833B7">
            <w:pPr>
              <w:pStyle w:val="lbltxt"/>
              <w:rPr>
                <w:noProof w:val="0"/>
                <w:szCs w:val="22"/>
                <w:lang w:val="de-DE"/>
              </w:rPr>
            </w:pPr>
            <w:r w:rsidRPr="009737B5">
              <w:rPr>
                <w:b/>
                <w:noProof w:val="0"/>
                <w:szCs w:val="22"/>
                <w:lang w:val="de-DE"/>
              </w:rPr>
              <w:t>Suomi/Finland</w:t>
            </w:r>
          </w:p>
          <w:p w14:paraId="7E8D17B7" w14:textId="77777777" w:rsidR="002833B7" w:rsidRPr="009737B5" w:rsidRDefault="002833B7">
            <w:pPr>
              <w:pStyle w:val="lbltxt"/>
              <w:rPr>
                <w:noProof w:val="0"/>
                <w:szCs w:val="22"/>
                <w:lang w:val="de-DE"/>
              </w:rPr>
            </w:pPr>
            <w:r w:rsidRPr="009737B5">
              <w:rPr>
                <w:noProof w:val="0"/>
                <w:szCs w:val="22"/>
                <w:lang w:val="de-DE"/>
              </w:rPr>
              <w:t>Amgen AB, sivuliike Suomessa/Amgen AB, filial i Finland</w:t>
            </w:r>
          </w:p>
          <w:p w14:paraId="05D3C2F7" w14:textId="77777777" w:rsidR="002833B7" w:rsidRPr="009737B5" w:rsidRDefault="002833B7">
            <w:pPr>
              <w:pStyle w:val="lbltxt"/>
              <w:rPr>
                <w:noProof w:val="0"/>
                <w:szCs w:val="22"/>
              </w:rPr>
            </w:pPr>
            <w:r w:rsidRPr="009737B5">
              <w:rPr>
                <w:noProof w:val="0"/>
                <w:szCs w:val="22"/>
              </w:rPr>
              <w:t>Puh/Tel: +358 (0)9 54900500</w:t>
            </w:r>
          </w:p>
          <w:p w14:paraId="27EB3E65" w14:textId="77777777" w:rsidR="002833B7" w:rsidRPr="009737B5" w:rsidRDefault="002833B7">
            <w:pPr>
              <w:pStyle w:val="lbltxt"/>
              <w:rPr>
                <w:b/>
                <w:noProof w:val="0"/>
                <w:szCs w:val="22"/>
              </w:rPr>
            </w:pPr>
          </w:p>
        </w:tc>
      </w:tr>
      <w:tr w:rsidR="002833B7" w:rsidRPr="00402720" w14:paraId="4A50673A" w14:textId="77777777" w:rsidTr="000B6CC4">
        <w:trPr>
          <w:cantSplit/>
        </w:trPr>
        <w:tc>
          <w:tcPr>
            <w:tcW w:w="4646" w:type="dxa"/>
            <w:hideMark/>
          </w:tcPr>
          <w:p w14:paraId="60C61D3E" w14:textId="77777777" w:rsidR="002833B7" w:rsidRPr="00E66954" w:rsidRDefault="002833B7">
            <w:pPr>
              <w:pStyle w:val="lbltxt"/>
              <w:rPr>
                <w:b/>
                <w:noProof w:val="0"/>
                <w:szCs w:val="22"/>
                <w:lang w:val="en-US"/>
              </w:rPr>
            </w:pPr>
            <w:r w:rsidRPr="00E66954">
              <w:rPr>
                <w:b/>
                <w:noProof w:val="0"/>
                <w:szCs w:val="22"/>
                <w:lang w:val="en-US"/>
              </w:rPr>
              <w:t>K</w:t>
            </w:r>
            <w:r w:rsidRPr="009737B5">
              <w:rPr>
                <w:b/>
                <w:noProof w:val="0"/>
                <w:szCs w:val="22"/>
              </w:rPr>
              <w:t>ύπρος</w:t>
            </w:r>
          </w:p>
          <w:p w14:paraId="2B5CBD53" w14:textId="77777777" w:rsidR="002833B7" w:rsidRPr="00E66954" w:rsidRDefault="002833B7" w:rsidP="000B6CC4">
            <w:pPr>
              <w:spacing w:after="0"/>
              <w:rPr>
                <w:rFonts w:ascii="Times New Roman" w:hAnsi="Times New Roman" w:cs="Times New Roman"/>
              </w:rPr>
            </w:pPr>
            <w:r w:rsidRPr="00E66954">
              <w:rPr>
                <w:rFonts w:ascii="Times New Roman" w:hAnsi="Times New Roman" w:cs="Times New Roman"/>
              </w:rPr>
              <w:t>C.A. Papaellinas Ltd</w:t>
            </w:r>
          </w:p>
          <w:p w14:paraId="1FD7DEEA" w14:textId="088CC38E" w:rsidR="002833B7" w:rsidRPr="00E66954" w:rsidRDefault="002833B7">
            <w:pPr>
              <w:pStyle w:val="lbltxt"/>
              <w:rPr>
                <w:noProof w:val="0"/>
                <w:szCs w:val="22"/>
                <w:lang w:val="en-US"/>
              </w:rPr>
            </w:pPr>
            <w:r w:rsidRPr="009737B5">
              <w:rPr>
                <w:noProof w:val="0"/>
                <w:szCs w:val="22"/>
              </w:rPr>
              <w:t>Τηλ</w:t>
            </w:r>
            <w:r w:rsidRPr="00E66954">
              <w:rPr>
                <w:noProof w:val="0"/>
                <w:szCs w:val="22"/>
                <w:lang w:val="en-US"/>
              </w:rPr>
              <w:t>: +357 22741 741</w:t>
            </w:r>
          </w:p>
        </w:tc>
        <w:tc>
          <w:tcPr>
            <w:tcW w:w="4680" w:type="dxa"/>
          </w:tcPr>
          <w:p w14:paraId="378F6E9B" w14:textId="77777777" w:rsidR="002833B7" w:rsidRPr="009737B5" w:rsidRDefault="002833B7">
            <w:pPr>
              <w:pStyle w:val="lbltxt"/>
              <w:rPr>
                <w:noProof w:val="0"/>
                <w:szCs w:val="22"/>
              </w:rPr>
            </w:pPr>
            <w:r w:rsidRPr="009737B5">
              <w:rPr>
                <w:b/>
                <w:noProof w:val="0"/>
                <w:szCs w:val="22"/>
              </w:rPr>
              <w:t>Sverige</w:t>
            </w:r>
          </w:p>
          <w:p w14:paraId="1493019C" w14:textId="77777777" w:rsidR="002833B7" w:rsidRPr="009737B5" w:rsidRDefault="002833B7">
            <w:pPr>
              <w:pStyle w:val="lbltxt"/>
              <w:rPr>
                <w:noProof w:val="0"/>
                <w:szCs w:val="22"/>
              </w:rPr>
            </w:pPr>
            <w:r w:rsidRPr="009737B5">
              <w:rPr>
                <w:noProof w:val="0"/>
                <w:szCs w:val="22"/>
              </w:rPr>
              <w:t xml:space="preserve">Amgen AB </w:t>
            </w:r>
          </w:p>
          <w:p w14:paraId="66B17438" w14:textId="77777777" w:rsidR="002833B7" w:rsidRPr="009737B5" w:rsidRDefault="002833B7">
            <w:pPr>
              <w:pStyle w:val="lbltxt"/>
              <w:rPr>
                <w:noProof w:val="0"/>
                <w:szCs w:val="22"/>
              </w:rPr>
            </w:pPr>
            <w:r w:rsidRPr="009737B5">
              <w:rPr>
                <w:noProof w:val="0"/>
                <w:szCs w:val="22"/>
              </w:rPr>
              <w:t>Tel: +46 (0)8 6951100</w:t>
            </w:r>
          </w:p>
          <w:p w14:paraId="40C46B2D" w14:textId="77777777" w:rsidR="002833B7" w:rsidRPr="009737B5" w:rsidRDefault="002833B7">
            <w:pPr>
              <w:pStyle w:val="lbltxt"/>
              <w:rPr>
                <w:bCs/>
                <w:noProof w:val="0"/>
                <w:szCs w:val="22"/>
              </w:rPr>
            </w:pPr>
          </w:p>
        </w:tc>
      </w:tr>
      <w:tr w:rsidR="002833B7" w:rsidRPr="00402720" w14:paraId="099B06AE" w14:textId="77777777" w:rsidTr="000B6CC4">
        <w:trPr>
          <w:cantSplit/>
        </w:trPr>
        <w:tc>
          <w:tcPr>
            <w:tcW w:w="4646" w:type="dxa"/>
          </w:tcPr>
          <w:p w14:paraId="0994F9A9" w14:textId="77777777" w:rsidR="002833B7" w:rsidRPr="009737B5" w:rsidRDefault="002833B7">
            <w:pPr>
              <w:pStyle w:val="lbltxt"/>
              <w:rPr>
                <w:b/>
                <w:bCs/>
                <w:noProof w:val="0"/>
                <w:szCs w:val="22"/>
                <w:lang w:val="de-DE"/>
              </w:rPr>
            </w:pPr>
            <w:r w:rsidRPr="009737B5">
              <w:rPr>
                <w:b/>
                <w:bCs/>
                <w:noProof w:val="0"/>
                <w:szCs w:val="22"/>
                <w:lang w:val="de-DE"/>
              </w:rPr>
              <w:t>Latvija</w:t>
            </w:r>
          </w:p>
          <w:p w14:paraId="333A76DA" w14:textId="77777777" w:rsidR="002833B7" w:rsidRPr="009737B5" w:rsidRDefault="002833B7">
            <w:pPr>
              <w:pStyle w:val="lbltxt"/>
              <w:rPr>
                <w:noProof w:val="0"/>
                <w:szCs w:val="22"/>
                <w:lang w:val="de-DE"/>
              </w:rPr>
            </w:pPr>
            <w:r w:rsidRPr="009737B5">
              <w:rPr>
                <w:noProof w:val="0"/>
                <w:szCs w:val="22"/>
                <w:lang w:val="de-DE"/>
              </w:rPr>
              <w:t>Amgen Switzerland AG Rīgas filiāle</w:t>
            </w:r>
          </w:p>
          <w:p w14:paraId="64EE5459" w14:textId="77777777" w:rsidR="002833B7" w:rsidRPr="009737B5" w:rsidRDefault="002833B7">
            <w:pPr>
              <w:pStyle w:val="lbltxt"/>
              <w:rPr>
                <w:noProof w:val="0"/>
                <w:szCs w:val="22"/>
              </w:rPr>
            </w:pPr>
            <w:r w:rsidRPr="009737B5">
              <w:rPr>
                <w:bCs/>
                <w:noProof w:val="0"/>
                <w:szCs w:val="22"/>
              </w:rPr>
              <w:t>Tel: +</w:t>
            </w:r>
            <w:r w:rsidRPr="009737B5">
              <w:rPr>
                <w:noProof w:val="0"/>
                <w:szCs w:val="22"/>
              </w:rPr>
              <w:t xml:space="preserve">371 </w:t>
            </w:r>
            <w:r w:rsidRPr="009737B5">
              <w:rPr>
                <w:bCs/>
              </w:rPr>
              <w:t>257 25888</w:t>
            </w:r>
          </w:p>
          <w:p w14:paraId="2626BB4B" w14:textId="77777777" w:rsidR="002833B7" w:rsidRPr="009737B5" w:rsidRDefault="002833B7">
            <w:pPr>
              <w:pStyle w:val="lbltxt"/>
              <w:rPr>
                <w:b/>
                <w:noProof w:val="0"/>
                <w:szCs w:val="22"/>
              </w:rPr>
            </w:pPr>
          </w:p>
        </w:tc>
        <w:tc>
          <w:tcPr>
            <w:tcW w:w="4680" w:type="dxa"/>
            <w:hideMark/>
          </w:tcPr>
          <w:p w14:paraId="36EBE15F" w14:textId="6CE62F09" w:rsidR="002833B7" w:rsidRPr="009737B5" w:rsidRDefault="002833B7">
            <w:pPr>
              <w:pStyle w:val="lbltxt"/>
              <w:rPr>
                <w:noProof w:val="0"/>
                <w:szCs w:val="22"/>
              </w:rPr>
            </w:pPr>
            <w:r w:rsidRPr="009737B5">
              <w:rPr>
                <w:b/>
                <w:noProof w:val="0"/>
                <w:szCs w:val="22"/>
              </w:rPr>
              <w:t>United Kingdom</w:t>
            </w:r>
            <w:r w:rsidR="0008389F">
              <w:rPr>
                <w:b/>
                <w:noProof w:val="0"/>
                <w:szCs w:val="22"/>
              </w:rPr>
              <w:t xml:space="preserve"> (Northern Ireland)</w:t>
            </w:r>
          </w:p>
          <w:p w14:paraId="1231CB09" w14:textId="77777777" w:rsidR="002833B7" w:rsidRPr="009737B5" w:rsidRDefault="002833B7">
            <w:pPr>
              <w:pStyle w:val="lbltxt"/>
              <w:rPr>
                <w:noProof w:val="0"/>
                <w:szCs w:val="22"/>
              </w:rPr>
            </w:pPr>
            <w:r w:rsidRPr="009737B5">
              <w:rPr>
                <w:noProof w:val="0"/>
                <w:szCs w:val="22"/>
              </w:rPr>
              <w:t>Amgen Limited</w:t>
            </w:r>
          </w:p>
          <w:p w14:paraId="1B46E3BA" w14:textId="77777777" w:rsidR="002833B7" w:rsidRPr="009737B5" w:rsidRDefault="002833B7">
            <w:pPr>
              <w:pStyle w:val="lbltxt"/>
              <w:rPr>
                <w:bCs/>
                <w:noProof w:val="0"/>
                <w:szCs w:val="22"/>
              </w:rPr>
            </w:pPr>
            <w:r w:rsidRPr="009737B5">
              <w:rPr>
                <w:noProof w:val="0"/>
                <w:szCs w:val="22"/>
              </w:rPr>
              <w:t>Tel: +44 (0)1223 420305</w:t>
            </w:r>
          </w:p>
        </w:tc>
      </w:tr>
    </w:tbl>
    <w:p w14:paraId="1B5BE5DA" w14:textId="77777777" w:rsidR="00E2353A" w:rsidRPr="009737B5" w:rsidRDefault="00E2353A" w:rsidP="005F4D08">
      <w:pPr>
        <w:suppressAutoHyphens/>
        <w:spacing w:after="0" w:line="240" w:lineRule="auto"/>
        <w:rPr>
          <w:rFonts w:ascii="Times New Roman" w:hAnsi="Times New Roman" w:cs="Times New Roman"/>
        </w:rPr>
      </w:pPr>
    </w:p>
    <w:p w14:paraId="2F8DAF38" w14:textId="77777777" w:rsidR="00E2353A" w:rsidRPr="009737B5" w:rsidRDefault="00E2353A" w:rsidP="005F4D08">
      <w:pPr>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Diese Packungsbeilag</w:t>
      </w:r>
      <w:r w:rsidR="0070002C" w:rsidRPr="009737B5">
        <w:rPr>
          <w:rFonts w:ascii="Times New Roman" w:hAnsi="Times New Roman" w:cs="Times New Roman"/>
          <w:b/>
          <w:lang w:val="de-DE"/>
        </w:rPr>
        <w:t>e wurde zuletzt überarbeitet im</w:t>
      </w:r>
      <w:r w:rsidRPr="009737B5">
        <w:rPr>
          <w:rFonts w:ascii="Times New Roman" w:hAnsi="Times New Roman" w:cs="Times New Roman"/>
          <w:b/>
          <w:lang w:val="de-DE"/>
        </w:rPr>
        <w:t>.</w:t>
      </w:r>
    </w:p>
    <w:p w14:paraId="6987B4B5" w14:textId="77777777" w:rsidR="00E2353A" w:rsidRPr="009737B5" w:rsidRDefault="00E2353A" w:rsidP="005F4D08">
      <w:pPr>
        <w:suppressAutoHyphens/>
        <w:spacing w:after="0" w:line="240" w:lineRule="auto"/>
        <w:rPr>
          <w:rFonts w:ascii="Times New Roman" w:hAnsi="Times New Roman" w:cs="Times New Roman"/>
          <w:lang w:val="de-DE"/>
        </w:rPr>
      </w:pPr>
    </w:p>
    <w:p w14:paraId="162C7AE5" w14:textId="77777777" w:rsidR="00E2353A" w:rsidRPr="009737B5" w:rsidRDefault="00E2353A" w:rsidP="005F4D08">
      <w:pPr>
        <w:suppressAutoHyphens/>
        <w:spacing w:after="0" w:line="240" w:lineRule="auto"/>
        <w:rPr>
          <w:rFonts w:ascii="Times New Roman" w:hAnsi="Times New Roman" w:cs="Times New Roman"/>
          <w:b/>
          <w:lang w:val="de-DE"/>
        </w:rPr>
      </w:pPr>
      <w:r w:rsidRPr="009737B5">
        <w:rPr>
          <w:rFonts w:ascii="Times New Roman" w:hAnsi="Times New Roman" w:cs="Times New Roman"/>
          <w:b/>
          <w:lang w:val="de-DE"/>
        </w:rPr>
        <w:t>Weitere Informationsquellen</w:t>
      </w:r>
    </w:p>
    <w:p w14:paraId="43734F53" w14:textId="77777777" w:rsidR="00E2353A" w:rsidRPr="009737B5" w:rsidRDefault="00E2353A" w:rsidP="005F4D08">
      <w:pPr>
        <w:suppressAutoHyphens/>
        <w:spacing w:after="0" w:line="240" w:lineRule="auto"/>
        <w:rPr>
          <w:rFonts w:ascii="Times New Roman" w:hAnsi="Times New Roman" w:cs="Times New Roman"/>
          <w:lang w:val="de-DE"/>
        </w:rPr>
      </w:pPr>
    </w:p>
    <w:p w14:paraId="39B6FC78" w14:textId="2F5D838A" w:rsidR="00537F24" w:rsidRDefault="00E2353A" w:rsidP="005F4D08">
      <w:pPr>
        <w:suppressAutoHyphens/>
        <w:spacing w:after="0" w:line="240" w:lineRule="auto"/>
        <w:rPr>
          <w:rFonts w:ascii="Times New Roman" w:hAnsi="Times New Roman" w:cs="Times New Roman"/>
          <w:lang w:val="de-DE"/>
        </w:rPr>
      </w:pPr>
      <w:r w:rsidRPr="009737B5">
        <w:rPr>
          <w:rFonts w:ascii="Times New Roman" w:hAnsi="Times New Roman" w:cs="Times New Roman"/>
          <w:lang w:val="de-DE"/>
        </w:rPr>
        <w:t xml:space="preserve">Ausführliche Informationen zu diesem Arzneimittel sind auf den Internetseiten der Europäischen Arzneimittel-Agentur </w:t>
      </w:r>
      <w:r w:rsidR="00A033B4">
        <w:fldChar w:fldCharType="begin"/>
      </w:r>
      <w:r w:rsidR="00A033B4" w:rsidRPr="000D2587">
        <w:rPr>
          <w:lang w:val="de-DE"/>
          <w:rPrChange w:id="45" w:author="Author">
            <w:rPr/>
          </w:rPrChange>
        </w:rPr>
        <w:instrText>HYPERLINK "http://www.ema.europa.eu"</w:instrText>
      </w:r>
      <w:r w:rsidR="00A033B4">
        <w:fldChar w:fldCharType="separate"/>
      </w:r>
      <w:r w:rsidR="00A033B4" w:rsidRPr="00FC10DA">
        <w:rPr>
          <w:rStyle w:val="Hyperlink"/>
          <w:rFonts w:ascii="Times New Roman" w:eastAsia="Times New Roman" w:hAnsi="Times New Roman" w:cs="Times New Roman"/>
          <w:lang w:val="de-DE"/>
        </w:rPr>
        <w:t>http://www.ema.europa.eu</w:t>
      </w:r>
      <w:r w:rsidR="00A033B4">
        <w:fldChar w:fldCharType="end"/>
      </w:r>
      <w:r w:rsidRPr="009737B5">
        <w:rPr>
          <w:rFonts w:ascii="Times New Roman" w:hAnsi="Times New Roman" w:cs="Times New Roman"/>
          <w:lang w:val="de-DE"/>
        </w:rPr>
        <w:t xml:space="preserve"> verfügbar.</w:t>
      </w:r>
    </w:p>
    <w:sectPr w:rsidR="00537F24" w:rsidSect="000626FC">
      <w:footerReference w:type="default" r:id="rId13"/>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3325" w14:textId="77777777" w:rsidR="00262A87" w:rsidRDefault="00262A87" w:rsidP="004A52E1">
      <w:pPr>
        <w:spacing w:after="0" w:line="240" w:lineRule="auto"/>
      </w:pPr>
      <w:r>
        <w:separator/>
      </w:r>
    </w:p>
  </w:endnote>
  <w:endnote w:type="continuationSeparator" w:id="0">
    <w:p w14:paraId="200021EB" w14:textId="77777777" w:rsidR="00262A87" w:rsidRDefault="00262A87" w:rsidP="004A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icrosoft Yi Baiti">
    <w:panose1 w:val="03000500000000000000"/>
    <w:charset w:val="00"/>
    <w:family w:val="script"/>
    <w:pitch w:val="variable"/>
    <w:sig w:usb0="80000003" w:usb1="00010402" w:usb2="00080002"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B2DA" w14:textId="6BF5355C" w:rsidR="005D13CD" w:rsidRPr="004A52E1" w:rsidRDefault="005D13CD" w:rsidP="004A52E1">
    <w:pPr>
      <w:pStyle w:val="Footer"/>
      <w:jc w:val="center"/>
      <w:rPr>
        <w:rFonts w:ascii="Arial" w:hAnsi="Arial" w:cs="Arial"/>
        <w:sz w:val="16"/>
        <w:szCs w:val="16"/>
      </w:rPr>
    </w:pPr>
    <w:r w:rsidRPr="004A52E1">
      <w:rPr>
        <w:rFonts w:ascii="Arial" w:hAnsi="Arial" w:cs="Arial"/>
        <w:sz w:val="16"/>
        <w:szCs w:val="16"/>
      </w:rPr>
      <w:fldChar w:fldCharType="begin"/>
    </w:r>
    <w:r w:rsidRPr="004A52E1">
      <w:rPr>
        <w:rFonts w:ascii="Arial" w:hAnsi="Arial" w:cs="Arial"/>
        <w:sz w:val="16"/>
        <w:szCs w:val="16"/>
      </w:rPr>
      <w:instrText xml:space="preserve"> PAGE   \* MERGEFORMAT </w:instrText>
    </w:r>
    <w:r w:rsidRPr="004A52E1">
      <w:rPr>
        <w:rFonts w:ascii="Arial" w:hAnsi="Arial" w:cs="Arial"/>
        <w:sz w:val="16"/>
        <w:szCs w:val="16"/>
      </w:rPr>
      <w:fldChar w:fldCharType="separate"/>
    </w:r>
    <w:r w:rsidR="00123832">
      <w:rPr>
        <w:rFonts w:ascii="Arial" w:hAnsi="Arial" w:cs="Arial"/>
        <w:noProof/>
        <w:sz w:val="16"/>
        <w:szCs w:val="16"/>
      </w:rPr>
      <w:t>74</w:t>
    </w:r>
    <w:r w:rsidRPr="004A52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8E25D" w14:textId="77777777" w:rsidR="00262A87" w:rsidRDefault="00262A87" w:rsidP="004A52E1">
      <w:pPr>
        <w:spacing w:after="0" w:line="240" w:lineRule="auto"/>
      </w:pPr>
      <w:r>
        <w:separator/>
      </w:r>
    </w:p>
  </w:footnote>
  <w:footnote w:type="continuationSeparator" w:id="0">
    <w:p w14:paraId="1599BF2E" w14:textId="77777777" w:rsidR="00262A87" w:rsidRDefault="00262A87" w:rsidP="004A5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913D6"/>
    <w:multiLevelType w:val="hybridMultilevel"/>
    <w:tmpl w:val="D326DF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86367"/>
    <w:multiLevelType w:val="hybridMultilevel"/>
    <w:tmpl w:val="20548536"/>
    <w:lvl w:ilvl="0" w:tplc="6854D28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91940"/>
    <w:multiLevelType w:val="hybridMultilevel"/>
    <w:tmpl w:val="81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366DF"/>
    <w:multiLevelType w:val="hybridMultilevel"/>
    <w:tmpl w:val="FD66F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6" w15:restartNumberingAfterBreak="0">
    <w:nsid w:val="607C3C0E"/>
    <w:multiLevelType w:val="hybridMultilevel"/>
    <w:tmpl w:val="7DA6E734"/>
    <w:lvl w:ilvl="0" w:tplc="64DA9772">
      <w:start w:val="1"/>
      <w:numFmt w:val="bullet"/>
      <w:lvlText w:val="•"/>
      <w:lvlJc w:val="left"/>
      <w:pPr>
        <w:ind w:left="567" w:hanging="567"/>
      </w:pPr>
    </w:lvl>
    <w:lvl w:ilvl="1" w:tplc="F86E49E0">
      <w:start w:val="1"/>
      <w:numFmt w:val="bullet"/>
      <w:lvlText w:val="•"/>
      <w:lvlJc w:val="left"/>
      <w:pPr>
        <w:ind w:left="1134" w:hanging="567"/>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F7724C"/>
    <w:multiLevelType w:val="hybridMultilevel"/>
    <w:tmpl w:val="3CEC7C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65C47"/>
    <w:multiLevelType w:val="hybridMultilevel"/>
    <w:tmpl w:val="C74C33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0B385D"/>
    <w:multiLevelType w:val="hybridMultilevel"/>
    <w:tmpl w:val="E0A6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64161"/>
    <w:multiLevelType w:val="hybridMultilevel"/>
    <w:tmpl w:val="8288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AF84C682"/>
    <w:lvl w:ilvl="0" w:tplc="137491B2">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845699876">
    <w:abstractNumId w:val="2"/>
  </w:num>
  <w:num w:numId="2" w16cid:durableId="1914585263">
    <w:abstractNumId w:val="1"/>
  </w:num>
  <w:num w:numId="3" w16cid:durableId="2044281185">
    <w:abstractNumId w:val="3"/>
  </w:num>
  <w:num w:numId="4" w16cid:durableId="1182282702">
    <w:abstractNumId w:val="7"/>
  </w:num>
  <w:num w:numId="5" w16cid:durableId="1548490967">
    <w:abstractNumId w:val="8"/>
  </w:num>
  <w:num w:numId="6" w16cid:durableId="526987763">
    <w:abstractNumId w:val="9"/>
  </w:num>
  <w:num w:numId="7" w16cid:durableId="743798312">
    <w:abstractNumId w:val="11"/>
  </w:num>
  <w:num w:numId="8" w16cid:durableId="503398850">
    <w:abstractNumId w:val="4"/>
  </w:num>
  <w:num w:numId="9" w16cid:durableId="247496038">
    <w:abstractNumId w:val="0"/>
  </w:num>
  <w:num w:numId="10" w16cid:durableId="1297029926">
    <w:abstractNumId w:val="10"/>
  </w:num>
  <w:num w:numId="11" w16cid:durableId="469900719">
    <w:abstractNumId w:val="5"/>
  </w:num>
  <w:num w:numId="12" w16cid:durableId="2022390575">
    <w:abstractNumId w:val="12"/>
  </w:num>
  <w:num w:numId="13" w16cid:durableId="526677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s-ES" w:vendorID="64" w:dllVersion="6" w:nlCheck="1" w:checkStyle="1"/>
  <w:activeWritingStyle w:appName="MSWord" w:lang="es-VE"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s-VE" w:vendorID="64" w:dllVersion="0" w:nlCheck="1" w:checkStyle="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2149"/>
    <w:rsid w:val="00000CA3"/>
    <w:rsid w:val="00003365"/>
    <w:rsid w:val="00005528"/>
    <w:rsid w:val="00006169"/>
    <w:rsid w:val="00010E8C"/>
    <w:rsid w:val="00012786"/>
    <w:rsid w:val="00012B74"/>
    <w:rsid w:val="0001520E"/>
    <w:rsid w:val="00015396"/>
    <w:rsid w:val="000153CF"/>
    <w:rsid w:val="000165A4"/>
    <w:rsid w:val="00016892"/>
    <w:rsid w:val="00016950"/>
    <w:rsid w:val="000176C3"/>
    <w:rsid w:val="000206F4"/>
    <w:rsid w:val="0002070D"/>
    <w:rsid w:val="00025D3A"/>
    <w:rsid w:val="00031E0C"/>
    <w:rsid w:val="00032AB6"/>
    <w:rsid w:val="00033961"/>
    <w:rsid w:val="00033DAC"/>
    <w:rsid w:val="00037045"/>
    <w:rsid w:val="000408D5"/>
    <w:rsid w:val="00040E02"/>
    <w:rsid w:val="00041488"/>
    <w:rsid w:val="00043BCB"/>
    <w:rsid w:val="000449FC"/>
    <w:rsid w:val="00044F79"/>
    <w:rsid w:val="00047BAE"/>
    <w:rsid w:val="00051C8A"/>
    <w:rsid w:val="00052D68"/>
    <w:rsid w:val="000530E2"/>
    <w:rsid w:val="00053A2B"/>
    <w:rsid w:val="00055500"/>
    <w:rsid w:val="00057B8B"/>
    <w:rsid w:val="000626FC"/>
    <w:rsid w:val="00063E7C"/>
    <w:rsid w:val="00065435"/>
    <w:rsid w:val="00067A56"/>
    <w:rsid w:val="0007026B"/>
    <w:rsid w:val="00071EB8"/>
    <w:rsid w:val="00072B4E"/>
    <w:rsid w:val="00073125"/>
    <w:rsid w:val="000732EB"/>
    <w:rsid w:val="000766BD"/>
    <w:rsid w:val="00077D6E"/>
    <w:rsid w:val="0008062B"/>
    <w:rsid w:val="00080FC8"/>
    <w:rsid w:val="0008161A"/>
    <w:rsid w:val="000823CD"/>
    <w:rsid w:val="00082EA7"/>
    <w:rsid w:val="00083060"/>
    <w:rsid w:val="0008389F"/>
    <w:rsid w:val="0008583A"/>
    <w:rsid w:val="00085C2E"/>
    <w:rsid w:val="000901A6"/>
    <w:rsid w:val="00090821"/>
    <w:rsid w:val="000922E8"/>
    <w:rsid w:val="0009497E"/>
    <w:rsid w:val="00097E91"/>
    <w:rsid w:val="000A2AAC"/>
    <w:rsid w:val="000A3CD6"/>
    <w:rsid w:val="000A5BDE"/>
    <w:rsid w:val="000A5F77"/>
    <w:rsid w:val="000A7CE7"/>
    <w:rsid w:val="000B0A74"/>
    <w:rsid w:val="000B12BC"/>
    <w:rsid w:val="000B6CC4"/>
    <w:rsid w:val="000B7E3F"/>
    <w:rsid w:val="000B7ED6"/>
    <w:rsid w:val="000C0AAA"/>
    <w:rsid w:val="000C13C6"/>
    <w:rsid w:val="000C211F"/>
    <w:rsid w:val="000C22BA"/>
    <w:rsid w:val="000C36D5"/>
    <w:rsid w:val="000C3FE9"/>
    <w:rsid w:val="000C462F"/>
    <w:rsid w:val="000C571C"/>
    <w:rsid w:val="000C7E4E"/>
    <w:rsid w:val="000D1934"/>
    <w:rsid w:val="000D19E3"/>
    <w:rsid w:val="000D2587"/>
    <w:rsid w:val="000D38E6"/>
    <w:rsid w:val="000E029B"/>
    <w:rsid w:val="000E27F7"/>
    <w:rsid w:val="000E4317"/>
    <w:rsid w:val="000E46F2"/>
    <w:rsid w:val="000E4918"/>
    <w:rsid w:val="000E4AA1"/>
    <w:rsid w:val="000E632B"/>
    <w:rsid w:val="000F1844"/>
    <w:rsid w:val="000F4637"/>
    <w:rsid w:val="00100BAB"/>
    <w:rsid w:val="00102014"/>
    <w:rsid w:val="00102759"/>
    <w:rsid w:val="001038DA"/>
    <w:rsid w:val="0010405B"/>
    <w:rsid w:val="0011232C"/>
    <w:rsid w:val="00112498"/>
    <w:rsid w:val="001156C3"/>
    <w:rsid w:val="00116ED1"/>
    <w:rsid w:val="00121220"/>
    <w:rsid w:val="00122B74"/>
    <w:rsid w:val="00122F5A"/>
    <w:rsid w:val="001230CD"/>
    <w:rsid w:val="00123832"/>
    <w:rsid w:val="001243E7"/>
    <w:rsid w:val="00126266"/>
    <w:rsid w:val="001309CD"/>
    <w:rsid w:val="00131604"/>
    <w:rsid w:val="001316BF"/>
    <w:rsid w:val="001345F2"/>
    <w:rsid w:val="00136977"/>
    <w:rsid w:val="00136E27"/>
    <w:rsid w:val="001411E1"/>
    <w:rsid w:val="00143E3A"/>
    <w:rsid w:val="00146950"/>
    <w:rsid w:val="001471DD"/>
    <w:rsid w:val="001511AA"/>
    <w:rsid w:val="0015315D"/>
    <w:rsid w:val="00154F7A"/>
    <w:rsid w:val="001574B1"/>
    <w:rsid w:val="00157581"/>
    <w:rsid w:val="00157F22"/>
    <w:rsid w:val="0016161F"/>
    <w:rsid w:val="00161D4D"/>
    <w:rsid w:val="001661A9"/>
    <w:rsid w:val="001718EB"/>
    <w:rsid w:val="00174194"/>
    <w:rsid w:val="0017492F"/>
    <w:rsid w:val="001764B8"/>
    <w:rsid w:val="001775DE"/>
    <w:rsid w:val="00180BE5"/>
    <w:rsid w:val="00181788"/>
    <w:rsid w:val="00182FFC"/>
    <w:rsid w:val="00184A10"/>
    <w:rsid w:val="001851A5"/>
    <w:rsid w:val="001941AE"/>
    <w:rsid w:val="001973F4"/>
    <w:rsid w:val="001976A7"/>
    <w:rsid w:val="001A14DB"/>
    <w:rsid w:val="001A15EF"/>
    <w:rsid w:val="001A4319"/>
    <w:rsid w:val="001A623D"/>
    <w:rsid w:val="001A6C88"/>
    <w:rsid w:val="001B0948"/>
    <w:rsid w:val="001B2020"/>
    <w:rsid w:val="001B2CF1"/>
    <w:rsid w:val="001B3701"/>
    <w:rsid w:val="001B6A0C"/>
    <w:rsid w:val="001C184A"/>
    <w:rsid w:val="001C1A6A"/>
    <w:rsid w:val="001C5C5F"/>
    <w:rsid w:val="001C7843"/>
    <w:rsid w:val="001D0745"/>
    <w:rsid w:val="001D76AE"/>
    <w:rsid w:val="001E050B"/>
    <w:rsid w:val="001E3A0F"/>
    <w:rsid w:val="001E64E5"/>
    <w:rsid w:val="001E6F69"/>
    <w:rsid w:val="001E7C8D"/>
    <w:rsid w:val="001E7E40"/>
    <w:rsid w:val="001F075B"/>
    <w:rsid w:val="001F3381"/>
    <w:rsid w:val="001F459A"/>
    <w:rsid w:val="001F698D"/>
    <w:rsid w:val="00201AB9"/>
    <w:rsid w:val="00203E14"/>
    <w:rsid w:val="0020738C"/>
    <w:rsid w:val="0021062D"/>
    <w:rsid w:val="00211729"/>
    <w:rsid w:val="0021398C"/>
    <w:rsid w:val="0021407F"/>
    <w:rsid w:val="00216EE8"/>
    <w:rsid w:val="002171EE"/>
    <w:rsid w:val="0021729C"/>
    <w:rsid w:val="002208D9"/>
    <w:rsid w:val="00224859"/>
    <w:rsid w:val="00227B49"/>
    <w:rsid w:val="0023040F"/>
    <w:rsid w:val="00232527"/>
    <w:rsid w:val="00233ECD"/>
    <w:rsid w:val="00235769"/>
    <w:rsid w:val="002358A6"/>
    <w:rsid w:val="002413E5"/>
    <w:rsid w:val="00241ABB"/>
    <w:rsid w:val="00242BBD"/>
    <w:rsid w:val="00242EB0"/>
    <w:rsid w:val="00243F1B"/>
    <w:rsid w:val="00245593"/>
    <w:rsid w:val="00246A77"/>
    <w:rsid w:val="00250882"/>
    <w:rsid w:val="00251065"/>
    <w:rsid w:val="00252768"/>
    <w:rsid w:val="002552D3"/>
    <w:rsid w:val="00256573"/>
    <w:rsid w:val="00261FD3"/>
    <w:rsid w:val="00262A87"/>
    <w:rsid w:val="00266068"/>
    <w:rsid w:val="00267002"/>
    <w:rsid w:val="0026792B"/>
    <w:rsid w:val="00271521"/>
    <w:rsid w:val="00273AAF"/>
    <w:rsid w:val="0027520E"/>
    <w:rsid w:val="00276728"/>
    <w:rsid w:val="00276BCC"/>
    <w:rsid w:val="002833B7"/>
    <w:rsid w:val="0028416A"/>
    <w:rsid w:val="00285818"/>
    <w:rsid w:val="00285958"/>
    <w:rsid w:val="0028633A"/>
    <w:rsid w:val="00287277"/>
    <w:rsid w:val="00287540"/>
    <w:rsid w:val="00287BFB"/>
    <w:rsid w:val="00290CB0"/>
    <w:rsid w:val="00291DB8"/>
    <w:rsid w:val="00291EC7"/>
    <w:rsid w:val="002951B2"/>
    <w:rsid w:val="00295D62"/>
    <w:rsid w:val="002A093C"/>
    <w:rsid w:val="002A25D3"/>
    <w:rsid w:val="002A323A"/>
    <w:rsid w:val="002A434E"/>
    <w:rsid w:val="002A58B2"/>
    <w:rsid w:val="002A5DCF"/>
    <w:rsid w:val="002A6C5D"/>
    <w:rsid w:val="002B1494"/>
    <w:rsid w:val="002B1689"/>
    <w:rsid w:val="002B25DE"/>
    <w:rsid w:val="002B3E76"/>
    <w:rsid w:val="002C166B"/>
    <w:rsid w:val="002C3DFA"/>
    <w:rsid w:val="002C56E3"/>
    <w:rsid w:val="002C69D1"/>
    <w:rsid w:val="002D2FC6"/>
    <w:rsid w:val="002D3FE1"/>
    <w:rsid w:val="002D4217"/>
    <w:rsid w:val="002D60F3"/>
    <w:rsid w:val="002D67F1"/>
    <w:rsid w:val="002E008A"/>
    <w:rsid w:val="002F5750"/>
    <w:rsid w:val="002F6792"/>
    <w:rsid w:val="002F74A8"/>
    <w:rsid w:val="00303CDE"/>
    <w:rsid w:val="00305175"/>
    <w:rsid w:val="00312425"/>
    <w:rsid w:val="0031348C"/>
    <w:rsid w:val="003134FB"/>
    <w:rsid w:val="003153AB"/>
    <w:rsid w:val="00316B55"/>
    <w:rsid w:val="00321EB7"/>
    <w:rsid w:val="00322E40"/>
    <w:rsid w:val="00325233"/>
    <w:rsid w:val="00326D8C"/>
    <w:rsid w:val="00327DFD"/>
    <w:rsid w:val="003331EC"/>
    <w:rsid w:val="00334A25"/>
    <w:rsid w:val="00335E2F"/>
    <w:rsid w:val="003437F1"/>
    <w:rsid w:val="003457D1"/>
    <w:rsid w:val="0035088C"/>
    <w:rsid w:val="00351430"/>
    <w:rsid w:val="0035383B"/>
    <w:rsid w:val="00354C84"/>
    <w:rsid w:val="00355DDC"/>
    <w:rsid w:val="00357148"/>
    <w:rsid w:val="00360138"/>
    <w:rsid w:val="00361588"/>
    <w:rsid w:val="003625D3"/>
    <w:rsid w:val="003631CA"/>
    <w:rsid w:val="003653AE"/>
    <w:rsid w:val="00366189"/>
    <w:rsid w:val="00366445"/>
    <w:rsid w:val="0036687C"/>
    <w:rsid w:val="00370B50"/>
    <w:rsid w:val="0037108D"/>
    <w:rsid w:val="00380D1C"/>
    <w:rsid w:val="0038118F"/>
    <w:rsid w:val="003823E6"/>
    <w:rsid w:val="00382F69"/>
    <w:rsid w:val="00384C1C"/>
    <w:rsid w:val="00385004"/>
    <w:rsid w:val="00386BF0"/>
    <w:rsid w:val="0038749C"/>
    <w:rsid w:val="0039163C"/>
    <w:rsid w:val="00392339"/>
    <w:rsid w:val="00395B01"/>
    <w:rsid w:val="00397581"/>
    <w:rsid w:val="003A0B08"/>
    <w:rsid w:val="003A130E"/>
    <w:rsid w:val="003A14B7"/>
    <w:rsid w:val="003A1DAF"/>
    <w:rsid w:val="003A4E2E"/>
    <w:rsid w:val="003B1462"/>
    <w:rsid w:val="003B57B4"/>
    <w:rsid w:val="003B57D2"/>
    <w:rsid w:val="003B6041"/>
    <w:rsid w:val="003C0F14"/>
    <w:rsid w:val="003C2AF0"/>
    <w:rsid w:val="003C3F06"/>
    <w:rsid w:val="003C5E88"/>
    <w:rsid w:val="003C6B75"/>
    <w:rsid w:val="003C70CA"/>
    <w:rsid w:val="003C7854"/>
    <w:rsid w:val="003D0296"/>
    <w:rsid w:val="003D398E"/>
    <w:rsid w:val="003D4E87"/>
    <w:rsid w:val="003D5949"/>
    <w:rsid w:val="003E1054"/>
    <w:rsid w:val="003E18DA"/>
    <w:rsid w:val="003E38A8"/>
    <w:rsid w:val="003E6737"/>
    <w:rsid w:val="003E6866"/>
    <w:rsid w:val="003F24E6"/>
    <w:rsid w:val="003F6D02"/>
    <w:rsid w:val="00402720"/>
    <w:rsid w:val="00403874"/>
    <w:rsid w:val="0040444C"/>
    <w:rsid w:val="004055F2"/>
    <w:rsid w:val="0041044D"/>
    <w:rsid w:val="00411054"/>
    <w:rsid w:val="00411604"/>
    <w:rsid w:val="00411E9D"/>
    <w:rsid w:val="004142CB"/>
    <w:rsid w:val="00414BCA"/>
    <w:rsid w:val="00415DA9"/>
    <w:rsid w:val="004169C6"/>
    <w:rsid w:val="0042027C"/>
    <w:rsid w:val="00421EF3"/>
    <w:rsid w:val="00422446"/>
    <w:rsid w:val="00425D1B"/>
    <w:rsid w:val="00431767"/>
    <w:rsid w:val="00434AA4"/>
    <w:rsid w:val="00436115"/>
    <w:rsid w:val="00437E2E"/>
    <w:rsid w:val="00452090"/>
    <w:rsid w:val="0045353A"/>
    <w:rsid w:val="00457F27"/>
    <w:rsid w:val="004631C3"/>
    <w:rsid w:val="00466BBD"/>
    <w:rsid w:val="004702A9"/>
    <w:rsid w:val="0047030B"/>
    <w:rsid w:val="00472BB7"/>
    <w:rsid w:val="00472D8C"/>
    <w:rsid w:val="00473C51"/>
    <w:rsid w:val="0047558A"/>
    <w:rsid w:val="00475695"/>
    <w:rsid w:val="00475777"/>
    <w:rsid w:val="00476E54"/>
    <w:rsid w:val="00477A77"/>
    <w:rsid w:val="0048359C"/>
    <w:rsid w:val="0048543F"/>
    <w:rsid w:val="00485902"/>
    <w:rsid w:val="00486872"/>
    <w:rsid w:val="00486888"/>
    <w:rsid w:val="00486BF2"/>
    <w:rsid w:val="00487307"/>
    <w:rsid w:val="00490D90"/>
    <w:rsid w:val="00491714"/>
    <w:rsid w:val="00492B21"/>
    <w:rsid w:val="00492B39"/>
    <w:rsid w:val="00493F3F"/>
    <w:rsid w:val="00494E11"/>
    <w:rsid w:val="0049705F"/>
    <w:rsid w:val="004A041E"/>
    <w:rsid w:val="004A1ABD"/>
    <w:rsid w:val="004A52E1"/>
    <w:rsid w:val="004A5433"/>
    <w:rsid w:val="004A5DFA"/>
    <w:rsid w:val="004A5F6C"/>
    <w:rsid w:val="004B13AC"/>
    <w:rsid w:val="004B1BD9"/>
    <w:rsid w:val="004B4070"/>
    <w:rsid w:val="004B560A"/>
    <w:rsid w:val="004B6484"/>
    <w:rsid w:val="004B6BA0"/>
    <w:rsid w:val="004B7EB5"/>
    <w:rsid w:val="004C0404"/>
    <w:rsid w:val="004C3788"/>
    <w:rsid w:val="004C438C"/>
    <w:rsid w:val="004D0273"/>
    <w:rsid w:val="004D3B8A"/>
    <w:rsid w:val="004D5782"/>
    <w:rsid w:val="004E0037"/>
    <w:rsid w:val="004E00FE"/>
    <w:rsid w:val="004E71FE"/>
    <w:rsid w:val="004E7F2C"/>
    <w:rsid w:val="004F07A5"/>
    <w:rsid w:val="004F4B6F"/>
    <w:rsid w:val="004F593D"/>
    <w:rsid w:val="004F738B"/>
    <w:rsid w:val="00503A8D"/>
    <w:rsid w:val="0050501C"/>
    <w:rsid w:val="00505B66"/>
    <w:rsid w:val="00506C48"/>
    <w:rsid w:val="0050774F"/>
    <w:rsid w:val="00507FF9"/>
    <w:rsid w:val="0051055B"/>
    <w:rsid w:val="00511E21"/>
    <w:rsid w:val="00513655"/>
    <w:rsid w:val="00513EAF"/>
    <w:rsid w:val="00515CC4"/>
    <w:rsid w:val="0052278F"/>
    <w:rsid w:val="005228C5"/>
    <w:rsid w:val="00523B75"/>
    <w:rsid w:val="00524A54"/>
    <w:rsid w:val="00524DE2"/>
    <w:rsid w:val="00526D67"/>
    <w:rsid w:val="00526ECE"/>
    <w:rsid w:val="00534633"/>
    <w:rsid w:val="00536985"/>
    <w:rsid w:val="00537F24"/>
    <w:rsid w:val="00537FBA"/>
    <w:rsid w:val="005445BE"/>
    <w:rsid w:val="005462B4"/>
    <w:rsid w:val="0054779C"/>
    <w:rsid w:val="00552085"/>
    <w:rsid w:val="00552E48"/>
    <w:rsid w:val="00553475"/>
    <w:rsid w:val="00555372"/>
    <w:rsid w:val="00557078"/>
    <w:rsid w:val="00563935"/>
    <w:rsid w:val="00571CC2"/>
    <w:rsid w:val="00572520"/>
    <w:rsid w:val="00572DAC"/>
    <w:rsid w:val="00572E8E"/>
    <w:rsid w:val="0057447D"/>
    <w:rsid w:val="00575014"/>
    <w:rsid w:val="005758EE"/>
    <w:rsid w:val="00576013"/>
    <w:rsid w:val="00577E49"/>
    <w:rsid w:val="005825D5"/>
    <w:rsid w:val="00586B48"/>
    <w:rsid w:val="00591072"/>
    <w:rsid w:val="005959DB"/>
    <w:rsid w:val="00597272"/>
    <w:rsid w:val="005A47E3"/>
    <w:rsid w:val="005B0C60"/>
    <w:rsid w:val="005B1DD9"/>
    <w:rsid w:val="005B21EC"/>
    <w:rsid w:val="005B6ABF"/>
    <w:rsid w:val="005B7FB6"/>
    <w:rsid w:val="005D13CD"/>
    <w:rsid w:val="005D1473"/>
    <w:rsid w:val="005D2ED1"/>
    <w:rsid w:val="005D35DA"/>
    <w:rsid w:val="005D490E"/>
    <w:rsid w:val="005D5222"/>
    <w:rsid w:val="005D66AF"/>
    <w:rsid w:val="005D6D09"/>
    <w:rsid w:val="005D7D99"/>
    <w:rsid w:val="005E1410"/>
    <w:rsid w:val="005E6F63"/>
    <w:rsid w:val="005F1BB4"/>
    <w:rsid w:val="005F21C3"/>
    <w:rsid w:val="005F4D08"/>
    <w:rsid w:val="005F5D90"/>
    <w:rsid w:val="005F60DF"/>
    <w:rsid w:val="005F768D"/>
    <w:rsid w:val="0060056D"/>
    <w:rsid w:val="00604365"/>
    <w:rsid w:val="006049A6"/>
    <w:rsid w:val="006055CF"/>
    <w:rsid w:val="006102F4"/>
    <w:rsid w:val="00610397"/>
    <w:rsid w:val="00610761"/>
    <w:rsid w:val="006108A9"/>
    <w:rsid w:val="006114AC"/>
    <w:rsid w:val="00611C87"/>
    <w:rsid w:val="0061242E"/>
    <w:rsid w:val="00614360"/>
    <w:rsid w:val="00616160"/>
    <w:rsid w:val="0061749A"/>
    <w:rsid w:val="0062208F"/>
    <w:rsid w:val="00623B07"/>
    <w:rsid w:val="006241CE"/>
    <w:rsid w:val="006251B1"/>
    <w:rsid w:val="00626788"/>
    <w:rsid w:val="006277D8"/>
    <w:rsid w:val="00632025"/>
    <w:rsid w:val="006323F3"/>
    <w:rsid w:val="00635D99"/>
    <w:rsid w:val="00635F2F"/>
    <w:rsid w:val="00636B6F"/>
    <w:rsid w:val="00636E8E"/>
    <w:rsid w:val="00637163"/>
    <w:rsid w:val="006378F6"/>
    <w:rsid w:val="00637AB7"/>
    <w:rsid w:val="00642B1C"/>
    <w:rsid w:val="00644712"/>
    <w:rsid w:val="00647918"/>
    <w:rsid w:val="00653CC5"/>
    <w:rsid w:val="0066044E"/>
    <w:rsid w:val="00660D50"/>
    <w:rsid w:val="00661A24"/>
    <w:rsid w:val="0066402E"/>
    <w:rsid w:val="006640D1"/>
    <w:rsid w:val="00664669"/>
    <w:rsid w:val="00666B7B"/>
    <w:rsid w:val="00666C29"/>
    <w:rsid w:val="00674550"/>
    <w:rsid w:val="00676AA9"/>
    <w:rsid w:val="00677CFE"/>
    <w:rsid w:val="00680AF6"/>
    <w:rsid w:val="00681C49"/>
    <w:rsid w:val="006874B5"/>
    <w:rsid w:val="006914A6"/>
    <w:rsid w:val="00693A5A"/>
    <w:rsid w:val="006966C7"/>
    <w:rsid w:val="0069682C"/>
    <w:rsid w:val="006A0234"/>
    <w:rsid w:val="006A0CF5"/>
    <w:rsid w:val="006A16CF"/>
    <w:rsid w:val="006A3105"/>
    <w:rsid w:val="006B064A"/>
    <w:rsid w:val="006B461E"/>
    <w:rsid w:val="006B466B"/>
    <w:rsid w:val="006C0245"/>
    <w:rsid w:val="006C10A2"/>
    <w:rsid w:val="006C1512"/>
    <w:rsid w:val="006C3CD2"/>
    <w:rsid w:val="006C4170"/>
    <w:rsid w:val="006C6D16"/>
    <w:rsid w:val="006C7EF0"/>
    <w:rsid w:val="006D1AE9"/>
    <w:rsid w:val="006D2B80"/>
    <w:rsid w:val="006E306F"/>
    <w:rsid w:val="006E5DD1"/>
    <w:rsid w:val="006E7B00"/>
    <w:rsid w:val="006F158C"/>
    <w:rsid w:val="006F18DE"/>
    <w:rsid w:val="006F1C42"/>
    <w:rsid w:val="006F395C"/>
    <w:rsid w:val="006F57CA"/>
    <w:rsid w:val="006F6D32"/>
    <w:rsid w:val="006F7AD7"/>
    <w:rsid w:val="0070002C"/>
    <w:rsid w:val="00702566"/>
    <w:rsid w:val="00706C16"/>
    <w:rsid w:val="00707280"/>
    <w:rsid w:val="007078AF"/>
    <w:rsid w:val="00710574"/>
    <w:rsid w:val="0071362A"/>
    <w:rsid w:val="00714040"/>
    <w:rsid w:val="007145A2"/>
    <w:rsid w:val="007155C8"/>
    <w:rsid w:val="00716078"/>
    <w:rsid w:val="007209EA"/>
    <w:rsid w:val="00723A02"/>
    <w:rsid w:val="0072522E"/>
    <w:rsid w:val="007261EB"/>
    <w:rsid w:val="00732FC7"/>
    <w:rsid w:val="0073471A"/>
    <w:rsid w:val="0073511D"/>
    <w:rsid w:val="0073560D"/>
    <w:rsid w:val="00740FE6"/>
    <w:rsid w:val="00741D66"/>
    <w:rsid w:val="00742397"/>
    <w:rsid w:val="007472CE"/>
    <w:rsid w:val="007479B6"/>
    <w:rsid w:val="00753633"/>
    <w:rsid w:val="00753CC2"/>
    <w:rsid w:val="00755753"/>
    <w:rsid w:val="007574B4"/>
    <w:rsid w:val="00762559"/>
    <w:rsid w:val="00762872"/>
    <w:rsid w:val="007642C5"/>
    <w:rsid w:val="00765063"/>
    <w:rsid w:val="007725CF"/>
    <w:rsid w:val="0077344A"/>
    <w:rsid w:val="00773A58"/>
    <w:rsid w:val="00773B79"/>
    <w:rsid w:val="00775A8C"/>
    <w:rsid w:val="00775AE6"/>
    <w:rsid w:val="00777359"/>
    <w:rsid w:val="00777F0B"/>
    <w:rsid w:val="00781DEB"/>
    <w:rsid w:val="007823B0"/>
    <w:rsid w:val="00782F6A"/>
    <w:rsid w:val="007840F8"/>
    <w:rsid w:val="0078618A"/>
    <w:rsid w:val="007866D7"/>
    <w:rsid w:val="007872AA"/>
    <w:rsid w:val="00790378"/>
    <w:rsid w:val="00793F7C"/>
    <w:rsid w:val="00797D9D"/>
    <w:rsid w:val="007A506E"/>
    <w:rsid w:val="007A674F"/>
    <w:rsid w:val="007B0420"/>
    <w:rsid w:val="007B2CB7"/>
    <w:rsid w:val="007B3355"/>
    <w:rsid w:val="007B448F"/>
    <w:rsid w:val="007B68D7"/>
    <w:rsid w:val="007B6B8A"/>
    <w:rsid w:val="007B6F5D"/>
    <w:rsid w:val="007C1247"/>
    <w:rsid w:val="007C2E50"/>
    <w:rsid w:val="007C4320"/>
    <w:rsid w:val="007C553D"/>
    <w:rsid w:val="007D1316"/>
    <w:rsid w:val="007D18D3"/>
    <w:rsid w:val="007D6B78"/>
    <w:rsid w:val="007E094B"/>
    <w:rsid w:val="007E1AEA"/>
    <w:rsid w:val="007E597F"/>
    <w:rsid w:val="007E5B19"/>
    <w:rsid w:val="007E62B8"/>
    <w:rsid w:val="007F0C5B"/>
    <w:rsid w:val="007F77FC"/>
    <w:rsid w:val="008040B6"/>
    <w:rsid w:val="00805A66"/>
    <w:rsid w:val="008069C8"/>
    <w:rsid w:val="008076AF"/>
    <w:rsid w:val="00807C5D"/>
    <w:rsid w:val="00810995"/>
    <w:rsid w:val="008143E2"/>
    <w:rsid w:val="0081605F"/>
    <w:rsid w:val="008252F1"/>
    <w:rsid w:val="00827C84"/>
    <w:rsid w:val="00831F55"/>
    <w:rsid w:val="00834C0A"/>
    <w:rsid w:val="0083795A"/>
    <w:rsid w:val="0084055B"/>
    <w:rsid w:val="008408EC"/>
    <w:rsid w:val="00841057"/>
    <w:rsid w:val="00841989"/>
    <w:rsid w:val="00842D0E"/>
    <w:rsid w:val="0085585B"/>
    <w:rsid w:val="00855C5F"/>
    <w:rsid w:val="008574AB"/>
    <w:rsid w:val="00857626"/>
    <w:rsid w:val="00860B0D"/>
    <w:rsid w:val="00861260"/>
    <w:rsid w:val="00863E83"/>
    <w:rsid w:val="00874565"/>
    <w:rsid w:val="008758F8"/>
    <w:rsid w:val="00880993"/>
    <w:rsid w:val="008847CB"/>
    <w:rsid w:val="00885FD1"/>
    <w:rsid w:val="00886BE0"/>
    <w:rsid w:val="008878EC"/>
    <w:rsid w:val="0089185A"/>
    <w:rsid w:val="00891AB2"/>
    <w:rsid w:val="00892181"/>
    <w:rsid w:val="00892291"/>
    <w:rsid w:val="008937CD"/>
    <w:rsid w:val="00893DC4"/>
    <w:rsid w:val="00894538"/>
    <w:rsid w:val="00894BBC"/>
    <w:rsid w:val="008954D2"/>
    <w:rsid w:val="0089598C"/>
    <w:rsid w:val="00895B81"/>
    <w:rsid w:val="008962D1"/>
    <w:rsid w:val="008A0D1B"/>
    <w:rsid w:val="008A2E29"/>
    <w:rsid w:val="008A3549"/>
    <w:rsid w:val="008A3A64"/>
    <w:rsid w:val="008A4579"/>
    <w:rsid w:val="008A5A99"/>
    <w:rsid w:val="008A5EFA"/>
    <w:rsid w:val="008A6916"/>
    <w:rsid w:val="008A7D7B"/>
    <w:rsid w:val="008B0FCD"/>
    <w:rsid w:val="008B3E64"/>
    <w:rsid w:val="008B4687"/>
    <w:rsid w:val="008B537C"/>
    <w:rsid w:val="008B5693"/>
    <w:rsid w:val="008B692D"/>
    <w:rsid w:val="008C44C3"/>
    <w:rsid w:val="008C4DF8"/>
    <w:rsid w:val="008C6B6B"/>
    <w:rsid w:val="008C7078"/>
    <w:rsid w:val="008C71F3"/>
    <w:rsid w:val="008D0CEA"/>
    <w:rsid w:val="008D1F8E"/>
    <w:rsid w:val="008D2629"/>
    <w:rsid w:val="008D2C0C"/>
    <w:rsid w:val="008D507C"/>
    <w:rsid w:val="008D56E3"/>
    <w:rsid w:val="008D5886"/>
    <w:rsid w:val="008E21DA"/>
    <w:rsid w:val="008E2EA2"/>
    <w:rsid w:val="008E44E9"/>
    <w:rsid w:val="008E4DDF"/>
    <w:rsid w:val="008F0304"/>
    <w:rsid w:val="008F3B33"/>
    <w:rsid w:val="008F40A2"/>
    <w:rsid w:val="008F5201"/>
    <w:rsid w:val="00901D9C"/>
    <w:rsid w:val="0090243D"/>
    <w:rsid w:val="00905DBC"/>
    <w:rsid w:val="00905FDC"/>
    <w:rsid w:val="00910817"/>
    <w:rsid w:val="00913DD3"/>
    <w:rsid w:val="00914895"/>
    <w:rsid w:val="00915AAB"/>
    <w:rsid w:val="0091663F"/>
    <w:rsid w:val="0091668D"/>
    <w:rsid w:val="00924AB5"/>
    <w:rsid w:val="00924DD4"/>
    <w:rsid w:val="009251EC"/>
    <w:rsid w:val="00925414"/>
    <w:rsid w:val="00926054"/>
    <w:rsid w:val="0093152D"/>
    <w:rsid w:val="00931611"/>
    <w:rsid w:val="00931F4E"/>
    <w:rsid w:val="00931F65"/>
    <w:rsid w:val="0093210E"/>
    <w:rsid w:val="00932F1F"/>
    <w:rsid w:val="00934C3E"/>
    <w:rsid w:val="00934C40"/>
    <w:rsid w:val="00935274"/>
    <w:rsid w:val="0093601E"/>
    <w:rsid w:val="0093659D"/>
    <w:rsid w:val="00941A81"/>
    <w:rsid w:val="0094254B"/>
    <w:rsid w:val="00943083"/>
    <w:rsid w:val="009436DB"/>
    <w:rsid w:val="0094399B"/>
    <w:rsid w:val="00944DB0"/>
    <w:rsid w:val="00947E0E"/>
    <w:rsid w:val="009510FB"/>
    <w:rsid w:val="00952089"/>
    <w:rsid w:val="00954064"/>
    <w:rsid w:val="0095689C"/>
    <w:rsid w:val="00956DA9"/>
    <w:rsid w:val="00956EA1"/>
    <w:rsid w:val="00960CDB"/>
    <w:rsid w:val="00962149"/>
    <w:rsid w:val="00962F01"/>
    <w:rsid w:val="00964D67"/>
    <w:rsid w:val="009666E7"/>
    <w:rsid w:val="00967018"/>
    <w:rsid w:val="00967227"/>
    <w:rsid w:val="0096754C"/>
    <w:rsid w:val="009711C3"/>
    <w:rsid w:val="00971A6B"/>
    <w:rsid w:val="009737B5"/>
    <w:rsid w:val="00975C02"/>
    <w:rsid w:val="009810FF"/>
    <w:rsid w:val="00981D6B"/>
    <w:rsid w:val="009837E9"/>
    <w:rsid w:val="009853A1"/>
    <w:rsid w:val="009859FB"/>
    <w:rsid w:val="0099002A"/>
    <w:rsid w:val="00991359"/>
    <w:rsid w:val="0099604B"/>
    <w:rsid w:val="00997D6D"/>
    <w:rsid w:val="009A03C0"/>
    <w:rsid w:val="009A0448"/>
    <w:rsid w:val="009A2012"/>
    <w:rsid w:val="009A5D64"/>
    <w:rsid w:val="009A6BDA"/>
    <w:rsid w:val="009B0445"/>
    <w:rsid w:val="009B1D1E"/>
    <w:rsid w:val="009B6D2A"/>
    <w:rsid w:val="009C038C"/>
    <w:rsid w:val="009D2FDE"/>
    <w:rsid w:val="009D4BCE"/>
    <w:rsid w:val="009D5F2D"/>
    <w:rsid w:val="009E12D8"/>
    <w:rsid w:val="009E14F1"/>
    <w:rsid w:val="009E1E7F"/>
    <w:rsid w:val="009E217E"/>
    <w:rsid w:val="009E40B2"/>
    <w:rsid w:val="009F1B05"/>
    <w:rsid w:val="009F2CA9"/>
    <w:rsid w:val="009F363E"/>
    <w:rsid w:val="009F4EE8"/>
    <w:rsid w:val="00A033B4"/>
    <w:rsid w:val="00A04F31"/>
    <w:rsid w:val="00A05BEB"/>
    <w:rsid w:val="00A06B71"/>
    <w:rsid w:val="00A06F69"/>
    <w:rsid w:val="00A076EB"/>
    <w:rsid w:val="00A128FF"/>
    <w:rsid w:val="00A12938"/>
    <w:rsid w:val="00A15C0A"/>
    <w:rsid w:val="00A16482"/>
    <w:rsid w:val="00A1781D"/>
    <w:rsid w:val="00A221AE"/>
    <w:rsid w:val="00A22D4E"/>
    <w:rsid w:val="00A23012"/>
    <w:rsid w:val="00A272DD"/>
    <w:rsid w:val="00A34309"/>
    <w:rsid w:val="00A346D4"/>
    <w:rsid w:val="00A35C45"/>
    <w:rsid w:val="00A36B70"/>
    <w:rsid w:val="00A36C33"/>
    <w:rsid w:val="00A36D12"/>
    <w:rsid w:val="00A448F1"/>
    <w:rsid w:val="00A45456"/>
    <w:rsid w:val="00A477CF"/>
    <w:rsid w:val="00A526BE"/>
    <w:rsid w:val="00A53239"/>
    <w:rsid w:val="00A56882"/>
    <w:rsid w:val="00A611B6"/>
    <w:rsid w:val="00A65A83"/>
    <w:rsid w:val="00A66D10"/>
    <w:rsid w:val="00A70EBB"/>
    <w:rsid w:val="00A715DA"/>
    <w:rsid w:val="00A730E1"/>
    <w:rsid w:val="00A73FFF"/>
    <w:rsid w:val="00A81398"/>
    <w:rsid w:val="00A81B2A"/>
    <w:rsid w:val="00A81E97"/>
    <w:rsid w:val="00A92B19"/>
    <w:rsid w:val="00A93A12"/>
    <w:rsid w:val="00A94D06"/>
    <w:rsid w:val="00A96C2F"/>
    <w:rsid w:val="00AA0497"/>
    <w:rsid w:val="00AA6E33"/>
    <w:rsid w:val="00AB12F9"/>
    <w:rsid w:val="00AB26B9"/>
    <w:rsid w:val="00AB318F"/>
    <w:rsid w:val="00AB41B8"/>
    <w:rsid w:val="00AB4CB1"/>
    <w:rsid w:val="00AB6586"/>
    <w:rsid w:val="00AC183D"/>
    <w:rsid w:val="00AC2273"/>
    <w:rsid w:val="00AC5904"/>
    <w:rsid w:val="00AC6DFC"/>
    <w:rsid w:val="00AD33EA"/>
    <w:rsid w:val="00AD3472"/>
    <w:rsid w:val="00AD34FA"/>
    <w:rsid w:val="00AD3FD2"/>
    <w:rsid w:val="00AD4D92"/>
    <w:rsid w:val="00AD54E4"/>
    <w:rsid w:val="00AD5D8D"/>
    <w:rsid w:val="00AD683C"/>
    <w:rsid w:val="00AD6D63"/>
    <w:rsid w:val="00AD73BC"/>
    <w:rsid w:val="00AD7449"/>
    <w:rsid w:val="00AE0B4E"/>
    <w:rsid w:val="00AE1D76"/>
    <w:rsid w:val="00AE23A2"/>
    <w:rsid w:val="00AE3DAD"/>
    <w:rsid w:val="00AE4348"/>
    <w:rsid w:val="00AE518B"/>
    <w:rsid w:val="00AE71A4"/>
    <w:rsid w:val="00AE7D6F"/>
    <w:rsid w:val="00AF0677"/>
    <w:rsid w:val="00AF14D1"/>
    <w:rsid w:val="00AF19B0"/>
    <w:rsid w:val="00AF337C"/>
    <w:rsid w:val="00B001BB"/>
    <w:rsid w:val="00B0558A"/>
    <w:rsid w:val="00B07BE9"/>
    <w:rsid w:val="00B1367D"/>
    <w:rsid w:val="00B13C5F"/>
    <w:rsid w:val="00B13DB7"/>
    <w:rsid w:val="00B17432"/>
    <w:rsid w:val="00B1771F"/>
    <w:rsid w:val="00B17C70"/>
    <w:rsid w:val="00B207B4"/>
    <w:rsid w:val="00B2377B"/>
    <w:rsid w:val="00B3021B"/>
    <w:rsid w:val="00B34D65"/>
    <w:rsid w:val="00B351E4"/>
    <w:rsid w:val="00B40F51"/>
    <w:rsid w:val="00B435F8"/>
    <w:rsid w:val="00B5128F"/>
    <w:rsid w:val="00B53F1F"/>
    <w:rsid w:val="00B55FF5"/>
    <w:rsid w:val="00B66433"/>
    <w:rsid w:val="00B66D6F"/>
    <w:rsid w:val="00B6731B"/>
    <w:rsid w:val="00B711EA"/>
    <w:rsid w:val="00B731F9"/>
    <w:rsid w:val="00B7684F"/>
    <w:rsid w:val="00B76BD8"/>
    <w:rsid w:val="00B816FA"/>
    <w:rsid w:val="00B82F72"/>
    <w:rsid w:val="00B83674"/>
    <w:rsid w:val="00B9040E"/>
    <w:rsid w:val="00B93173"/>
    <w:rsid w:val="00B9513B"/>
    <w:rsid w:val="00B962FA"/>
    <w:rsid w:val="00B9697F"/>
    <w:rsid w:val="00BA20FA"/>
    <w:rsid w:val="00BA27A5"/>
    <w:rsid w:val="00BA2D89"/>
    <w:rsid w:val="00BA3E01"/>
    <w:rsid w:val="00BA5D76"/>
    <w:rsid w:val="00BA7EE6"/>
    <w:rsid w:val="00BB34B0"/>
    <w:rsid w:val="00BB366A"/>
    <w:rsid w:val="00BB4747"/>
    <w:rsid w:val="00BB4BDA"/>
    <w:rsid w:val="00BC0A52"/>
    <w:rsid w:val="00BC39E3"/>
    <w:rsid w:val="00BC44E1"/>
    <w:rsid w:val="00BC4F4D"/>
    <w:rsid w:val="00BC6735"/>
    <w:rsid w:val="00BD272D"/>
    <w:rsid w:val="00BD2E7C"/>
    <w:rsid w:val="00BD30CF"/>
    <w:rsid w:val="00BD3D7E"/>
    <w:rsid w:val="00BD4454"/>
    <w:rsid w:val="00BD521A"/>
    <w:rsid w:val="00BD57F2"/>
    <w:rsid w:val="00BD756C"/>
    <w:rsid w:val="00BD78D7"/>
    <w:rsid w:val="00BE31F9"/>
    <w:rsid w:val="00BE378C"/>
    <w:rsid w:val="00BE3BBB"/>
    <w:rsid w:val="00BE450A"/>
    <w:rsid w:val="00BE4DF4"/>
    <w:rsid w:val="00BE5635"/>
    <w:rsid w:val="00BE6B03"/>
    <w:rsid w:val="00BE6C9D"/>
    <w:rsid w:val="00BF042B"/>
    <w:rsid w:val="00BF2707"/>
    <w:rsid w:val="00BF3701"/>
    <w:rsid w:val="00BF56B5"/>
    <w:rsid w:val="00BF654D"/>
    <w:rsid w:val="00BF74CF"/>
    <w:rsid w:val="00C004B9"/>
    <w:rsid w:val="00C010A2"/>
    <w:rsid w:val="00C02DF1"/>
    <w:rsid w:val="00C1087D"/>
    <w:rsid w:val="00C127FB"/>
    <w:rsid w:val="00C137DF"/>
    <w:rsid w:val="00C1570B"/>
    <w:rsid w:val="00C16459"/>
    <w:rsid w:val="00C208E6"/>
    <w:rsid w:val="00C23071"/>
    <w:rsid w:val="00C26DCE"/>
    <w:rsid w:val="00C37651"/>
    <w:rsid w:val="00C378F8"/>
    <w:rsid w:val="00C37937"/>
    <w:rsid w:val="00C41775"/>
    <w:rsid w:val="00C446E3"/>
    <w:rsid w:val="00C45C19"/>
    <w:rsid w:val="00C46035"/>
    <w:rsid w:val="00C46C76"/>
    <w:rsid w:val="00C47755"/>
    <w:rsid w:val="00C50157"/>
    <w:rsid w:val="00C50FFF"/>
    <w:rsid w:val="00C55531"/>
    <w:rsid w:val="00C6065C"/>
    <w:rsid w:val="00C6219B"/>
    <w:rsid w:val="00C6251D"/>
    <w:rsid w:val="00C64BFE"/>
    <w:rsid w:val="00C6668F"/>
    <w:rsid w:val="00C667C8"/>
    <w:rsid w:val="00C6789B"/>
    <w:rsid w:val="00C706FB"/>
    <w:rsid w:val="00C717D7"/>
    <w:rsid w:val="00C75A64"/>
    <w:rsid w:val="00C822DD"/>
    <w:rsid w:val="00C839D2"/>
    <w:rsid w:val="00C84577"/>
    <w:rsid w:val="00C84E0C"/>
    <w:rsid w:val="00C90230"/>
    <w:rsid w:val="00C90E0D"/>
    <w:rsid w:val="00C9174A"/>
    <w:rsid w:val="00C91DD4"/>
    <w:rsid w:val="00C96009"/>
    <w:rsid w:val="00CA003E"/>
    <w:rsid w:val="00CA0A38"/>
    <w:rsid w:val="00CA13FC"/>
    <w:rsid w:val="00CA15A6"/>
    <w:rsid w:val="00CA2B95"/>
    <w:rsid w:val="00CA43DE"/>
    <w:rsid w:val="00CA4B46"/>
    <w:rsid w:val="00CA5AC6"/>
    <w:rsid w:val="00CA7C8B"/>
    <w:rsid w:val="00CB2AB0"/>
    <w:rsid w:val="00CB32DA"/>
    <w:rsid w:val="00CB38A2"/>
    <w:rsid w:val="00CB49EA"/>
    <w:rsid w:val="00CB4B3D"/>
    <w:rsid w:val="00CB50C6"/>
    <w:rsid w:val="00CB78BB"/>
    <w:rsid w:val="00CC5FD1"/>
    <w:rsid w:val="00CC6D11"/>
    <w:rsid w:val="00CD56C4"/>
    <w:rsid w:val="00CD6F14"/>
    <w:rsid w:val="00CE1931"/>
    <w:rsid w:val="00CE1CB1"/>
    <w:rsid w:val="00CE320D"/>
    <w:rsid w:val="00CE554F"/>
    <w:rsid w:val="00CE7E6E"/>
    <w:rsid w:val="00CF6CB9"/>
    <w:rsid w:val="00D03E97"/>
    <w:rsid w:val="00D052DB"/>
    <w:rsid w:val="00D06544"/>
    <w:rsid w:val="00D06EDA"/>
    <w:rsid w:val="00D07211"/>
    <w:rsid w:val="00D103EB"/>
    <w:rsid w:val="00D10D80"/>
    <w:rsid w:val="00D134C7"/>
    <w:rsid w:val="00D145C9"/>
    <w:rsid w:val="00D14ED3"/>
    <w:rsid w:val="00D17595"/>
    <w:rsid w:val="00D20D90"/>
    <w:rsid w:val="00D26E12"/>
    <w:rsid w:val="00D33308"/>
    <w:rsid w:val="00D35E29"/>
    <w:rsid w:val="00D36B2D"/>
    <w:rsid w:val="00D40D56"/>
    <w:rsid w:val="00D5199D"/>
    <w:rsid w:val="00D557F0"/>
    <w:rsid w:val="00D55D5D"/>
    <w:rsid w:val="00D5633E"/>
    <w:rsid w:val="00D57EFB"/>
    <w:rsid w:val="00D633EE"/>
    <w:rsid w:val="00D645FA"/>
    <w:rsid w:val="00D64C12"/>
    <w:rsid w:val="00D65608"/>
    <w:rsid w:val="00D66080"/>
    <w:rsid w:val="00D67E05"/>
    <w:rsid w:val="00D70201"/>
    <w:rsid w:val="00D71201"/>
    <w:rsid w:val="00D7227D"/>
    <w:rsid w:val="00D75227"/>
    <w:rsid w:val="00D75CEE"/>
    <w:rsid w:val="00D80381"/>
    <w:rsid w:val="00D815C1"/>
    <w:rsid w:val="00D81BEF"/>
    <w:rsid w:val="00D83EB7"/>
    <w:rsid w:val="00D8414F"/>
    <w:rsid w:val="00D86AB6"/>
    <w:rsid w:val="00D86D2E"/>
    <w:rsid w:val="00D875DE"/>
    <w:rsid w:val="00D87918"/>
    <w:rsid w:val="00D87A14"/>
    <w:rsid w:val="00D92F70"/>
    <w:rsid w:val="00D96715"/>
    <w:rsid w:val="00DA11F8"/>
    <w:rsid w:val="00DA52C8"/>
    <w:rsid w:val="00DA7075"/>
    <w:rsid w:val="00DB1F91"/>
    <w:rsid w:val="00DB2575"/>
    <w:rsid w:val="00DB3A7D"/>
    <w:rsid w:val="00DB4225"/>
    <w:rsid w:val="00DB46A8"/>
    <w:rsid w:val="00DB4AB2"/>
    <w:rsid w:val="00DB512D"/>
    <w:rsid w:val="00DB5A37"/>
    <w:rsid w:val="00DB691B"/>
    <w:rsid w:val="00DC3274"/>
    <w:rsid w:val="00DC3E78"/>
    <w:rsid w:val="00DC4775"/>
    <w:rsid w:val="00DC78B0"/>
    <w:rsid w:val="00DD0746"/>
    <w:rsid w:val="00DD5904"/>
    <w:rsid w:val="00DD6258"/>
    <w:rsid w:val="00DD6D17"/>
    <w:rsid w:val="00DD78B6"/>
    <w:rsid w:val="00DE0CB6"/>
    <w:rsid w:val="00DE3BD0"/>
    <w:rsid w:val="00DE44DD"/>
    <w:rsid w:val="00DF58ED"/>
    <w:rsid w:val="00E01E4D"/>
    <w:rsid w:val="00E02652"/>
    <w:rsid w:val="00E05AB6"/>
    <w:rsid w:val="00E13E0F"/>
    <w:rsid w:val="00E14E15"/>
    <w:rsid w:val="00E153D4"/>
    <w:rsid w:val="00E15D7A"/>
    <w:rsid w:val="00E17D3D"/>
    <w:rsid w:val="00E21BC6"/>
    <w:rsid w:val="00E2353A"/>
    <w:rsid w:val="00E23889"/>
    <w:rsid w:val="00E23D17"/>
    <w:rsid w:val="00E244D1"/>
    <w:rsid w:val="00E2466C"/>
    <w:rsid w:val="00E251E5"/>
    <w:rsid w:val="00E25FAD"/>
    <w:rsid w:val="00E32D5C"/>
    <w:rsid w:val="00E34005"/>
    <w:rsid w:val="00E3701B"/>
    <w:rsid w:val="00E40F1E"/>
    <w:rsid w:val="00E43FE2"/>
    <w:rsid w:val="00E4512C"/>
    <w:rsid w:val="00E51B9D"/>
    <w:rsid w:val="00E51FAC"/>
    <w:rsid w:val="00E55FDB"/>
    <w:rsid w:val="00E5657A"/>
    <w:rsid w:val="00E66954"/>
    <w:rsid w:val="00E66F51"/>
    <w:rsid w:val="00E75CC8"/>
    <w:rsid w:val="00E80B45"/>
    <w:rsid w:val="00E8166F"/>
    <w:rsid w:val="00E85701"/>
    <w:rsid w:val="00E87786"/>
    <w:rsid w:val="00E87D44"/>
    <w:rsid w:val="00E92173"/>
    <w:rsid w:val="00E93D0D"/>
    <w:rsid w:val="00E95B55"/>
    <w:rsid w:val="00E95E0B"/>
    <w:rsid w:val="00EA085A"/>
    <w:rsid w:val="00EA0F13"/>
    <w:rsid w:val="00EA1667"/>
    <w:rsid w:val="00EA278B"/>
    <w:rsid w:val="00EA3740"/>
    <w:rsid w:val="00EA403B"/>
    <w:rsid w:val="00EB28C0"/>
    <w:rsid w:val="00EB2944"/>
    <w:rsid w:val="00EB31C8"/>
    <w:rsid w:val="00EB54CD"/>
    <w:rsid w:val="00EB5588"/>
    <w:rsid w:val="00EB6BF7"/>
    <w:rsid w:val="00EC0053"/>
    <w:rsid w:val="00EC0786"/>
    <w:rsid w:val="00EC1268"/>
    <w:rsid w:val="00EC1B0D"/>
    <w:rsid w:val="00EC4183"/>
    <w:rsid w:val="00EC4696"/>
    <w:rsid w:val="00EC5419"/>
    <w:rsid w:val="00ED1993"/>
    <w:rsid w:val="00ED1A19"/>
    <w:rsid w:val="00ED6110"/>
    <w:rsid w:val="00ED6964"/>
    <w:rsid w:val="00ED7B99"/>
    <w:rsid w:val="00ED7CED"/>
    <w:rsid w:val="00EE156C"/>
    <w:rsid w:val="00EE1811"/>
    <w:rsid w:val="00EE3C68"/>
    <w:rsid w:val="00EE50B4"/>
    <w:rsid w:val="00EE6A42"/>
    <w:rsid w:val="00EE7578"/>
    <w:rsid w:val="00EF0A22"/>
    <w:rsid w:val="00EF2089"/>
    <w:rsid w:val="00EF3A4D"/>
    <w:rsid w:val="00EF3BAF"/>
    <w:rsid w:val="00EF408A"/>
    <w:rsid w:val="00EF42B3"/>
    <w:rsid w:val="00EF42D5"/>
    <w:rsid w:val="00EF5AF9"/>
    <w:rsid w:val="00EF6BB5"/>
    <w:rsid w:val="00F00943"/>
    <w:rsid w:val="00F040A9"/>
    <w:rsid w:val="00F06280"/>
    <w:rsid w:val="00F119C9"/>
    <w:rsid w:val="00F12154"/>
    <w:rsid w:val="00F26821"/>
    <w:rsid w:val="00F30681"/>
    <w:rsid w:val="00F344D8"/>
    <w:rsid w:val="00F35F02"/>
    <w:rsid w:val="00F46F02"/>
    <w:rsid w:val="00F479AB"/>
    <w:rsid w:val="00F523D3"/>
    <w:rsid w:val="00F5533C"/>
    <w:rsid w:val="00F5639E"/>
    <w:rsid w:val="00F57917"/>
    <w:rsid w:val="00F61C0F"/>
    <w:rsid w:val="00F61DB2"/>
    <w:rsid w:val="00F63DEE"/>
    <w:rsid w:val="00F66572"/>
    <w:rsid w:val="00F70482"/>
    <w:rsid w:val="00F71999"/>
    <w:rsid w:val="00F72835"/>
    <w:rsid w:val="00F7680C"/>
    <w:rsid w:val="00F8223D"/>
    <w:rsid w:val="00F8323C"/>
    <w:rsid w:val="00F841A9"/>
    <w:rsid w:val="00F86A41"/>
    <w:rsid w:val="00F90AF7"/>
    <w:rsid w:val="00F918DF"/>
    <w:rsid w:val="00F92E3E"/>
    <w:rsid w:val="00F9336A"/>
    <w:rsid w:val="00F93690"/>
    <w:rsid w:val="00F94A97"/>
    <w:rsid w:val="00F94B7D"/>
    <w:rsid w:val="00F94F9F"/>
    <w:rsid w:val="00F970A5"/>
    <w:rsid w:val="00F972E2"/>
    <w:rsid w:val="00F97D4E"/>
    <w:rsid w:val="00FA023C"/>
    <w:rsid w:val="00FA09A4"/>
    <w:rsid w:val="00FA208D"/>
    <w:rsid w:val="00FA48F2"/>
    <w:rsid w:val="00FB3CF3"/>
    <w:rsid w:val="00FB7C35"/>
    <w:rsid w:val="00FC36BB"/>
    <w:rsid w:val="00FC522D"/>
    <w:rsid w:val="00FC5265"/>
    <w:rsid w:val="00FD48BF"/>
    <w:rsid w:val="00FD66DC"/>
    <w:rsid w:val="00FD735F"/>
    <w:rsid w:val="00FE0A52"/>
    <w:rsid w:val="00FE2280"/>
    <w:rsid w:val="00FE2A11"/>
    <w:rsid w:val="00FE7102"/>
    <w:rsid w:val="00FF5623"/>
    <w:rsid w:val="00FF6B41"/>
    <w:rsid w:val="00FF7FC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A3478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9A6"/>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basedOn w:val="Normal"/>
    <w:qFormat/>
    <w:rsid w:val="000E4317"/>
    <w:pPr>
      <w:suppressAutoHyphens/>
      <w:spacing w:after="0" w:line="240" w:lineRule="auto"/>
      <w:jc w:val="center"/>
    </w:pPr>
    <w:rPr>
      <w:rFonts w:ascii="Times New Roman" w:hAnsi="Times New Roman"/>
      <w:b/>
      <w:lang w:val="da-DK"/>
    </w:rPr>
  </w:style>
  <w:style w:type="table" w:customStyle="1" w:styleId="TableGrid1">
    <w:name w:val="Table Grid1"/>
    <w:basedOn w:val="TableNormal"/>
    <w:next w:val="TableGrid"/>
    <w:uiPriority w:val="39"/>
    <w:rsid w:val="00AF337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3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337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F337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B3D"/>
    <w:pPr>
      <w:ind w:left="720"/>
      <w:contextualSpacing/>
    </w:pPr>
  </w:style>
  <w:style w:type="table" w:customStyle="1" w:styleId="TableGrid4">
    <w:name w:val="Table Grid4"/>
    <w:basedOn w:val="TableNormal"/>
    <w:next w:val="TableGrid"/>
    <w:uiPriority w:val="39"/>
    <w:rsid w:val="009F1B0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B12F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B12F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2E1"/>
  </w:style>
  <w:style w:type="paragraph" w:styleId="Footer">
    <w:name w:val="footer"/>
    <w:basedOn w:val="Normal"/>
    <w:link w:val="FooterChar"/>
    <w:uiPriority w:val="99"/>
    <w:unhideWhenUsed/>
    <w:rsid w:val="004A5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2E1"/>
  </w:style>
  <w:style w:type="paragraph" w:customStyle="1" w:styleId="Default">
    <w:name w:val="Default"/>
    <w:rsid w:val="00CF6CB9"/>
    <w:pPr>
      <w:autoSpaceDE w:val="0"/>
      <w:autoSpaceDN w:val="0"/>
      <w:adjustRightInd w:val="0"/>
    </w:pPr>
    <w:rPr>
      <w:rFonts w:ascii="Times New Roman" w:hAnsi="Times New Roman" w:cs="Times New Roman"/>
      <w:color w:val="000000"/>
      <w:sz w:val="24"/>
      <w:szCs w:val="24"/>
      <w:lang w:val="en-US" w:eastAsia="en-US"/>
    </w:rPr>
  </w:style>
  <w:style w:type="paragraph" w:styleId="Revision">
    <w:name w:val="Revision"/>
    <w:hidden/>
    <w:uiPriority w:val="99"/>
    <w:semiHidden/>
    <w:rsid w:val="00EA085A"/>
    <w:rPr>
      <w:sz w:val="22"/>
      <w:szCs w:val="22"/>
      <w:lang w:val="en-US" w:eastAsia="en-US"/>
    </w:rPr>
  </w:style>
  <w:style w:type="character" w:styleId="Hyperlink">
    <w:name w:val="Hyperlink"/>
    <w:unhideWhenUsed/>
    <w:rsid w:val="00A15C0A"/>
    <w:rPr>
      <w:color w:val="0563C1"/>
      <w:u w:val="single"/>
    </w:rPr>
  </w:style>
  <w:style w:type="character" w:styleId="CommentReference">
    <w:name w:val="annotation reference"/>
    <w:uiPriority w:val="99"/>
    <w:rsid w:val="002833B7"/>
    <w:rPr>
      <w:sz w:val="16"/>
      <w:szCs w:val="16"/>
    </w:rPr>
  </w:style>
  <w:style w:type="paragraph" w:customStyle="1" w:styleId="lbltxt">
    <w:name w:val="lbltxt"/>
    <w:rsid w:val="002833B7"/>
    <w:rPr>
      <w:rFonts w:ascii="Times New Roman" w:eastAsia="Times New Roman" w:hAnsi="Times New Roman" w:cs="Times New Roman"/>
      <w:noProof/>
      <w:sz w:val="22"/>
      <w:lang w:val="en-GB" w:eastAsia="en-US"/>
    </w:rPr>
  </w:style>
  <w:style w:type="character" w:customStyle="1" w:styleId="Initial">
    <w:name w:val="Initial"/>
    <w:rsid w:val="002833B7"/>
    <w:rPr>
      <w:rFonts w:ascii="CG Times" w:hAnsi="CG Times" w:cs="CG Times" w:hint="default"/>
      <w:noProof w:val="0"/>
      <w:sz w:val="24"/>
      <w:lang w:val="da-DK"/>
    </w:rPr>
  </w:style>
  <w:style w:type="character" w:styleId="Strong">
    <w:name w:val="Strong"/>
    <w:qFormat/>
    <w:rsid w:val="002833B7"/>
    <w:rPr>
      <w:b/>
      <w:bCs/>
    </w:rPr>
  </w:style>
  <w:style w:type="paragraph" w:styleId="BalloonText">
    <w:name w:val="Balloon Text"/>
    <w:basedOn w:val="Normal"/>
    <w:link w:val="BalloonTextChar"/>
    <w:uiPriority w:val="99"/>
    <w:semiHidden/>
    <w:unhideWhenUsed/>
    <w:rsid w:val="00F5791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57917"/>
    <w:rPr>
      <w:rFonts w:ascii="Segoe UI" w:hAnsi="Segoe UI" w:cs="Segoe UI"/>
      <w:sz w:val="18"/>
      <w:szCs w:val="18"/>
    </w:rPr>
  </w:style>
  <w:style w:type="paragraph" w:styleId="CommentText">
    <w:name w:val="annotation text"/>
    <w:basedOn w:val="Normal"/>
    <w:link w:val="CommentTextChar"/>
    <w:uiPriority w:val="99"/>
    <w:unhideWhenUsed/>
    <w:rsid w:val="00552085"/>
    <w:pPr>
      <w:spacing w:line="240" w:lineRule="auto"/>
    </w:pPr>
    <w:rPr>
      <w:sz w:val="20"/>
      <w:szCs w:val="20"/>
    </w:rPr>
  </w:style>
  <w:style w:type="character" w:customStyle="1" w:styleId="CommentTextChar">
    <w:name w:val="Comment Text Char"/>
    <w:link w:val="CommentText"/>
    <w:uiPriority w:val="99"/>
    <w:rsid w:val="00552085"/>
    <w:rPr>
      <w:sz w:val="20"/>
      <w:szCs w:val="20"/>
    </w:rPr>
  </w:style>
  <w:style w:type="paragraph" w:styleId="CommentSubject">
    <w:name w:val="annotation subject"/>
    <w:basedOn w:val="CommentText"/>
    <w:next w:val="CommentText"/>
    <w:link w:val="CommentSubjectChar"/>
    <w:uiPriority w:val="99"/>
    <w:semiHidden/>
    <w:unhideWhenUsed/>
    <w:rsid w:val="00552085"/>
    <w:rPr>
      <w:b/>
      <w:bCs/>
    </w:rPr>
  </w:style>
  <w:style w:type="character" w:customStyle="1" w:styleId="CommentSubjectChar">
    <w:name w:val="Comment Subject Char"/>
    <w:link w:val="CommentSubject"/>
    <w:uiPriority w:val="99"/>
    <w:semiHidden/>
    <w:rsid w:val="00552085"/>
    <w:rPr>
      <w:b/>
      <w:bCs/>
      <w:sz w:val="20"/>
      <w:szCs w:val="20"/>
    </w:rPr>
  </w:style>
  <w:style w:type="paragraph" w:customStyle="1" w:styleId="TitleB">
    <w:name w:val="Title B"/>
    <w:basedOn w:val="Normal"/>
    <w:qFormat/>
    <w:rsid w:val="00A45456"/>
    <w:pPr>
      <w:keepNext/>
      <w:numPr>
        <w:numId w:val="12"/>
      </w:numPr>
      <w:tabs>
        <w:tab w:val="left" w:pos="567"/>
      </w:tabs>
      <w:spacing w:after="0" w:line="240" w:lineRule="auto"/>
      <w:ind w:left="567" w:hanging="567"/>
    </w:pPr>
    <w:rPr>
      <w:rFonts w:ascii="Times New Roman" w:eastAsia="Times New Roman" w:hAnsi="Times New Roman" w:cs="Times New Roman"/>
      <w:b/>
      <w:szCs w:val="20"/>
      <w:lang w:val="de-DE" w:eastAsia="de-DE" w:bidi="de-DE"/>
    </w:rPr>
  </w:style>
  <w:style w:type="paragraph" w:customStyle="1" w:styleId="CM2">
    <w:name w:val="CM2"/>
    <w:basedOn w:val="Default"/>
    <w:next w:val="Default"/>
    <w:uiPriority w:val="99"/>
    <w:rsid w:val="00C64BFE"/>
    <w:pPr>
      <w:widowControl w:val="0"/>
      <w:spacing w:line="253" w:lineRule="atLeast"/>
    </w:pPr>
    <w:rPr>
      <w:rFonts w:eastAsia="Times New Roman"/>
      <w:color w:val="auto"/>
      <w:lang w:val="en-GB" w:eastAsia="en-GB"/>
    </w:rPr>
  </w:style>
  <w:style w:type="paragraph" w:customStyle="1" w:styleId="CM53">
    <w:name w:val="CM53"/>
    <w:basedOn w:val="Default"/>
    <w:next w:val="Default"/>
    <w:uiPriority w:val="99"/>
    <w:rsid w:val="00C64BFE"/>
    <w:pPr>
      <w:widowControl w:val="0"/>
    </w:pPr>
    <w:rPr>
      <w:rFonts w:eastAsia="Times New Roman"/>
      <w:color w:val="auto"/>
      <w:lang w:val="en-GB" w:eastAsia="en-GB"/>
    </w:rPr>
  </w:style>
  <w:style w:type="character" w:customStyle="1" w:styleId="UnresolvedMention1">
    <w:name w:val="Unresolved Mention1"/>
    <w:uiPriority w:val="99"/>
    <w:semiHidden/>
    <w:unhideWhenUsed/>
    <w:rsid w:val="00A033B4"/>
    <w:rPr>
      <w:color w:val="605E5C"/>
      <w:shd w:val="clear" w:color="auto" w:fill="E1DFDD"/>
    </w:rPr>
  </w:style>
  <w:style w:type="paragraph" w:customStyle="1" w:styleId="No-numheading3Agency">
    <w:name w:val="No-num heading 3 (Agency)"/>
    <w:link w:val="No-numheading3AgencyChar"/>
    <w:rsid w:val="00537F24"/>
    <w:pPr>
      <w:keepNext/>
      <w:spacing w:before="280" w:after="220"/>
      <w:outlineLvl w:val="2"/>
    </w:pPr>
    <w:rPr>
      <w:rFonts w:ascii="Verdana" w:eastAsia="SimSun" w:hAnsi="Verdana" w:cs="Arial"/>
      <w:b/>
      <w:bCs/>
      <w:kern w:val="32"/>
      <w:sz w:val="22"/>
      <w:szCs w:val="22"/>
      <w:lang w:val="en-GB" w:eastAsia="en-US"/>
    </w:rPr>
  </w:style>
  <w:style w:type="character" w:customStyle="1" w:styleId="No-numheading3AgencyChar">
    <w:name w:val="No-num heading 3 (Agency) Char"/>
    <w:link w:val="No-numheading3Agency"/>
    <w:locked/>
    <w:rsid w:val="00537F24"/>
    <w:rPr>
      <w:rFonts w:ascii="Verdana" w:eastAsia="SimSun" w:hAnsi="Verdana" w:cs="Arial"/>
      <w:b/>
      <w:bCs/>
      <w:kern w:val="32"/>
      <w:sz w:val="22"/>
      <w:szCs w:val="22"/>
      <w:lang w:val="en-GB" w:eastAsia="en-US"/>
    </w:rPr>
  </w:style>
  <w:style w:type="character" w:customStyle="1" w:styleId="BodytextAgencyChar">
    <w:name w:val="Body text (Agency) Char"/>
    <w:link w:val="BodytextAgency"/>
    <w:locked/>
    <w:rsid w:val="00537F24"/>
    <w:rPr>
      <w:rFonts w:ascii="Verdana" w:eastAsia="Verdana" w:hAnsi="Verdana"/>
      <w:sz w:val="18"/>
      <w:szCs w:val="18"/>
    </w:rPr>
  </w:style>
  <w:style w:type="paragraph" w:customStyle="1" w:styleId="BodytextAgency">
    <w:name w:val="Body text (Agency)"/>
    <w:basedOn w:val="Normal"/>
    <w:link w:val="BodytextAgencyChar"/>
    <w:qFormat/>
    <w:rsid w:val="00537F24"/>
    <w:pPr>
      <w:spacing w:after="140" w:line="280" w:lineRule="atLeast"/>
    </w:pPr>
    <w:rPr>
      <w:rFonts w:ascii="Verdana" w:eastAsia="Verdana" w:hAnsi="Verdana"/>
      <w:sz w:val="18"/>
      <w:szCs w:val="18"/>
      <w:lang w:val="de-DE" w:eastAsia="de-DE"/>
    </w:rPr>
  </w:style>
  <w:style w:type="character" w:customStyle="1" w:styleId="DraftingNotesAgencyChar">
    <w:name w:val="Drafting Notes (Agency) Char"/>
    <w:link w:val="DraftingNotesAgency"/>
    <w:locked/>
    <w:rsid w:val="00537F24"/>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537F24"/>
    <w:pPr>
      <w:spacing w:after="140" w:line="280" w:lineRule="atLeast"/>
    </w:pPr>
    <w:rPr>
      <w:rFonts w:ascii="Courier New" w:eastAsia="Verdana" w:hAnsi="Courier New" w:cs="Courier New"/>
      <w:i/>
      <w:color w:val="339966"/>
      <w:szCs w:val="18"/>
      <w:lang w:val="de-DE" w:eastAsia="de-DE"/>
    </w:rPr>
  </w:style>
  <w:style w:type="character" w:styleId="UnresolvedMention">
    <w:name w:val="Unresolved Mention"/>
    <w:uiPriority w:val="99"/>
    <w:semiHidden/>
    <w:unhideWhenUsed/>
    <w:rsid w:val="00E13E0F"/>
    <w:rPr>
      <w:color w:val="605E5C"/>
      <w:shd w:val="clear" w:color="auto" w:fill="E1DFDD"/>
    </w:rPr>
  </w:style>
  <w:style w:type="character" w:styleId="FollowedHyperlink">
    <w:name w:val="FollowedHyperlink"/>
    <w:uiPriority w:val="99"/>
    <w:semiHidden/>
    <w:unhideWhenUsed/>
    <w:rsid w:val="00C6219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9938">
      <w:bodyDiv w:val="1"/>
      <w:marLeft w:val="0"/>
      <w:marRight w:val="0"/>
      <w:marTop w:val="0"/>
      <w:marBottom w:val="0"/>
      <w:divBdr>
        <w:top w:val="none" w:sz="0" w:space="0" w:color="auto"/>
        <w:left w:val="none" w:sz="0" w:space="0" w:color="auto"/>
        <w:bottom w:val="none" w:sz="0" w:space="0" w:color="auto"/>
        <w:right w:val="none" w:sz="0" w:space="0" w:color="auto"/>
      </w:divBdr>
    </w:div>
    <w:div w:id="239102274">
      <w:bodyDiv w:val="1"/>
      <w:marLeft w:val="0"/>
      <w:marRight w:val="0"/>
      <w:marTop w:val="0"/>
      <w:marBottom w:val="0"/>
      <w:divBdr>
        <w:top w:val="none" w:sz="0" w:space="0" w:color="auto"/>
        <w:left w:val="none" w:sz="0" w:space="0" w:color="auto"/>
        <w:bottom w:val="none" w:sz="0" w:space="0" w:color="auto"/>
        <w:right w:val="none" w:sz="0" w:space="0" w:color="auto"/>
      </w:divBdr>
    </w:div>
    <w:div w:id="246618239">
      <w:bodyDiv w:val="1"/>
      <w:marLeft w:val="0"/>
      <w:marRight w:val="0"/>
      <w:marTop w:val="0"/>
      <w:marBottom w:val="0"/>
      <w:divBdr>
        <w:top w:val="none" w:sz="0" w:space="0" w:color="auto"/>
        <w:left w:val="none" w:sz="0" w:space="0" w:color="auto"/>
        <w:bottom w:val="none" w:sz="0" w:space="0" w:color="auto"/>
        <w:right w:val="none" w:sz="0" w:space="0" w:color="auto"/>
      </w:divBdr>
    </w:div>
    <w:div w:id="263392261">
      <w:bodyDiv w:val="1"/>
      <w:marLeft w:val="0"/>
      <w:marRight w:val="0"/>
      <w:marTop w:val="0"/>
      <w:marBottom w:val="0"/>
      <w:divBdr>
        <w:top w:val="none" w:sz="0" w:space="0" w:color="auto"/>
        <w:left w:val="none" w:sz="0" w:space="0" w:color="auto"/>
        <w:bottom w:val="none" w:sz="0" w:space="0" w:color="auto"/>
        <w:right w:val="none" w:sz="0" w:space="0" w:color="auto"/>
      </w:divBdr>
    </w:div>
    <w:div w:id="306784245">
      <w:bodyDiv w:val="1"/>
      <w:marLeft w:val="0"/>
      <w:marRight w:val="0"/>
      <w:marTop w:val="0"/>
      <w:marBottom w:val="0"/>
      <w:divBdr>
        <w:top w:val="none" w:sz="0" w:space="0" w:color="auto"/>
        <w:left w:val="none" w:sz="0" w:space="0" w:color="auto"/>
        <w:bottom w:val="none" w:sz="0" w:space="0" w:color="auto"/>
        <w:right w:val="none" w:sz="0" w:space="0" w:color="auto"/>
      </w:divBdr>
    </w:div>
    <w:div w:id="313753132">
      <w:bodyDiv w:val="1"/>
      <w:marLeft w:val="0"/>
      <w:marRight w:val="0"/>
      <w:marTop w:val="0"/>
      <w:marBottom w:val="0"/>
      <w:divBdr>
        <w:top w:val="none" w:sz="0" w:space="0" w:color="auto"/>
        <w:left w:val="none" w:sz="0" w:space="0" w:color="auto"/>
        <w:bottom w:val="none" w:sz="0" w:space="0" w:color="auto"/>
        <w:right w:val="none" w:sz="0" w:space="0" w:color="auto"/>
      </w:divBdr>
    </w:div>
    <w:div w:id="377096765">
      <w:bodyDiv w:val="1"/>
      <w:marLeft w:val="0"/>
      <w:marRight w:val="0"/>
      <w:marTop w:val="0"/>
      <w:marBottom w:val="0"/>
      <w:divBdr>
        <w:top w:val="none" w:sz="0" w:space="0" w:color="auto"/>
        <w:left w:val="none" w:sz="0" w:space="0" w:color="auto"/>
        <w:bottom w:val="none" w:sz="0" w:space="0" w:color="auto"/>
        <w:right w:val="none" w:sz="0" w:space="0" w:color="auto"/>
      </w:divBdr>
    </w:div>
    <w:div w:id="421604972">
      <w:bodyDiv w:val="1"/>
      <w:marLeft w:val="0"/>
      <w:marRight w:val="0"/>
      <w:marTop w:val="0"/>
      <w:marBottom w:val="0"/>
      <w:divBdr>
        <w:top w:val="none" w:sz="0" w:space="0" w:color="auto"/>
        <w:left w:val="none" w:sz="0" w:space="0" w:color="auto"/>
        <w:bottom w:val="none" w:sz="0" w:space="0" w:color="auto"/>
        <w:right w:val="none" w:sz="0" w:space="0" w:color="auto"/>
      </w:divBdr>
    </w:div>
    <w:div w:id="459374153">
      <w:bodyDiv w:val="1"/>
      <w:marLeft w:val="0"/>
      <w:marRight w:val="0"/>
      <w:marTop w:val="0"/>
      <w:marBottom w:val="0"/>
      <w:divBdr>
        <w:top w:val="none" w:sz="0" w:space="0" w:color="auto"/>
        <w:left w:val="none" w:sz="0" w:space="0" w:color="auto"/>
        <w:bottom w:val="none" w:sz="0" w:space="0" w:color="auto"/>
        <w:right w:val="none" w:sz="0" w:space="0" w:color="auto"/>
      </w:divBdr>
    </w:div>
    <w:div w:id="597756679">
      <w:bodyDiv w:val="1"/>
      <w:marLeft w:val="0"/>
      <w:marRight w:val="0"/>
      <w:marTop w:val="0"/>
      <w:marBottom w:val="0"/>
      <w:divBdr>
        <w:top w:val="none" w:sz="0" w:space="0" w:color="auto"/>
        <w:left w:val="none" w:sz="0" w:space="0" w:color="auto"/>
        <w:bottom w:val="none" w:sz="0" w:space="0" w:color="auto"/>
        <w:right w:val="none" w:sz="0" w:space="0" w:color="auto"/>
      </w:divBdr>
    </w:div>
    <w:div w:id="618297724">
      <w:bodyDiv w:val="1"/>
      <w:marLeft w:val="0"/>
      <w:marRight w:val="0"/>
      <w:marTop w:val="0"/>
      <w:marBottom w:val="0"/>
      <w:divBdr>
        <w:top w:val="none" w:sz="0" w:space="0" w:color="auto"/>
        <w:left w:val="none" w:sz="0" w:space="0" w:color="auto"/>
        <w:bottom w:val="none" w:sz="0" w:space="0" w:color="auto"/>
        <w:right w:val="none" w:sz="0" w:space="0" w:color="auto"/>
      </w:divBdr>
    </w:div>
    <w:div w:id="671034766">
      <w:bodyDiv w:val="1"/>
      <w:marLeft w:val="0"/>
      <w:marRight w:val="0"/>
      <w:marTop w:val="0"/>
      <w:marBottom w:val="0"/>
      <w:divBdr>
        <w:top w:val="none" w:sz="0" w:space="0" w:color="auto"/>
        <w:left w:val="none" w:sz="0" w:space="0" w:color="auto"/>
        <w:bottom w:val="none" w:sz="0" w:space="0" w:color="auto"/>
        <w:right w:val="none" w:sz="0" w:space="0" w:color="auto"/>
      </w:divBdr>
    </w:div>
    <w:div w:id="864635360">
      <w:bodyDiv w:val="1"/>
      <w:marLeft w:val="0"/>
      <w:marRight w:val="0"/>
      <w:marTop w:val="0"/>
      <w:marBottom w:val="0"/>
      <w:divBdr>
        <w:top w:val="none" w:sz="0" w:space="0" w:color="auto"/>
        <w:left w:val="none" w:sz="0" w:space="0" w:color="auto"/>
        <w:bottom w:val="none" w:sz="0" w:space="0" w:color="auto"/>
        <w:right w:val="none" w:sz="0" w:space="0" w:color="auto"/>
      </w:divBdr>
    </w:div>
    <w:div w:id="923344971">
      <w:bodyDiv w:val="1"/>
      <w:marLeft w:val="0"/>
      <w:marRight w:val="0"/>
      <w:marTop w:val="0"/>
      <w:marBottom w:val="0"/>
      <w:divBdr>
        <w:top w:val="none" w:sz="0" w:space="0" w:color="auto"/>
        <w:left w:val="none" w:sz="0" w:space="0" w:color="auto"/>
        <w:bottom w:val="none" w:sz="0" w:space="0" w:color="auto"/>
        <w:right w:val="none" w:sz="0" w:space="0" w:color="auto"/>
      </w:divBdr>
    </w:div>
    <w:div w:id="937710995">
      <w:bodyDiv w:val="1"/>
      <w:marLeft w:val="0"/>
      <w:marRight w:val="0"/>
      <w:marTop w:val="0"/>
      <w:marBottom w:val="0"/>
      <w:divBdr>
        <w:top w:val="none" w:sz="0" w:space="0" w:color="auto"/>
        <w:left w:val="none" w:sz="0" w:space="0" w:color="auto"/>
        <w:bottom w:val="none" w:sz="0" w:space="0" w:color="auto"/>
        <w:right w:val="none" w:sz="0" w:space="0" w:color="auto"/>
      </w:divBdr>
    </w:div>
    <w:div w:id="1103527793">
      <w:bodyDiv w:val="1"/>
      <w:marLeft w:val="0"/>
      <w:marRight w:val="0"/>
      <w:marTop w:val="0"/>
      <w:marBottom w:val="0"/>
      <w:divBdr>
        <w:top w:val="none" w:sz="0" w:space="0" w:color="auto"/>
        <w:left w:val="none" w:sz="0" w:space="0" w:color="auto"/>
        <w:bottom w:val="none" w:sz="0" w:space="0" w:color="auto"/>
        <w:right w:val="none" w:sz="0" w:space="0" w:color="auto"/>
      </w:divBdr>
    </w:div>
    <w:div w:id="1273518161">
      <w:bodyDiv w:val="1"/>
      <w:marLeft w:val="0"/>
      <w:marRight w:val="0"/>
      <w:marTop w:val="0"/>
      <w:marBottom w:val="0"/>
      <w:divBdr>
        <w:top w:val="none" w:sz="0" w:space="0" w:color="auto"/>
        <w:left w:val="none" w:sz="0" w:space="0" w:color="auto"/>
        <w:bottom w:val="none" w:sz="0" w:space="0" w:color="auto"/>
        <w:right w:val="none" w:sz="0" w:space="0" w:color="auto"/>
      </w:divBdr>
    </w:div>
    <w:div w:id="1323701495">
      <w:bodyDiv w:val="1"/>
      <w:marLeft w:val="0"/>
      <w:marRight w:val="0"/>
      <w:marTop w:val="0"/>
      <w:marBottom w:val="0"/>
      <w:divBdr>
        <w:top w:val="none" w:sz="0" w:space="0" w:color="auto"/>
        <w:left w:val="none" w:sz="0" w:space="0" w:color="auto"/>
        <w:bottom w:val="none" w:sz="0" w:space="0" w:color="auto"/>
        <w:right w:val="none" w:sz="0" w:space="0" w:color="auto"/>
      </w:divBdr>
    </w:div>
    <w:div w:id="1446466173">
      <w:bodyDiv w:val="1"/>
      <w:marLeft w:val="0"/>
      <w:marRight w:val="0"/>
      <w:marTop w:val="0"/>
      <w:marBottom w:val="0"/>
      <w:divBdr>
        <w:top w:val="none" w:sz="0" w:space="0" w:color="auto"/>
        <w:left w:val="none" w:sz="0" w:space="0" w:color="auto"/>
        <w:bottom w:val="none" w:sz="0" w:space="0" w:color="auto"/>
        <w:right w:val="none" w:sz="0" w:space="0" w:color="auto"/>
      </w:divBdr>
    </w:div>
    <w:div w:id="18333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yperlink" Target="https://www.ema.europa.eu/en/medicines/human/EPAR/mvas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EMADOC-1700519818-2518319</_dlc_DocId>
    <_dlc_DocIdUrl xmlns="a034c160-bfb7-45f5-8632-2eb7e0508071">
      <Url>https://euema.sharepoint.com/sites/CRM/_layouts/15/DocIdRedir.aspx?ID=EMADOC-1700519818-2518319</Url>
      <Description>EMADOC-1700519818-2518319</Description>
    </_dlc_DocIdUrl>
  </documentManagement>
</p:properties>
</file>

<file path=customXml/itemProps1.xml><?xml version="1.0" encoding="utf-8"?>
<ds:datastoreItem xmlns:ds="http://schemas.openxmlformats.org/officeDocument/2006/customXml" ds:itemID="{F1DF2DEE-79AD-4427-B5DD-8C9B2395DC4A}">
  <ds:schemaRefs>
    <ds:schemaRef ds:uri="http://schemas.openxmlformats.org/officeDocument/2006/bibliography"/>
  </ds:schemaRefs>
</ds:datastoreItem>
</file>

<file path=customXml/itemProps2.xml><?xml version="1.0" encoding="utf-8"?>
<ds:datastoreItem xmlns:ds="http://schemas.openxmlformats.org/officeDocument/2006/customXml" ds:itemID="{8BA28983-9A73-4A1F-90F9-5F308148D0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9F5811C-3314-4FAF-A91A-B452F5298BFA}"/>
</file>

<file path=customXml/itemProps4.xml><?xml version="1.0" encoding="utf-8"?>
<ds:datastoreItem xmlns:ds="http://schemas.openxmlformats.org/officeDocument/2006/customXml" ds:itemID="{702A8E3A-4A7D-494F-B432-B53105C05EEE}"/>
</file>

<file path=customXml/itemProps5.xml><?xml version="1.0" encoding="utf-8"?>
<ds:datastoreItem xmlns:ds="http://schemas.openxmlformats.org/officeDocument/2006/customXml" ds:itemID="{F673365E-9369-43F9-97F0-DBD9CB584C33}"/>
</file>

<file path=customXml/itemProps6.xml><?xml version="1.0" encoding="utf-8"?>
<ds:datastoreItem xmlns:ds="http://schemas.openxmlformats.org/officeDocument/2006/customXml" ds:itemID="{D8A13791-3B8E-4E42-B530-E455E1F75FDB}"/>
</file>

<file path=docProps/app.xml><?xml version="1.0" encoding="utf-8"?>
<Properties xmlns="http://schemas.openxmlformats.org/officeDocument/2006/extended-properties" xmlns:vt="http://schemas.openxmlformats.org/officeDocument/2006/docPropsVTypes">
  <Template>Normal</Template>
  <TotalTime>0</TotalTime>
  <Pages>81</Pages>
  <Words>30642</Words>
  <Characters>174663</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Mvasi: EPAR – Product information – tracked changes</vt:lpstr>
    </vt:vector>
  </TitlesOfParts>
  <Company/>
  <LinksUpToDate>false</LinksUpToDate>
  <CharactersWithSpaces>204896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EPAR – Product information – tracked changes</dc:title>
  <dc:subject/>
  <dc:creator/>
  <cp:keywords/>
  <dc:description/>
  <cp:lastModifiedBy/>
  <cp:revision>1</cp:revision>
  <dcterms:created xsi:type="dcterms:W3CDTF">2025-09-17T08:55:00Z</dcterms:created>
  <dcterms:modified xsi:type="dcterms:W3CDTF">2025-09-17T11:58:00Z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0239ed15-49c2-44b4-9da8-0185ee1945ec</vt:lpwstr>
  </property>
</Properties>
</file>