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rmalAgency"/>
        <w:rPr>
          <w:rFonts w:ascii="Times New Roman" w:hAnsi="Times New Roman"/>
          <w:sz w:val="22"/>
          <w:szCs w:val="22"/>
          <w:lang w:val="de-DE"/>
        </w:rPr>
      </w:pPr>
    </w:p>
    <w:p w:rsidR="003E1424" w:rsidRPr="004A56BB" w:rsidP="001646DF">
      <w:pPr>
        <w:pStyle w:val="No-numheading3Agency"/>
        <w:jc w:val="center"/>
        <w:rPr>
          <w:rFonts w:ascii="Times New Roman" w:hAnsi="Times New Roman"/>
          <w:szCs w:val="22"/>
          <w:lang w:val="de-DE"/>
        </w:rPr>
      </w:pPr>
      <w:r w:rsidRPr="004A56BB" w:rsidR="004A56BB">
        <w:rPr>
          <w:rFonts w:ascii="Times New Roman" w:hAnsi="Times New Roman"/>
          <w:szCs w:val="22"/>
          <w:lang w:val="de-DE"/>
        </w:rPr>
        <w:t>ANHANG IV</w:t>
      </w:r>
    </w:p>
    <w:p w:rsidR="003E1424" w:rsidRPr="004A56BB" w:rsidP="001646DF">
      <w:pPr>
        <w:pStyle w:val="No-numheading3Agency"/>
        <w:jc w:val="center"/>
        <w:rPr>
          <w:rFonts w:ascii="Times New Roman" w:hAnsi="Times New Roman"/>
          <w:szCs w:val="22"/>
          <w:lang w:val="de-DE"/>
        </w:rPr>
      </w:pPr>
      <w:r w:rsidRPr="004A56BB" w:rsidR="004A56BB">
        <w:rPr>
          <w:rFonts w:ascii="Times New Roman" w:hAnsi="Times New Roman"/>
          <w:szCs w:val="22"/>
          <w:lang w:val="de-DE"/>
        </w:rPr>
        <w:t>SCHLUSSFOLGERUNGEN DER EUROPÄISCHEN ARZNEIMITTEL-AGENTUR ZUR ERTEILUNG DER GENEHMIGUNG FÜR DAS INVERKEHRBRINGEN UNTER „BESONDEREN BEDINGUNGEN“ UND ZUR &lt;ÄHNLICHKEIT UND AUSNAHMEREGELUNG&gt; &lt;UND&gt; &lt;ZUM ANTRAG AUF EIN-JAHRES-&lt; VERMARKTUNGSSCHUTZ&gt; &lt; UNTERLAGENSCHUTZ&gt;&gt;</w:t>
      </w:r>
    </w:p>
    <w:p w:rsidR="003E1424" w:rsidRPr="004A56BB" w:rsidP="001646DF">
      <w:pPr>
        <w:pStyle w:val="No-numheading3Agency"/>
        <w:rPr>
          <w:rFonts w:ascii="Times New Roman" w:hAnsi="Times New Roman"/>
          <w:szCs w:val="22"/>
          <w:lang w:val="de-DE"/>
        </w:rPr>
      </w:pPr>
      <w:r w:rsidRPr="004A56BB">
        <w:rPr>
          <w:rFonts w:ascii="Times New Roman" w:hAnsi="Times New Roman"/>
          <w:szCs w:val="22"/>
          <w:lang w:val="de-DE"/>
        </w:rPr>
        <w:br w:type="page"/>
        <w:t>Schlussfolgerungen der Europäischen Arzneimittel-Agentur</w:t>
      </w:r>
    </w:p>
    <w:p w:rsidR="003E1424" w:rsidRPr="004A56BB" w:rsidP="00894760">
      <w:pPr>
        <w:pStyle w:val="BodytextAgency"/>
        <w:rPr>
          <w:rFonts w:ascii="Times New Roman" w:hAnsi="Times New Roman"/>
          <w:i/>
          <w:color w:val="339966"/>
          <w:sz w:val="22"/>
          <w:szCs w:val="22"/>
          <w:lang w:val="de-DE"/>
        </w:rPr>
      </w:pPr>
      <w:r w:rsidRPr="004A56BB">
        <w:rPr>
          <w:rFonts w:ascii="Times New Roman" w:hAnsi="Times New Roman"/>
          <w:i/>
          <w:color w:val="339966"/>
          <w:sz w:val="22"/>
          <w:szCs w:val="22"/>
          <w:lang w:val="de-DE"/>
        </w:rPr>
        <w:t>[Für Genehmigungen für das Inverkehrbringen unter „besonderen Bedingungen“ und bei Vorliegen von Ähnlichkeit und einer akzeptierten Ausnahmeregelung ist einer der unten aufgeführten Standardsätze zu wählen:]</w:t>
      </w:r>
    </w:p>
    <w:p w:rsidR="003E1424" w:rsidRPr="004A56BB" w:rsidP="001646DF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de-DE"/>
        </w:rPr>
      </w:pPr>
      <w:r w:rsidRPr="004A56BB">
        <w:rPr>
          <w:rFonts w:ascii="Times New Roman" w:hAnsi="Times New Roman"/>
          <w:b/>
          <w:sz w:val="22"/>
          <w:szCs w:val="22"/>
          <w:lang w:val="de-DE"/>
        </w:rPr>
        <w:t>Genehmigung für das Inverkehrbringen unter „besonderen Bedingungen“</w:t>
      </w:r>
    </w:p>
    <w:p w:rsidR="003E1424" w:rsidRPr="004A56BB" w:rsidP="001646DF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Fonts w:ascii="Times New Roman" w:hAnsi="Times New Roman"/>
          <w:sz w:val="22"/>
          <w:szCs w:val="22"/>
          <w:lang w:val="de-DE"/>
        </w:rPr>
        <w:t>Der CHMP ist nach Prüfung des Antrages der Ansicht, dass das Nutzen-Risiko-Verhältnis positiv ist, und empfiehlt</w:t>
      </w:r>
      <w:r w:rsidRPr="004A56BB">
        <w:rPr>
          <w:rFonts w:ascii="Times New Roman" w:hAnsi="Times New Roman"/>
          <w:snapToGrid w:val="0"/>
          <w:sz w:val="22"/>
          <w:szCs w:val="22"/>
          <w:lang w:val="de-DE"/>
        </w:rPr>
        <w:t xml:space="preserve"> die Erteilung der Genehmigung für das Inverkehrbringen unter „besonderen Bedingungen“,</w:t>
      </w:r>
      <w:r w:rsidRPr="004A56BB">
        <w:rPr>
          <w:rFonts w:ascii="Times New Roman" w:hAnsi="Times New Roman"/>
          <w:sz w:val="22"/>
          <w:szCs w:val="22"/>
          <w:lang w:val="de-DE"/>
        </w:rPr>
        <w:t xml:space="preserve"> wie im Europäischen Öffentlichen Beurteilungsbericht näher erläutert wird.</w:t>
      </w:r>
    </w:p>
    <w:p w:rsidR="003E1424" w:rsidRPr="004A56BB" w:rsidP="001646DF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de-DE"/>
        </w:rPr>
      </w:pPr>
      <w:r w:rsidRPr="004A56BB">
        <w:rPr>
          <w:rFonts w:ascii="Times New Roman" w:hAnsi="Times New Roman"/>
          <w:b/>
          <w:sz w:val="22"/>
          <w:szCs w:val="22"/>
          <w:lang w:val="de-DE"/>
        </w:rPr>
        <w:t>&lt;Ähnlichkeit&gt;</w:t>
      </w:r>
    </w:p>
    <w:p w:rsidR="003E1424" w:rsidRPr="004A56BB" w:rsidP="001646DF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Fonts w:ascii="Times New Roman" w:hAnsi="Times New Roman"/>
          <w:sz w:val="22"/>
          <w:szCs w:val="22"/>
          <w:lang w:val="de-DE"/>
        </w:rPr>
        <w:t>&lt;Der CHMP ist der Ansicht, dass, wie im Europäischen Öffentlichen Beurteilungsbericht näher erläutert wird, &lt;Bezeichnung des Arzneimittels&gt; dem (den) zugelassenen Arzneimittel(n) für seltene Leiden im Sinne von Artikel 3 der Verordnung (EG) Nr. 847/2000 der Kommission ähnlich ist.&gt;</w:t>
      </w:r>
    </w:p>
    <w:p w:rsidR="003E1424" w:rsidRPr="004A56BB" w:rsidP="00ED6D72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de-DE"/>
        </w:rPr>
      </w:pPr>
      <w:r w:rsidRPr="004A56BB">
        <w:rPr>
          <w:rFonts w:ascii="Times New Roman" w:hAnsi="Times New Roman"/>
          <w:b/>
          <w:sz w:val="22"/>
          <w:szCs w:val="22"/>
          <w:lang w:val="de-DE"/>
        </w:rPr>
        <w:t>&lt;Ausnahmeregelung&gt;</w:t>
      </w:r>
    </w:p>
    <w:p w:rsidR="003E1424" w:rsidRPr="004A56BB" w:rsidP="001646DF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Fonts w:ascii="Times New Roman" w:hAnsi="Times New Roman"/>
          <w:sz w:val="22"/>
          <w:szCs w:val="22"/>
          <w:lang w:val="de-DE"/>
        </w:rPr>
        <w:t xml:space="preserve">&lt;Der CHMP ist der Ansicht, dass, wie im Europäischen Öffentlichen Beurteilungsbericht näher erläutert wird, gemäß Artikel 8 der Verordnung (EG) Nr. 141/2000 &lt;und Artikel 3 der Verordnung (EG) Nr. 847/2000 der Kommission&gt; </w:t>
      </w:r>
      <w:r w:rsidRPr="004A56BB">
        <w:rPr>
          <w:rStyle w:val="DraftingNotesAgencyChar"/>
          <w:rFonts w:ascii="Times New Roman" w:hAnsi="Times New Roman"/>
          <w:sz w:val="22"/>
          <w:szCs w:val="22"/>
          <w:lang w:val="de-DE"/>
        </w:rPr>
        <w:t>[nur für Ausnahmeregelung bei Überlegenheit]</w:t>
      </w:r>
      <w:r w:rsidRPr="004A56BB">
        <w:rPr>
          <w:rFonts w:ascii="Times New Roman" w:hAnsi="Times New Roman"/>
          <w:i/>
          <w:color w:val="008000"/>
          <w:sz w:val="22"/>
          <w:szCs w:val="22"/>
          <w:lang w:val="de-DE"/>
        </w:rPr>
        <w:t xml:space="preserve"> </w:t>
      </w:r>
      <w:r w:rsidRPr="004A56BB">
        <w:rPr>
          <w:rFonts w:ascii="Times New Roman" w:hAnsi="Times New Roman"/>
          <w:sz w:val="22"/>
          <w:szCs w:val="22"/>
          <w:lang w:val="de-DE"/>
        </w:rPr>
        <w:t>die folgende(n) Ausnahmeregelung(en), die in Artikel 8 Absatz 3 der genannten Verordnung festgelegt ist(sind), gilt(gelten):</w:t>
      </w:r>
    </w:p>
    <w:p w:rsidR="003E1424" w:rsidRPr="004A56BB" w:rsidP="001646DF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Fonts w:ascii="Times New Roman" w:hAnsi="Times New Roman"/>
          <w:sz w:val="22"/>
          <w:szCs w:val="22"/>
          <w:lang w:val="de-DE"/>
        </w:rPr>
        <w:t>&lt;Der Inhaber der Genehmigung für das Inverkehrbringen von &lt; Bezeichnung des zugelassenen Arzneimittels für seltene Leiden&gt; kann das Arzneimittel nicht in ausreichender Menge liefern&gt; &lt;und&gt;</w:t>
      </w:r>
    </w:p>
    <w:p w:rsidR="003E1424" w:rsidRPr="004A56BB" w:rsidP="001646DF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Fonts w:ascii="Times New Roman" w:hAnsi="Times New Roman"/>
          <w:sz w:val="22"/>
          <w:szCs w:val="22"/>
          <w:lang w:val="de-DE"/>
        </w:rPr>
        <w:t>&lt;Der &lt;der&gt; Antragsteller konnte im Antrag nachweisen, dass das Arzneimittel, obwohl es &lt; Bezeichnung des zugelassenen Arzneimittels für seltene Leiden&gt; ähnlich ist, für dasselbe therapeutische Anwendungsgebiet sicherer, wirksamer oder unter anderen Aspekten klinisch überlegen ist (im Sinne von Artikel 3 der Verordnung (EG) Nr. 847/2000 der Kommission)&gt; &lt;und&gt;</w:t>
      </w:r>
    </w:p>
    <w:p w:rsidR="003E1424" w:rsidRPr="004A56BB" w:rsidP="001646DF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Fonts w:ascii="Times New Roman" w:hAnsi="Times New Roman"/>
          <w:sz w:val="22"/>
          <w:szCs w:val="22"/>
          <w:lang w:val="de-DE"/>
        </w:rPr>
        <w:t>&lt;Der &lt;der&gt; Inhaber der Genehmigung für das Inverkehrbringen von &lt; Bezeichnung des zugelassenen Arzneimittels für seltene Leiden&gt; hat dem Antragsteller seine Zustimmung gegeben.&gt;</w:t>
      </w:r>
    </w:p>
    <w:p w:rsidR="003E1424" w:rsidRPr="004A56BB" w:rsidP="007B6BA6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de-DE"/>
        </w:rPr>
      </w:pPr>
      <w:r w:rsidRPr="004A56BB">
        <w:rPr>
          <w:rFonts w:ascii="Times New Roman" w:hAnsi="Times New Roman"/>
          <w:b/>
          <w:sz w:val="22"/>
          <w:szCs w:val="22"/>
          <w:lang w:val="de-DE"/>
        </w:rPr>
        <w:t>&lt; Ein-Jahres-&lt;Vermarktungsschutz&gt;&lt; Unterlagenschutz&gt;&gt;</w:t>
      </w:r>
    </w:p>
    <w:p w:rsidR="003E1424" w:rsidP="008A3070">
      <w:pPr>
        <w:pStyle w:val="BodytextAgency"/>
        <w:rPr>
          <w:rFonts w:ascii="Times New Roman" w:hAnsi="Times New Roman"/>
          <w:i/>
          <w:color w:val="339966"/>
          <w:sz w:val="22"/>
          <w:szCs w:val="22"/>
          <w:lang w:val="de-DE"/>
        </w:rPr>
      </w:pPr>
      <w:r w:rsidRPr="004A56BB">
        <w:rPr>
          <w:rFonts w:ascii="Times New Roman" w:hAnsi="Times New Roman"/>
          <w:i/>
          <w:color w:val="339966"/>
          <w:sz w:val="22"/>
          <w:szCs w:val="22"/>
          <w:lang w:val="de-DE"/>
        </w:rPr>
        <w:t xml:space="preserve"> </w:t>
      </w:r>
      <w:r w:rsidRPr="004A56BB">
        <w:rPr>
          <w:rFonts w:ascii="Times New Roman" w:hAnsi="Times New Roman"/>
          <w:i/>
          <w:noProof/>
          <w:color w:val="339966"/>
          <w:sz w:val="22"/>
          <w:szCs w:val="22"/>
          <w:lang w:val="de-DE"/>
        </w:rPr>
        <w:t>[</w:t>
      </w:r>
      <w:r w:rsidRPr="004A56BB">
        <w:rPr>
          <w:rFonts w:ascii="Times New Roman" w:hAnsi="Times New Roman"/>
          <w:i/>
          <w:color w:val="339966"/>
          <w:sz w:val="22"/>
          <w:szCs w:val="22"/>
          <w:lang w:val="de-DE"/>
        </w:rPr>
        <w:t>Wenn einem Ein-Jahres-Vermarktungsschutz/Unterlagenschutz zugestimmt wurde, ist einer der unten aufgeführten Standardsätze zu wählen; anderenfalls sind wissenschaftliche Schlussfolgerungen und Begründungen aufzuführen.]</w:t>
      </w:r>
    </w:p>
    <w:p w:rsidR="004A56BB" w:rsidRPr="004A56BB" w:rsidP="008A3070">
      <w:pPr>
        <w:pStyle w:val="BodytextAgency"/>
        <w:rPr>
          <w:rFonts w:ascii="Times New Roman" w:hAnsi="Times New Roman"/>
          <w:i/>
          <w:color w:val="339966"/>
          <w:sz w:val="22"/>
          <w:szCs w:val="22"/>
          <w:lang w:val="de-DE"/>
        </w:rPr>
      </w:pPr>
    </w:p>
    <w:p w:rsidR="003E1424" w:rsidRPr="004A56BB" w:rsidP="00FD4E4E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Style w:val="DraftingNotesAgencyChar"/>
          <w:rFonts w:ascii="Times New Roman" w:hAnsi="Times New Roman"/>
          <w:sz w:val="22"/>
          <w:szCs w:val="22"/>
          <w:lang w:val="de-DE"/>
        </w:rPr>
        <w:t>[Art 14(11)]</w:t>
      </w:r>
      <w:r w:rsidRPr="004A56BB">
        <w:rPr>
          <w:rFonts w:ascii="Times New Roman" w:hAnsi="Times New Roman"/>
          <w:sz w:val="22"/>
          <w:szCs w:val="22"/>
          <w:lang w:val="de-DE"/>
        </w:rPr>
        <w:t xml:space="preserve"> &lt;Der CHMP hat die vom Inhaber der Genehmigung für das Inverkehrbringen vorgelegten Daten unter Berücksichtigung der Bestimmungen von Artikel 14 Absatz 11 der Verordnung (EG) Nr. 726/2004 überprüft und ist der Ansicht, dass, wie im Europäischen Öffentlichen Beurteilungsbericht näher erläutert wird, das neue Anwendungsgebiet im Vergleich zu den bestehenden </w:t>
      </w:r>
      <w:r w:rsidR="007F65B9">
        <w:rPr>
          <w:rFonts w:ascii="Times New Roman" w:hAnsi="Times New Roman"/>
          <w:sz w:val="22"/>
          <w:szCs w:val="22"/>
          <w:lang w:val="de-DE"/>
        </w:rPr>
        <w:t>Therapien</w:t>
      </w:r>
      <w:r w:rsidRPr="004A56BB" w:rsidR="007F65B9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4A56BB">
        <w:rPr>
          <w:rFonts w:ascii="Times New Roman" w:hAnsi="Times New Roman"/>
          <w:sz w:val="22"/>
          <w:szCs w:val="22"/>
          <w:lang w:val="de-DE"/>
        </w:rPr>
        <w:t>von signifikantem klinischem Nutzen ist.&gt;</w:t>
      </w:r>
    </w:p>
    <w:p w:rsidR="003E1424" w:rsidRPr="004A56BB" w:rsidP="004A56BB">
      <w:pPr>
        <w:pStyle w:val="BodytextAgency"/>
        <w:rPr>
          <w:rFonts w:ascii="Times New Roman" w:hAnsi="Times New Roman"/>
          <w:sz w:val="22"/>
          <w:szCs w:val="22"/>
          <w:lang w:val="de-DE"/>
        </w:rPr>
      </w:pPr>
      <w:r w:rsidRPr="004A56BB">
        <w:rPr>
          <w:rStyle w:val="DraftingNotesAgencyChar"/>
          <w:rFonts w:ascii="Times New Roman" w:hAnsi="Times New Roman"/>
          <w:sz w:val="22"/>
          <w:szCs w:val="22"/>
          <w:lang w:val="de-DE"/>
        </w:rPr>
        <w:t>[Art 10(5)]</w:t>
      </w:r>
      <w:r w:rsidRPr="004A56BB">
        <w:rPr>
          <w:rFonts w:ascii="Times New Roman" w:hAnsi="Times New Roman"/>
          <w:bCs/>
          <w:i/>
          <w:color w:val="339966"/>
          <w:kern w:val="32"/>
          <w:sz w:val="22"/>
          <w:szCs w:val="22"/>
          <w:lang w:val="de-DE"/>
        </w:rPr>
        <w:t xml:space="preserve"> </w:t>
      </w:r>
      <w:r w:rsidRPr="004A56BB">
        <w:rPr>
          <w:rFonts w:ascii="Times New Roman" w:hAnsi="Times New Roman"/>
          <w:bCs/>
          <w:kern w:val="32"/>
          <w:sz w:val="22"/>
          <w:szCs w:val="22"/>
          <w:lang w:val="de-DE"/>
        </w:rPr>
        <w:t xml:space="preserve">&lt;Der CHMP hat </w:t>
      </w:r>
      <w:r w:rsidRPr="004A56BB">
        <w:rPr>
          <w:rFonts w:ascii="Times New Roman" w:hAnsi="Times New Roman"/>
          <w:sz w:val="22"/>
          <w:szCs w:val="22"/>
          <w:lang w:val="de-DE"/>
        </w:rPr>
        <w:t xml:space="preserve">die vom Inhaber der Genehmigung für das Inverkehrbringen vorgelegten Daten </w:t>
      </w:r>
      <w:r w:rsidRPr="004A56BB">
        <w:rPr>
          <w:rFonts w:ascii="Times New Roman" w:hAnsi="Times New Roman"/>
          <w:bCs/>
          <w:kern w:val="32"/>
          <w:sz w:val="22"/>
          <w:szCs w:val="22"/>
          <w:lang w:val="de-DE"/>
        </w:rPr>
        <w:t>unter Berücksichtigung der Bestimmungen von Artikel 10 Absatz 5 der Richtlinie 2001/83/EG überprüft und ist der Ansicht, dass, wie im Europäischen Öffentlichen Beurteilungsbericht näher erläutert wird, &lt;die &lt;</w:t>
      </w:r>
      <w:r w:rsidRPr="004A56BB">
        <w:rPr>
          <w:rFonts w:ascii="Times New Roman" w:hAnsi="Times New Roman"/>
          <w:kern w:val="32"/>
          <w:sz w:val="22"/>
          <w:szCs w:val="22"/>
          <w:lang w:val="de-DE"/>
        </w:rPr>
        <w:t>präklinischen Studien</w:t>
      </w:r>
      <w:r w:rsidRPr="004A56BB">
        <w:rPr>
          <w:rFonts w:ascii="Times New Roman" w:hAnsi="Times New Roman"/>
          <w:bCs/>
          <w:kern w:val="32"/>
          <w:sz w:val="22"/>
          <w:szCs w:val="22"/>
          <w:lang w:val="de-DE"/>
        </w:rPr>
        <w:t xml:space="preserve">&gt; &lt;und&gt; &lt;klinischen Studien&gt;&gt;, die im Zusammenhang mit dem neuen </w:t>
      </w:r>
      <w:r w:rsidRPr="004A56BB">
        <w:rPr>
          <w:rFonts w:ascii="Times New Roman" w:hAnsi="Times New Roman"/>
          <w:kern w:val="32"/>
          <w:sz w:val="22"/>
          <w:szCs w:val="22"/>
          <w:lang w:val="de-DE"/>
        </w:rPr>
        <w:t>Anwendungsgebiet</w:t>
      </w:r>
      <w:r w:rsidRPr="004A56BB">
        <w:rPr>
          <w:rFonts w:ascii="Times New Roman" w:hAnsi="Times New Roman"/>
          <w:bCs/>
          <w:kern w:val="32"/>
          <w:sz w:val="22"/>
          <w:szCs w:val="22"/>
          <w:lang w:val="de-DE"/>
        </w:rPr>
        <w:t xml:space="preserve"> durchgeführt wurden, signifikant waren.</w:t>
      </w:r>
      <w:r w:rsidRPr="004A56BB">
        <w:rPr>
          <w:rFonts w:ascii="Times New Roman" w:hAnsi="Times New Roman"/>
          <w:sz w:val="22"/>
          <w:szCs w:val="22"/>
          <w:lang w:val="de-DE"/>
        </w:rPr>
        <w:t>&gt;</w:t>
      </w:r>
    </w:p>
    <w:sectPr w:rsidSect="001646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BB">
    <w:pPr>
      <w:pStyle w:val="Footer"/>
      <w:jc w:val="center"/>
    </w:pPr>
    <w:r>
      <w:rPr>
        <w:noProof w:val="0"/>
        <w:lang w:val="en-GB" w:eastAsia="en-US"/>
      </w:rPr>
      <w:fldChar w:fldCharType="begin"/>
    </w:r>
    <w:r>
      <w:instrText xml:space="preserve"> PAGE   \* MERGEFORMAT </w:instrText>
    </w:r>
    <w:r>
      <w:rPr>
        <w:noProof w:val="0"/>
        <w:lang w:val="en-GB" w:eastAsia="en-US"/>
      </w:rPr>
      <w:fldChar w:fldCharType="separate"/>
    </w:r>
    <w:r w:rsidR="00AF4C05">
      <w:t>2</w:t>
    </w:r>
    <w:r>
      <w:fldChar w:fldCharType="end"/>
    </w:r>
  </w:p>
  <w:p w:rsidR="003E1424" w:rsidRPr="0095232D" w:rsidP="001646DF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24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00407"/>
    <w:rsid w:val="00066025"/>
    <w:rsid w:val="000705A6"/>
    <w:rsid w:val="00093ACB"/>
    <w:rsid w:val="000F3D45"/>
    <w:rsid w:val="000F5E9B"/>
    <w:rsid w:val="00100737"/>
    <w:rsid w:val="00116842"/>
    <w:rsid w:val="00132676"/>
    <w:rsid w:val="00160000"/>
    <w:rsid w:val="001646DF"/>
    <w:rsid w:val="00184B34"/>
    <w:rsid w:val="00186618"/>
    <w:rsid w:val="001C35E9"/>
    <w:rsid w:val="001D42EE"/>
    <w:rsid w:val="00212443"/>
    <w:rsid w:val="0026034C"/>
    <w:rsid w:val="002E19EB"/>
    <w:rsid w:val="003060BA"/>
    <w:rsid w:val="00316841"/>
    <w:rsid w:val="003B2B13"/>
    <w:rsid w:val="003C377E"/>
    <w:rsid w:val="003E0590"/>
    <w:rsid w:val="003E1424"/>
    <w:rsid w:val="003E7DE7"/>
    <w:rsid w:val="0041596C"/>
    <w:rsid w:val="004321FC"/>
    <w:rsid w:val="00444882"/>
    <w:rsid w:val="004451E0"/>
    <w:rsid w:val="0048433E"/>
    <w:rsid w:val="004A56BB"/>
    <w:rsid w:val="005146B0"/>
    <w:rsid w:val="00520631"/>
    <w:rsid w:val="00543411"/>
    <w:rsid w:val="00544D0D"/>
    <w:rsid w:val="005815ED"/>
    <w:rsid w:val="00590CBB"/>
    <w:rsid w:val="005A3950"/>
    <w:rsid w:val="005B1EC1"/>
    <w:rsid w:val="005B6C7F"/>
    <w:rsid w:val="005C4D24"/>
    <w:rsid w:val="005E6861"/>
    <w:rsid w:val="00605948"/>
    <w:rsid w:val="00614FEF"/>
    <w:rsid w:val="00646C28"/>
    <w:rsid w:val="0065610B"/>
    <w:rsid w:val="00675E12"/>
    <w:rsid w:val="006B60B6"/>
    <w:rsid w:val="006D5484"/>
    <w:rsid w:val="006D5CBD"/>
    <w:rsid w:val="006F215C"/>
    <w:rsid w:val="007420ED"/>
    <w:rsid w:val="00742815"/>
    <w:rsid w:val="00796DCD"/>
    <w:rsid w:val="00797746"/>
    <w:rsid w:val="007A33FC"/>
    <w:rsid w:val="007B5BE3"/>
    <w:rsid w:val="007B6BA6"/>
    <w:rsid w:val="007D1F38"/>
    <w:rsid w:val="007F65B9"/>
    <w:rsid w:val="00807CCA"/>
    <w:rsid w:val="00827441"/>
    <w:rsid w:val="00836EB3"/>
    <w:rsid w:val="008412D6"/>
    <w:rsid w:val="00846D69"/>
    <w:rsid w:val="0085696C"/>
    <w:rsid w:val="00875163"/>
    <w:rsid w:val="00894760"/>
    <w:rsid w:val="008A3070"/>
    <w:rsid w:val="008A3FAC"/>
    <w:rsid w:val="008C5CBE"/>
    <w:rsid w:val="008C6E22"/>
    <w:rsid w:val="008D7981"/>
    <w:rsid w:val="00935495"/>
    <w:rsid w:val="00935DB1"/>
    <w:rsid w:val="00944604"/>
    <w:rsid w:val="0095232D"/>
    <w:rsid w:val="00954D6C"/>
    <w:rsid w:val="00955C08"/>
    <w:rsid w:val="00972D82"/>
    <w:rsid w:val="009A4CB9"/>
    <w:rsid w:val="009B7754"/>
    <w:rsid w:val="009F0125"/>
    <w:rsid w:val="009F6D44"/>
    <w:rsid w:val="00A122D2"/>
    <w:rsid w:val="00A413A4"/>
    <w:rsid w:val="00A66EBC"/>
    <w:rsid w:val="00A85EB3"/>
    <w:rsid w:val="00A92DD8"/>
    <w:rsid w:val="00AA2857"/>
    <w:rsid w:val="00AA58BB"/>
    <w:rsid w:val="00AD6513"/>
    <w:rsid w:val="00AF4C05"/>
    <w:rsid w:val="00B00BD8"/>
    <w:rsid w:val="00B04B6D"/>
    <w:rsid w:val="00B161A4"/>
    <w:rsid w:val="00B230EF"/>
    <w:rsid w:val="00B25AC5"/>
    <w:rsid w:val="00B450C9"/>
    <w:rsid w:val="00C71D65"/>
    <w:rsid w:val="00C9111A"/>
    <w:rsid w:val="00C97165"/>
    <w:rsid w:val="00CC0674"/>
    <w:rsid w:val="00CC3C53"/>
    <w:rsid w:val="00D23B44"/>
    <w:rsid w:val="00D37463"/>
    <w:rsid w:val="00D62DD1"/>
    <w:rsid w:val="00D7429C"/>
    <w:rsid w:val="00D80765"/>
    <w:rsid w:val="00D969DB"/>
    <w:rsid w:val="00DD2661"/>
    <w:rsid w:val="00E06E34"/>
    <w:rsid w:val="00E364B7"/>
    <w:rsid w:val="00E44B6B"/>
    <w:rsid w:val="00E850A6"/>
    <w:rsid w:val="00EB4C2F"/>
    <w:rsid w:val="00ED6D72"/>
    <w:rsid w:val="00F11947"/>
    <w:rsid w:val="00FA274D"/>
    <w:rsid w:val="00FD4E4E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B3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836EB3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836EB3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836EB3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836EB3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836EB3"/>
    <w:pPr>
      <w:keepNext/>
      <w:spacing w:before="280" w:after="220"/>
      <w:outlineLvl w:val="4"/>
    </w:pPr>
    <w:rPr>
      <w:rFonts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836EB3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836EB3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836EB3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836E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836EB3"/>
    <w:rPr>
      <w:sz w:val="22"/>
      <w:szCs w:val="20"/>
      <w:lang w:eastAsia="en-US"/>
    </w:rPr>
  </w:style>
  <w:style w:type="character" w:customStyle="1" w:styleId="DateChar">
    <w:name w:val="Date Char"/>
    <w:link w:val="Date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er">
    <w:name w:val="footer"/>
    <w:basedOn w:val="Normal"/>
    <w:link w:val="FooterChar"/>
    <w:uiPriority w:val="99"/>
    <w:rsid w:val="00836EB3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Pr>
      <w:rFonts w:ascii="Verdana" w:hAnsi="Verdana" w:cs="Verdana"/>
      <w:sz w:val="18"/>
      <w:szCs w:val="18"/>
      <w:lang w:val="x-none" w:eastAsia="zh-CN"/>
    </w:rPr>
  </w:style>
  <w:style w:type="paragraph" w:styleId="Header">
    <w:name w:val="header"/>
    <w:basedOn w:val="Normal"/>
    <w:link w:val="HeaderChar"/>
    <w:uiPriority w:val="99"/>
    <w:rsid w:val="00836EB3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rsid w:val="00836EB3"/>
    <w:rPr>
      <w:sz w:val="15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hAnsi="Verdana" w:cs="Verdana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rsid w:val="00836EB3"/>
    <w:pPr>
      <w:spacing w:after="120"/>
      <w:ind w:left="283"/>
    </w:pPr>
    <w:rPr>
      <w:sz w:val="22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FooterAgency">
    <w:name w:val="Footer (Agency)"/>
    <w:basedOn w:val="Normal"/>
    <w:link w:val="FooterAgencyCharChar"/>
    <w:rsid w:val="00836EB3"/>
    <w:rPr>
      <w:rFonts w:cs="Times New Roman"/>
      <w:color w:val="6D6F71"/>
      <w:sz w:val="14"/>
      <w:szCs w:val="20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836EB3"/>
    <w:rPr>
      <w:rFonts w:cs="Times New Roman"/>
      <w:b/>
      <w:color w:val="003399"/>
      <w:sz w:val="14"/>
      <w:szCs w:val="20"/>
      <w:lang w:eastAsia="en-GB"/>
    </w:rPr>
  </w:style>
  <w:style w:type="table" w:customStyle="1" w:styleId="3">
    <w:name w:val="3"/>
    <w:uiPriority w:val="99"/>
    <w:rsid w:val="00836EB3"/>
    <w:pPr>
      <w:widowControl w:val="0"/>
      <w:autoSpaceDE w:val="0"/>
      <w:autoSpaceDN w:val="0"/>
      <w:adjustRightInd w:val="0"/>
    </w:pPr>
    <w:rPr>
      <w:sz w:val="24"/>
      <w:szCs w:val="24"/>
      <w:lang w:val="en-GB" w:eastAsia="en-GB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rPr>
      <w:lang w:val="en-GB" w:eastAsia="en-GB" w:bidi="ar-SA"/>
    </w:rPr>
  </w:style>
  <w:style w:type="paragraph" w:customStyle="1" w:styleId="FootertableAgency">
    <w:name w:val="Footer table (Agency)"/>
    <w:rPr>
      <w:lang w:val="en-GB" w:eastAsia="en-GB" w:bidi="ar-SA"/>
    </w:rPr>
  </w:style>
  <w:style w:type="character" w:customStyle="1" w:styleId="FooterAgencyCharChar">
    <w:name w:val="Footer (Agency) Char Char"/>
    <w:link w:val="FooterAgency"/>
    <w:semiHidden/>
    <w:locked/>
    <w:rsid w:val="00836EB3"/>
    <w:rPr>
      <w:rFonts w:ascii="Verdana" w:hAnsi="Verdana"/>
      <w:color w:val="6D6F71"/>
      <w:sz w:val="14"/>
      <w:lang w:val="en-GB"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836EB3"/>
    <w:pPr>
      <w:tabs>
        <w:tab w:val="right" w:pos="9781"/>
      </w:tabs>
      <w:jc w:val="right"/>
    </w:pPr>
    <w:rPr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locked/>
    <w:rsid w:val="00836EB3"/>
    <w:rPr>
      <w:rFonts w:ascii="Verdana" w:hAnsi="Verdana" w:cs="Verdana"/>
      <w:color w:val="6D6F71"/>
      <w:sz w:val="14"/>
      <w:szCs w:val="14"/>
      <w:lang w:val="en-GB" w:eastAsia="en-GB" w:bidi="ar-SA"/>
    </w:rPr>
  </w:style>
  <w:style w:type="table" w:customStyle="1" w:styleId="TablegridAgencyblank">
    <w:name w:val="Table grid (Agency) blank"/>
    <w:basedOn w:val="TableNormal"/>
    <w:rsid w:val="00836EB3"/>
    <w:rPr>
      <w:rFonts w:ascii="Verdana" w:hAnsi="Verdana"/>
      <w:sz w:val="18"/>
    </w:rPr>
    <w:tblPr/>
    <w:tblStylePr w:type="firstRow">
      <w:rPr>
        <w:rFonts w:ascii="Times New Roman" w:hAnsi="Times New Roman" w:cs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locked/>
    <w:rsid w:val="00836EB3"/>
    <w:rPr>
      <w:rFonts w:ascii="Verdana" w:hAnsi="Verdana"/>
      <w:b/>
      <w:color w:val="003399"/>
      <w:sz w:val="1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36EB3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BodytextAgency">
    <w:name w:val="Body text (Agency)"/>
    <w:basedOn w:val="Normal"/>
    <w:link w:val="BodytextAgencyChar"/>
    <w:rsid w:val="00836EB3"/>
    <w:pPr>
      <w:spacing w:after="140" w:line="280" w:lineRule="atLeast"/>
    </w:pPr>
    <w:rPr>
      <w:rFonts w:cs="Times New Roman"/>
      <w:szCs w:val="20"/>
      <w:lang w:eastAsia="en-GB"/>
    </w:rPr>
  </w:style>
  <w:style w:type="paragraph" w:customStyle="1" w:styleId="DisclaimerAgency">
    <w:name w:val="Disclaimer (Agency)"/>
    <w:basedOn w:val="Normal"/>
    <w:rsid w:val="00836EB3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836EB3"/>
    <w:pPr>
      <w:spacing w:after="640" w:line="360" w:lineRule="atLeast"/>
    </w:pPr>
    <w:rPr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836EB3"/>
    <w:pPr>
      <w:spacing w:before="720" w:line="360" w:lineRule="atLeast"/>
    </w:pPr>
    <w:rPr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836EB3"/>
    <w:pPr>
      <w:spacing w:after="140" w:line="280" w:lineRule="atLeast"/>
    </w:pPr>
    <w:rPr>
      <w:rFonts w:ascii="Courier New" w:hAnsi="Courier New" w:cs="Times New Roman"/>
      <w:i/>
      <w:color w:val="339966"/>
      <w:szCs w:val="20"/>
      <w:lang w:eastAsia="en-GB"/>
    </w:rPr>
  </w:style>
  <w:style w:type="character" w:styleId="EndnoteReference">
    <w:name w:val="endnote reference"/>
    <w:uiPriority w:val="99"/>
    <w:rsid w:val="00836EB3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836EB3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36EB3"/>
    <w:rPr>
      <w:sz w:val="15"/>
      <w:szCs w:val="15"/>
      <w:lang w:eastAsia="en-GB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hAnsi="Verdana" w:cs="Verdana"/>
      <w:lang w:val="x-none" w:eastAsia="zh-CN"/>
    </w:rPr>
  </w:style>
  <w:style w:type="paragraph" w:customStyle="1" w:styleId="EndnotetextAgency">
    <w:name w:val="Endnote text (Agency)"/>
    <w:basedOn w:val="Normal"/>
    <w:rsid w:val="00836EB3"/>
    <w:rPr>
      <w:sz w:val="15"/>
      <w:lang w:eastAsia="en-GB"/>
    </w:rPr>
  </w:style>
  <w:style w:type="paragraph" w:customStyle="1" w:styleId="FigureAgency">
    <w:name w:val="Figure (Agency)"/>
    <w:basedOn w:val="Normal"/>
    <w:next w:val="BodytextAgency"/>
    <w:rsid w:val="00836EB3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836EB3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836EB3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836EB3"/>
    <w:rPr>
      <w:rFonts w:ascii="Verdana" w:hAnsi="Verdana"/>
      <w:color w:val="000000"/>
      <w:vertAlign w:val="superscript"/>
    </w:rPr>
  </w:style>
  <w:style w:type="paragraph" w:customStyle="1" w:styleId="FootnotetextAgency">
    <w:name w:val="Footnote text (Agency)"/>
    <w:basedOn w:val="Normal"/>
    <w:rsid w:val="00836EB3"/>
    <w:rPr>
      <w:sz w:val="15"/>
      <w:lang w:eastAsia="en-GB"/>
    </w:rPr>
  </w:style>
  <w:style w:type="paragraph" w:customStyle="1" w:styleId="HeaderAgency">
    <w:name w:val="Header (Agency)"/>
    <w:basedOn w:val="Normal"/>
    <w:rsid w:val="00836EB3"/>
    <w:rPr>
      <w:lang w:eastAsia="en-GB"/>
    </w:rPr>
  </w:style>
  <w:style w:type="paragraph" w:customStyle="1" w:styleId="Heading1Agency">
    <w:name w:val="Heading 1 (Agency)"/>
    <w:basedOn w:val="Normal"/>
    <w:next w:val="BodytextAgency"/>
    <w:rsid w:val="00836EB3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836EB3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836EB3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836EB3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836EB3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836EB3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836EB3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836EB3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836EB3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836EB3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836EB3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836EB3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No-numheading4Agency">
    <w:name w:val="No-num heading 4 (Agency)"/>
    <w:basedOn w:val="Heading4Agency"/>
    <w:next w:val="BodytextAgency"/>
    <w:rsid w:val="00836EB3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836EB3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836EB3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836EB3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836EB3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836EB3"/>
    <w:pPr>
      <w:outlineLvl w:val="8"/>
    </w:pPr>
  </w:style>
  <w:style w:type="paragraph" w:customStyle="1" w:styleId="NormalAgency">
    <w:name w:val="Normal (Agency)"/>
    <w:link w:val="NormalAgencyChar"/>
    <w:rsid w:val="00836EB3"/>
    <w:rPr>
      <w:rFonts w:ascii="Verdana" w:hAnsi="Verdana"/>
      <w:sz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836EB3"/>
    <w:pPr>
      <w:keepNext/>
      <w:spacing w:before="280" w:after="220"/>
    </w:pPr>
    <w:rPr>
      <w:rFonts w:cs="Arial"/>
      <w:b/>
      <w:kern w:val="32"/>
      <w:sz w:val="27"/>
      <w:szCs w:val="27"/>
      <w:lang w:eastAsia="en-GB"/>
    </w:rPr>
  </w:style>
  <w:style w:type="paragraph" w:customStyle="1" w:styleId="RefAgency">
    <w:name w:val="Ref. (Agency)"/>
    <w:basedOn w:val="Normal"/>
    <w:rsid w:val="00836EB3"/>
    <w:rPr>
      <w:rFonts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rsid w:val="00836EB3"/>
    <w:pPr>
      <w:keepNext/>
    </w:pPr>
    <w:rPr>
      <w:b/>
    </w:rPr>
  </w:style>
  <w:style w:type="table" w:customStyle="1" w:styleId="TablegridAgency">
    <w:name w:val="Table grid (Agency)"/>
    <w:basedOn w:val="TableNormal"/>
    <w:rsid w:val="00836EB3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 w:cs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83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" w:hAnsi="Times New Roman" w:cs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836EB3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836EB3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836EB3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836EB3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836EB3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uiPriority w:val="39"/>
    <w:rsid w:val="00836EB3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3">
    <w:name w:val="toc 3"/>
    <w:basedOn w:val="Normal"/>
    <w:next w:val="BodytextAgency"/>
    <w:uiPriority w:val="39"/>
    <w:rsid w:val="00836EB3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4">
    <w:name w:val="toc 4"/>
    <w:basedOn w:val="Normal"/>
    <w:next w:val="BodytextAgency"/>
    <w:uiPriority w:val="39"/>
    <w:rsid w:val="00836EB3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uiPriority w:val="39"/>
    <w:rsid w:val="00836EB3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uiPriority w:val="39"/>
    <w:rsid w:val="00836EB3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rsid w:val="00836EB3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rsid w:val="00836EB3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rsid w:val="00836EB3"/>
    <w:pPr>
      <w:spacing w:after="57" w:line="240" w:lineRule="exact"/>
    </w:pPr>
  </w:style>
  <w:style w:type="character" w:customStyle="1" w:styleId="NormalAgencyChar">
    <w:name w:val="Normal (Agency) Char"/>
    <w:link w:val="NormalAgency"/>
    <w:locked/>
    <w:rsid w:val="00836EB3"/>
    <w:rPr>
      <w:rFonts w:ascii="Verdana" w:hAnsi="Verdana"/>
      <w:sz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locked/>
    <w:rsid w:val="00836EB3"/>
    <w:rPr>
      <w:rFonts w:ascii="Courier New" w:hAnsi="Courier New"/>
      <w:i/>
      <w:color w:val="339966"/>
      <w:sz w:val="18"/>
      <w:lang w:val="en-GB" w:eastAsia="en-GB"/>
    </w:rPr>
  </w:style>
  <w:style w:type="character" w:customStyle="1" w:styleId="BodytextAgencyChar">
    <w:name w:val="Body text (Agency) Char"/>
    <w:link w:val="BodytextAgency"/>
    <w:locked/>
    <w:rsid w:val="00836EB3"/>
    <w:rPr>
      <w:rFonts w:ascii="Verdana" w:hAnsi="Verdana"/>
      <w:sz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36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zh-CN"/>
    </w:rPr>
  </w:style>
  <w:style w:type="character" w:styleId="CommentReference">
    <w:name w:val="annotation reference"/>
    <w:uiPriority w:val="99"/>
    <w:semiHidden/>
    <w:rsid w:val="00836EB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EB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hAnsi="Verdana" w:cs="Verdana"/>
      <w:lang w:val="x-none" w:eastAsia="zh-CN"/>
    </w:rPr>
  </w:style>
  <w:style w:type="character" w:customStyle="1" w:styleId="No-numheading3AgencyChar">
    <w:name w:val="No-num heading 3 (Agency) Char"/>
    <w:link w:val="No-numheading3Agency"/>
    <w:locked/>
    <w:rsid w:val="00836EB3"/>
    <w:rPr>
      <w:rFonts w:ascii="Verdana" w:hAnsi="Verdana"/>
      <w:b/>
      <w:kern w:val="32"/>
      <w:sz w:val="22"/>
      <w:lang w:val="en-GB" w:eastAsia="en-GB"/>
    </w:rPr>
  </w:style>
  <w:style w:type="table" w:styleId="TableGrid">
    <w:name w:val="Table Grid"/>
    <w:basedOn w:val="TableNormal"/>
    <w:uiPriority w:val="59"/>
    <w:rsid w:val="0083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sid w:val="00FD4E4E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3AFF4A8C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3AFF4A8C.DOT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HannexIVconditionalde</vt:lpstr>
      <vt:lpstr>HannexIVconditionalde</vt:lpstr>
    </vt:vector>
  </TitlesOfParts>
  <Company>Translation Centre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HannexIVconditional_de</dc:title>
  <dc:creator>European Medicines Agency</dc:creator>
  <dc:description>PASPARTU</dc:description>
  <cp:lastModifiedBy>Akhtar Tia</cp:lastModifiedBy>
  <cp:revision>3</cp:revision>
  <cp:lastPrinted>2012-03-21T15:50:00Z</cp:lastPrinted>
  <dcterms:created xsi:type="dcterms:W3CDTF">2016-12-08T09:42:00Z</dcterms:created>
  <dcterms:modified xsi:type="dcterms:W3CDTF">2018-10-12T13:22:00Z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14:22:35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EMA/713492/2018</vt:lpwstr>
  </property>
  <property fmtid="{D5CDD505-2E9C-101B-9397-08002B2CF9AE}" pid="7" name="DM_emea_doc_ref_id">
    <vt:lpwstr>EMA/713492/2018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14:22:35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14:22:35</vt:lpwstr>
  </property>
  <property fmtid="{D5CDD505-2E9C-101B-9397-08002B2CF9AE}" pid="14" name="DM_Name">
    <vt:lpwstr>HannexIVconditional_de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